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0.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0DA0" w14:textId="77777777" w:rsidR="00C15F2E" w:rsidRPr="00D96063" w:rsidRDefault="00C15F2E" w:rsidP="00352F58">
      <w:pPr>
        <w:pStyle w:val="Title"/>
      </w:pPr>
      <w:r w:rsidRPr="00D96063">
        <w:t>TRADE POLICY REVIEW</w:t>
      </w:r>
    </w:p>
    <w:p w14:paraId="4804852C" w14:textId="77777777" w:rsidR="00C15F2E" w:rsidRPr="00D96063" w:rsidRDefault="00C15F2E" w:rsidP="00352F58">
      <w:pPr>
        <w:pStyle w:val="Title2"/>
      </w:pPr>
      <w:r w:rsidRPr="00D96063">
        <w:t>REPORT BY THE SECRETARIAT</w:t>
      </w:r>
    </w:p>
    <w:p w14:paraId="7075BED9" w14:textId="77777777" w:rsidR="00C15F2E" w:rsidRPr="00D96063" w:rsidRDefault="00C15F2E" w:rsidP="00352F58">
      <w:pPr>
        <w:pStyle w:val="TitleCountry"/>
      </w:pPr>
      <w:r w:rsidRPr="00D96063">
        <w:t>Ghana</w:t>
      </w:r>
    </w:p>
    <w:p w14:paraId="7027912D" w14:textId="1241F176" w:rsidR="00C15F2E" w:rsidRPr="00D96063" w:rsidRDefault="00C15F2E" w:rsidP="00352F58">
      <w:r w:rsidRPr="00D96063">
        <w:t xml:space="preserve">This report, prepared for the </w:t>
      </w:r>
      <w:r w:rsidR="00CE198A">
        <w:t>f</w:t>
      </w:r>
      <w:r w:rsidRPr="00D96063">
        <w:t>ifth Trade Policy Review of Ghana, has been drawn up by the WTO</w:t>
      </w:r>
      <w:r w:rsidR="00CE198A">
        <w:t> </w:t>
      </w:r>
      <w:r w:rsidRPr="00D96063">
        <w:t>Secretariat on its own responsibility. The Secretariat has, as required by the Agreement establishing the Trade Policy Review Mechanism (Annex 3 of the Marrakesh Agreement Establishing the World Trade Organization), sought clarification from Ghana on its trade policies and practices.</w:t>
      </w:r>
    </w:p>
    <w:p w14:paraId="38F95F6A" w14:textId="77777777" w:rsidR="00C15F2E" w:rsidRPr="00D96063" w:rsidRDefault="00C15F2E" w:rsidP="00352F58"/>
    <w:p w14:paraId="51CE26EB" w14:textId="59B08DDF" w:rsidR="00C15F2E" w:rsidRPr="00D96063" w:rsidRDefault="00C15F2E" w:rsidP="00352F58">
      <w:r w:rsidRPr="00D96063">
        <w:t>Any technical questions arising from this report may be addressed to Jacques Degbelo (022 739 5583), Thomas Friedheim</w:t>
      </w:r>
      <w:r w:rsidR="000E1F77" w:rsidRPr="00D96063">
        <w:t xml:space="preserve"> </w:t>
      </w:r>
      <w:r w:rsidRPr="00D96063">
        <w:t>(022 739 5083)</w:t>
      </w:r>
      <w:r w:rsidR="000E1F77" w:rsidRPr="00D96063">
        <w:t>, and Catherine Hennis-Pierre</w:t>
      </w:r>
      <w:r w:rsidRPr="00D96063">
        <w:t>.</w:t>
      </w:r>
    </w:p>
    <w:p w14:paraId="6CB7F529" w14:textId="77777777" w:rsidR="00C15F2E" w:rsidRPr="00D96063" w:rsidRDefault="00C15F2E" w:rsidP="00352F58"/>
    <w:p w14:paraId="68452665" w14:textId="77777777" w:rsidR="00C15F2E" w:rsidRPr="00D96063" w:rsidRDefault="00C15F2E" w:rsidP="00352F58">
      <w:r w:rsidRPr="00D96063">
        <w:t>Document WT/TPR/G/427 contains the policy statement submitted by Ghana.</w:t>
      </w:r>
    </w:p>
    <w:p w14:paraId="3FDEDE50" w14:textId="77777777" w:rsidR="00C15F2E" w:rsidRPr="00D96063" w:rsidRDefault="00C15F2E" w:rsidP="00352F58"/>
    <w:p w14:paraId="640372EF" w14:textId="77777777" w:rsidR="00C15F2E" w:rsidRPr="00D96063" w:rsidRDefault="00C15F2E" w:rsidP="00352F58">
      <w:pPr>
        <w:pBdr>
          <w:bottom w:val="single" w:sz="6" w:space="0" w:color="auto"/>
        </w:pBdr>
      </w:pPr>
      <w:r w:rsidRPr="00D96063">
        <w:fldChar w:fldCharType="begin"/>
      </w:r>
      <w:r w:rsidRPr="00D96063">
        <w:instrText xml:space="preserve"> ADVANCE  \y 700  </w:instrText>
      </w:r>
      <w:r w:rsidRPr="00D96063">
        <w:fldChar w:fldCharType="end"/>
      </w:r>
    </w:p>
    <w:p w14:paraId="735D2CCA" w14:textId="77777777" w:rsidR="00C15F2E" w:rsidRPr="00D96063" w:rsidRDefault="00C15F2E" w:rsidP="00352F58">
      <w:pPr>
        <w:pBdr>
          <w:bottom w:val="single" w:sz="6" w:space="0" w:color="auto"/>
        </w:pBdr>
      </w:pPr>
    </w:p>
    <w:p w14:paraId="588C25C9" w14:textId="77777777" w:rsidR="00C15F2E" w:rsidRPr="00D96063" w:rsidRDefault="00C15F2E" w:rsidP="00352F58">
      <w:pPr>
        <w:pBdr>
          <w:bottom w:val="single" w:sz="6" w:space="0" w:color="auto"/>
        </w:pBdr>
      </w:pPr>
    </w:p>
    <w:p w14:paraId="13927926" w14:textId="77777777" w:rsidR="00C15F2E" w:rsidRPr="00D96063" w:rsidRDefault="00C15F2E" w:rsidP="00352F58">
      <w:pPr>
        <w:pBdr>
          <w:bottom w:val="single" w:sz="6" w:space="0" w:color="auto"/>
        </w:pBdr>
      </w:pPr>
    </w:p>
    <w:p w14:paraId="753E5435" w14:textId="77777777" w:rsidR="00C15F2E" w:rsidRPr="00D96063" w:rsidRDefault="00C15F2E" w:rsidP="00352F58">
      <w:pPr>
        <w:pBdr>
          <w:bottom w:val="single" w:sz="6" w:space="0" w:color="auto"/>
        </w:pBdr>
      </w:pPr>
    </w:p>
    <w:p w14:paraId="7331784D" w14:textId="77777777" w:rsidR="00C15F2E" w:rsidRPr="00D96063" w:rsidRDefault="00C15F2E" w:rsidP="00352F58">
      <w:pPr>
        <w:pBdr>
          <w:bottom w:val="single" w:sz="6" w:space="0" w:color="auto"/>
        </w:pBdr>
      </w:pPr>
    </w:p>
    <w:p w14:paraId="4BE11656" w14:textId="77777777" w:rsidR="00C15F2E" w:rsidRPr="00D96063" w:rsidRDefault="00C15F2E" w:rsidP="00352F58">
      <w:pPr>
        <w:pBdr>
          <w:bottom w:val="single" w:sz="6" w:space="0" w:color="auto"/>
        </w:pBdr>
      </w:pPr>
    </w:p>
    <w:p w14:paraId="1522BE88" w14:textId="77777777" w:rsidR="00C15F2E" w:rsidRPr="00D96063" w:rsidRDefault="00C15F2E" w:rsidP="00352F58">
      <w:pPr>
        <w:pBdr>
          <w:bottom w:val="single" w:sz="6" w:space="0" w:color="auto"/>
        </w:pBdr>
      </w:pPr>
    </w:p>
    <w:p w14:paraId="70F42059" w14:textId="77777777" w:rsidR="00C15F2E" w:rsidRPr="00D96063" w:rsidRDefault="00C15F2E" w:rsidP="00352F58">
      <w:pPr>
        <w:pBdr>
          <w:bottom w:val="single" w:sz="6" w:space="0" w:color="auto"/>
        </w:pBdr>
      </w:pPr>
    </w:p>
    <w:p w14:paraId="6089F855" w14:textId="77777777" w:rsidR="00C15F2E" w:rsidRPr="00D96063" w:rsidRDefault="00C15F2E" w:rsidP="00352F58">
      <w:pPr>
        <w:pBdr>
          <w:bottom w:val="single" w:sz="6" w:space="0" w:color="auto"/>
        </w:pBdr>
      </w:pPr>
    </w:p>
    <w:p w14:paraId="2808B46A" w14:textId="77777777" w:rsidR="00C15F2E" w:rsidRPr="00D96063" w:rsidRDefault="00C15F2E" w:rsidP="00352F58">
      <w:pPr>
        <w:pBdr>
          <w:bottom w:val="single" w:sz="6" w:space="0" w:color="auto"/>
        </w:pBdr>
      </w:pPr>
    </w:p>
    <w:p w14:paraId="70FE10AF" w14:textId="77777777" w:rsidR="00C15F2E" w:rsidRPr="00D96063" w:rsidRDefault="00C15F2E" w:rsidP="00352F58">
      <w:pPr>
        <w:pBdr>
          <w:bottom w:val="single" w:sz="6" w:space="0" w:color="auto"/>
        </w:pBdr>
      </w:pPr>
    </w:p>
    <w:p w14:paraId="5DD30308" w14:textId="77777777" w:rsidR="00C15F2E" w:rsidRPr="00D96063" w:rsidRDefault="00C15F2E" w:rsidP="00352F58">
      <w:pPr>
        <w:pBdr>
          <w:bottom w:val="single" w:sz="6" w:space="0" w:color="auto"/>
        </w:pBdr>
      </w:pPr>
    </w:p>
    <w:p w14:paraId="032834AF" w14:textId="77777777" w:rsidR="00C15F2E" w:rsidRPr="00D96063" w:rsidRDefault="00C15F2E" w:rsidP="00352F58">
      <w:pPr>
        <w:pBdr>
          <w:bottom w:val="single" w:sz="6" w:space="0" w:color="auto"/>
        </w:pBdr>
      </w:pPr>
    </w:p>
    <w:p w14:paraId="3879CAD5" w14:textId="77777777" w:rsidR="00C15F2E" w:rsidRPr="00D96063" w:rsidRDefault="00C15F2E" w:rsidP="00352F58">
      <w:pPr>
        <w:pBdr>
          <w:bottom w:val="single" w:sz="6" w:space="0" w:color="auto"/>
        </w:pBdr>
      </w:pPr>
    </w:p>
    <w:p w14:paraId="33671C22" w14:textId="77777777" w:rsidR="00C15F2E" w:rsidRPr="00D96063" w:rsidRDefault="00C15F2E" w:rsidP="00352F58">
      <w:pPr>
        <w:pBdr>
          <w:bottom w:val="single" w:sz="6" w:space="0" w:color="auto"/>
        </w:pBdr>
      </w:pPr>
    </w:p>
    <w:p w14:paraId="15AF0B29" w14:textId="77777777" w:rsidR="00C15F2E" w:rsidRPr="00D96063" w:rsidRDefault="00C15F2E" w:rsidP="00352F58">
      <w:pPr>
        <w:pBdr>
          <w:bottom w:val="single" w:sz="6" w:space="0" w:color="auto"/>
        </w:pBdr>
      </w:pPr>
    </w:p>
    <w:p w14:paraId="774BF051" w14:textId="77777777" w:rsidR="00C15F2E" w:rsidRPr="00D96063" w:rsidRDefault="00C15F2E" w:rsidP="00352F58">
      <w:pPr>
        <w:pBdr>
          <w:bottom w:val="single" w:sz="6" w:space="0" w:color="auto"/>
        </w:pBdr>
      </w:pPr>
    </w:p>
    <w:p w14:paraId="374F5E1E" w14:textId="77777777" w:rsidR="00C15F2E" w:rsidRPr="00D96063" w:rsidRDefault="00C15F2E" w:rsidP="00352F58">
      <w:pPr>
        <w:pBdr>
          <w:bottom w:val="single" w:sz="6" w:space="0" w:color="auto"/>
        </w:pBdr>
      </w:pPr>
    </w:p>
    <w:p w14:paraId="7ADA8720" w14:textId="77777777" w:rsidR="00C15F2E" w:rsidRPr="00D96063" w:rsidRDefault="00C15F2E" w:rsidP="00352F58">
      <w:pPr>
        <w:pBdr>
          <w:bottom w:val="single" w:sz="6" w:space="0" w:color="auto"/>
        </w:pBdr>
      </w:pPr>
    </w:p>
    <w:p w14:paraId="2C7EDBD9" w14:textId="77777777" w:rsidR="00C15F2E" w:rsidRPr="00D96063" w:rsidRDefault="00C15F2E" w:rsidP="00352F58">
      <w:pPr>
        <w:pBdr>
          <w:bottom w:val="single" w:sz="6" w:space="0" w:color="auto"/>
        </w:pBdr>
      </w:pPr>
    </w:p>
    <w:p w14:paraId="19C4EC2D" w14:textId="77777777" w:rsidR="00C15F2E" w:rsidRPr="00D96063" w:rsidRDefault="00C15F2E" w:rsidP="00352F58">
      <w:pPr>
        <w:pBdr>
          <w:bottom w:val="single" w:sz="6" w:space="0" w:color="auto"/>
        </w:pBdr>
      </w:pPr>
    </w:p>
    <w:p w14:paraId="32A533BE" w14:textId="77777777" w:rsidR="00C15F2E" w:rsidRPr="00D96063" w:rsidRDefault="00C15F2E" w:rsidP="00352F58">
      <w:pPr>
        <w:pBdr>
          <w:bottom w:val="single" w:sz="6" w:space="0" w:color="auto"/>
        </w:pBdr>
      </w:pPr>
    </w:p>
    <w:p w14:paraId="06BEDF1C" w14:textId="77777777" w:rsidR="00C15F2E" w:rsidRPr="00D96063" w:rsidRDefault="00C15F2E" w:rsidP="00352F58">
      <w:pPr>
        <w:pBdr>
          <w:bottom w:val="single" w:sz="6" w:space="0" w:color="auto"/>
        </w:pBdr>
      </w:pPr>
    </w:p>
    <w:p w14:paraId="6381FBE7" w14:textId="77777777" w:rsidR="00C15F2E" w:rsidRPr="00D96063" w:rsidRDefault="00C15F2E" w:rsidP="00352F58">
      <w:pPr>
        <w:pBdr>
          <w:bottom w:val="single" w:sz="6" w:space="0" w:color="auto"/>
        </w:pBdr>
      </w:pPr>
    </w:p>
    <w:p w14:paraId="0CA9B8BE" w14:textId="77777777" w:rsidR="00C15F2E" w:rsidRPr="00D96063" w:rsidRDefault="00C15F2E" w:rsidP="00352F58">
      <w:pPr>
        <w:pBdr>
          <w:bottom w:val="single" w:sz="6" w:space="0" w:color="auto"/>
        </w:pBdr>
      </w:pPr>
    </w:p>
    <w:p w14:paraId="6621131C" w14:textId="77777777" w:rsidR="00C15F2E" w:rsidRPr="00D96063" w:rsidRDefault="00C15F2E" w:rsidP="00352F58">
      <w:pPr>
        <w:pBdr>
          <w:bottom w:val="single" w:sz="6" w:space="0" w:color="auto"/>
        </w:pBdr>
      </w:pPr>
    </w:p>
    <w:p w14:paraId="1DE6FAF5" w14:textId="77777777" w:rsidR="00C15F2E" w:rsidRPr="00D96063" w:rsidRDefault="00C15F2E" w:rsidP="00352F58">
      <w:pPr>
        <w:pBdr>
          <w:bottom w:val="single" w:sz="6" w:space="0" w:color="auto"/>
        </w:pBdr>
      </w:pPr>
    </w:p>
    <w:p w14:paraId="41363E0E" w14:textId="77777777" w:rsidR="00C15F2E" w:rsidRPr="00D96063" w:rsidRDefault="00C15F2E" w:rsidP="00352F58">
      <w:pPr>
        <w:pBdr>
          <w:bottom w:val="single" w:sz="6" w:space="0" w:color="auto"/>
        </w:pBdr>
      </w:pPr>
    </w:p>
    <w:p w14:paraId="58F769A3" w14:textId="77777777" w:rsidR="00C15F2E" w:rsidRPr="00D96063" w:rsidRDefault="00C15F2E" w:rsidP="00352F58">
      <w:pPr>
        <w:pBdr>
          <w:bottom w:val="single" w:sz="6" w:space="0" w:color="auto"/>
        </w:pBdr>
      </w:pPr>
    </w:p>
    <w:p w14:paraId="269C8827" w14:textId="77777777" w:rsidR="00C15F2E" w:rsidRPr="00D96063" w:rsidRDefault="00C15F2E" w:rsidP="00352F58">
      <w:pPr>
        <w:pBdr>
          <w:bottom w:val="single" w:sz="6" w:space="0" w:color="auto"/>
        </w:pBdr>
      </w:pPr>
    </w:p>
    <w:p w14:paraId="5E201642" w14:textId="77777777" w:rsidR="00C15F2E" w:rsidRPr="00D96063" w:rsidRDefault="00C15F2E" w:rsidP="00352F58">
      <w:pPr>
        <w:pBdr>
          <w:bottom w:val="single" w:sz="6" w:space="0" w:color="auto"/>
        </w:pBdr>
      </w:pPr>
    </w:p>
    <w:p w14:paraId="1002D6DE" w14:textId="77777777" w:rsidR="00C15F2E" w:rsidRPr="00D96063" w:rsidRDefault="00C15F2E" w:rsidP="00352F58">
      <w:r w:rsidRPr="00D96063">
        <w:t>Note: This report is subject to restricted circulation and press embargo until the end of the first session of the meeting of the Trade Policy Review Body on Ghana. This report was drafted in English.</w:t>
      </w:r>
    </w:p>
    <w:p w14:paraId="57F9C3E9" w14:textId="77777777" w:rsidR="00C15F2E" w:rsidRPr="00D96063" w:rsidRDefault="00C15F2E" w:rsidP="00352F58">
      <w:r w:rsidRPr="00D96063">
        <w:br w:type="page"/>
      </w:r>
    </w:p>
    <w:p w14:paraId="23DDA381" w14:textId="77777777" w:rsidR="00C15F2E" w:rsidRPr="00D96063" w:rsidRDefault="00C15F2E" w:rsidP="00352F58">
      <w:pPr>
        <w:pStyle w:val="TOCHeading"/>
      </w:pPr>
      <w:r w:rsidRPr="00D96063">
        <w:lastRenderedPageBreak/>
        <w:t>CONTENTS</w:t>
      </w:r>
    </w:p>
    <w:p w14:paraId="203632EF" w14:textId="78C4E879" w:rsidR="00E25FAA" w:rsidRDefault="00C15F2E">
      <w:pPr>
        <w:pStyle w:val="TOC1"/>
        <w:tabs>
          <w:tab w:val="right" w:leader="dot" w:pos="9016"/>
        </w:tabs>
        <w:rPr>
          <w:rFonts w:asciiTheme="minorHAnsi" w:eastAsiaTheme="minorEastAsia" w:hAnsiTheme="minorHAnsi" w:cstheme="minorBidi"/>
          <w:b w:val="0"/>
          <w:caps w:val="0"/>
          <w:noProof/>
          <w:sz w:val="22"/>
          <w:szCs w:val="22"/>
        </w:rPr>
      </w:pPr>
      <w:r w:rsidRPr="00D96063">
        <w:fldChar w:fldCharType="begin"/>
      </w:r>
      <w:r w:rsidRPr="00D96063">
        <w:instrText xml:space="preserve"> TOC \o "1-6" \h \z \u </w:instrText>
      </w:r>
      <w:r w:rsidRPr="00D96063">
        <w:fldChar w:fldCharType="separate"/>
      </w:r>
      <w:hyperlink w:anchor="_Toc103607637" w:history="1">
        <w:r w:rsidR="00E25FAA" w:rsidRPr="002E3B74">
          <w:rPr>
            <w:rStyle w:val="Hyperlink"/>
            <w:noProof/>
          </w:rPr>
          <w:t>SUMMARY</w:t>
        </w:r>
        <w:r w:rsidR="00E25FAA">
          <w:rPr>
            <w:noProof/>
            <w:webHidden/>
          </w:rPr>
          <w:tab/>
        </w:r>
        <w:r w:rsidR="00E25FAA">
          <w:rPr>
            <w:noProof/>
            <w:webHidden/>
          </w:rPr>
          <w:fldChar w:fldCharType="begin"/>
        </w:r>
        <w:r w:rsidR="00E25FAA">
          <w:rPr>
            <w:noProof/>
            <w:webHidden/>
          </w:rPr>
          <w:instrText xml:space="preserve"> PAGEREF _Toc103607637 \h </w:instrText>
        </w:r>
        <w:r w:rsidR="00E25FAA">
          <w:rPr>
            <w:noProof/>
            <w:webHidden/>
          </w:rPr>
        </w:r>
        <w:r w:rsidR="00E25FAA">
          <w:rPr>
            <w:noProof/>
            <w:webHidden/>
          </w:rPr>
          <w:fldChar w:fldCharType="separate"/>
        </w:r>
        <w:r w:rsidR="00E25FAA">
          <w:rPr>
            <w:noProof/>
            <w:webHidden/>
          </w:rPr>
          <w:t>7</w:t>
        </w:r>
        <w:r w:rsidR="00E25FAA">
          <w:rPr>
            <w:noProof/>
            <w:webHidden/>
          </w:rPr>
          <w:fldChar w:fldCharType="end"/>
        </w:r>
      </w:hyperlink>
    </w:p>
    <w:p w14:paraId="5A4CCD05" w14:textId="53070D1D" w:rsidR="00E25FAA" w:rsidRDefault="0087550A">
      <w:pPr>
        <w:pStyle w:val="TOC1"/>
        <w:tabs>
          <w:tab w:val="right" w:leader="dot" w:pos="9016"/>
        </w:tabs>
        <w:rPr>
          <w:rFonts w:asciiTheme="minorHAnsi" w:eastAsiaTheme="minorEastAsia" w:hAnsiTheme="minorHAnsi" w:cstheme="minorBidi"/>
          <w:b w:val="0"/>
          <w:caps w:val="0"/>
          <w:noProof/>
          <w:sz w:val="22"/>
          <w:szCs w:val="22"/>
        </w:rPr>
      </w:pPr>
      <w:hyperlink w:anchor="_Toc103607638" w:history="1">
        <w:r w:rsidR="00E25FAA" w:rsidRPr="002E3B74">
          <w:rPr>
            <w:rStyle w:val="Hyperlink"/>
            <w:noProof/>
          </w:rPr>
          <w:t>1   ECONOMIC ENVIRONMENT</w:t>
        </w:r>
        <w:r w:rsidR="00E25FAA">
          <w:rPr>
            <w:noProof/>
            <w:webHidden/>
          </w:rPr>
          <w:tab/>
        </w:r>
        <w:r w:rsidR="00E25FAA">
          <w:rPr>
            <w:noProof/>
            <w:webHidden/>
          </w:rPr>
          <w:fldChar w:fldCharType="begin"/>
        </w:r>
        <w:r w:rsidR="00E25FAA">
          <w:rPr>
            <w:noProof/>
            <w:webHidden/>
          </w:rPr>
          <w:instrText xml:space="preserve"> PAGEREF _Toc103607638 \h </w:instrText>
        </w:r>
        <w:r w:rsidR="00E25FAA">
          <w:rPr>
            <w:noProof/>
            <w:webHidden/>
          </w:rPr>
        </w:r>
        <w:r w:rsidR="00E25FAA">
          <w:rPr>
            <w:noProof/>
            <w:webHidden/>
          </w:rPr>
          <w:fldChar w:fldCharType="separate"/>
        </w:r>
        <w:r w:rsidR="00E25FAA">
          <w:rPr>
            <w:noProof/>
            <w:webHidden/>
          </w:rPr>
          <w:t>10</w:t>
        </w:r>
        <w:r w:rsidR="00E25FAA">
          <w:rPr>
            <w:noProof/>
            <w:webHidden/>
          </w:rPr>
          <w:fldChar w:fldCharType="end"/>
        </w:r>
      </w:hyperlink>
    </w:p>
    <w:p w14:paraId="4F621C9F" w14:textId="5794317D" w:rsidR="00E25FAA" w:rsidRDefault="0087550A">
      <w:pPr>
        <w:pStyle w:val="TOC2"/>
        <w:rPr>
          <w:rFonts w:asciiTheme="minorHAnsi" w:eastAsiaTheme="minorEastAsia" w:hAnsiTheme="minorHAnsi" w:cstheme="minorBidi"/>
          <w:noProof/>
          <w:sz w:val="22"/>
          <w:szCs w:val="22"/>
        </w:rPr>
      </w:pPr>
      <w:hyperlink w:anchor="_Toc103607639" w:history="1">
        <w:r w:rsidR="00E25FAA" w:rsidRPr="002E3B74">
          <w:rPr>
            <w:rStyle w:val="Hyperlink"/>
            <w:noProof/>
          </w:rPr>
          <w:t>1.1   Main Features of the Economy</w:t>
        </w:r>
        <w:r w:rsidR="00E25FAA">
          <w:rPr>
            <w:noProof/>
            <w:webHidden/>
          </w:rPr>
          <w:tab/>
        </w:r>
        <w:r w:rsidR="00E25FAA">
          <w:rPr>
            <w:noProof/>
            <w:webHidden/>
          </w:rPr>
          <w:fldChar w:fldCharType="begin"/>
        </w:r>
        <w:r w:rsidR="00E25FAA">
          <w:rPr>
            <w:noProof/>
            <w:webHidden/>
          </w:rPr>
          <w:instrText xml:space="preserve"> PAGEREF _Toc103607639 \h </w:instrText>
        </w:r>
        <w:r w:rsidR="00E25FAA">
          <w:rPr>
            <w:noProof/>
            <w:webHidden/>
          </w:rPr>
        </w:r>
        <w:r w:rsidR="00E25FAA">
          <w:rPr>
            <w:noProof/>
            <w:webHidden/>
          </w:rPr>
          <w:fldChar w:fldCharType="separate"/>
        </w:r>
        <w:r w:rsidR="00E25FAA">
          <w:rPr>
            <w:noProof/>
            <w:webHidden/>
          </w:rPr>
          <w:t>10</w:t>
        </w:r>
        <w:r w:rsidR="00E25FAA">
          <w:rPr>
            <w:noProof/>
            <w:webHidden/>
          </w:rPr>
          <w:fldChar w:fldCharType="end"/>
        </w:r>
      </w:hyperlink>
    </w:p>
    <w:p w14:paraId="01F0D782" w14:textId="42A0CB5C" w:rsidR="00E25FAA" w:rsidRDefault="0087550A">
      <w:pPr>
        <w:pStyle w:val="TOC2"/>
        <w:rPr>
          <w:rFonts w:asciiTheme="minorHAnsi" w:eastAsiaTheme="minorEastAsia" w:hAnsiTheme="minorHAnsi" w:cstheme="minorBidi"/>
          <w:noProof/>
          <w:sz w:val="22"/>
          <w:szCs w:val="22"/>
        </w:rPr>
      </w:pPr>
      <w:hyperlink w:anchor="_Toc103607640" w:history="1">
        <w:r w:rsidR="00E25FAA" w:rsidRPr="002E3B74">
          <w:rPr>
            <w:rStyle w:val="Hyperlink"/>
            <w:noProof/>
          </w:rPr>
          <w:t>1.2   Recent Economic Developments</w:t>
        </w:r>
        <w:r w:rsidR="00E25FAA">
          <w:rPr>
            <w:noProof/>
            <w:webHidden/>
          </w:rPr>
          <w:tab/>
        </w:r>
        <w:r w:rsidR="00E25FAA">
          <w:rPr>
            <w:noProof/>
            <w:webHidden/>
          </w:rPr>
          <w:fldChar w:fldCharType="begin"/>
        </w:r>
        <w:r w:rsidR="00E25FAA">
          <w:rPr>
            <w:noProof/>
            <w:webHidden/>
          </w:rPr>
          <w:instrText xml:space="preserve"> PAGEREF _Toc103607640 \h </w:instrText>
        </w:r>
        <w:r w:rsidR="00E25FAA">
          <w:rPr>
            <w:noProof/>
            <w:webHidden/>
          </w:rPr>
        </w:r>
        <w:r w:rsidR="00E25FAA">
          <w:rPr>
            <w:noProof/>
            <w:webHidden/>
          </w:rPr>
          <w:fldChar w:fldCharType="separate"/>
        </w:r>
        <w:r w:rsidR="00E25FAA">
          <w:rPr>
            <w:noProof/>
            <w:webHidden/>
          </w:rPr>
          <w:t>12</w:t>
        </w:r>
        <w:r w:rsidR="00E25FAA">
          <w:rPr>
            <w:noProof/>
            <w:webHidden/>
          </w:rPr>
          <w:fldChar w:fldCharType="end"/>
        </w:r>
      </w:hyperlink>
    </w:p>
    <w:p w14:paraId="0F883E3E" w14:textId="676F47A0" w:rsidR="00E25FAA" w:rsidRDefault="0087550A">
      <w:pPr>
        <w:pStyle w:val="TOC2"/>
        <w:rPr>
          <w:rFonts w:asciiTheme="minorHAnsi" w:eastAsiaTheme="minorEastAsia" w:hAnsiTheme="minorHAnsi" w:cstheme="minorBidi"/>
          <w:noProof/>
          <w:sz w:val="22"/>
          <w:szCs w:val="22"/>
        </w:rPr>
      </w:pPr>
      <w:hyperlink w:anchor="_Toc103607641" w:history="1">
        <w:r w:rsidR="00E25FAA" w:rsidRPr="002E3B74">
          <w:rPr>
            <w:rStyle w:val="Hyperlink"/>
            <w:rFonts w:eastAsia="Times New Roman"/>
            <w:noProof/>
          </w:rPr>
          <w:t>1.3  </w:t>
        </w:r>
        <w:r w:rsidR="00E25FAA" w:rsidRPr="002E3B74">
          <w:rPr>
            <w:rStyle w:val="Hyperlink"/>
            <w:noProof/>
          </w:rPr>
          <w:t xml:space="preserve"> Developments</w:t>
        </w:r>
        <w:r w:rsidR="00E25FAA" w:rsidRPr="002E3B74">
          <w:rPr>
            <w:rStyle w:val="Hyperlink"/>
            <w:rFonts w:eastAsia="Times New Roman"/>
            <w:noProof/>
          </w:rPr>
          <w:t xml:space="preserve"> in Trade and Foreign Direct Investment</w:t>
        </w:r>
        <w:r w:rsidR="00E25FAA">
          <w:rPr>
            <w:noProof/>
            <w:webHidden/>
          </w:rPr>
          <w:tab/>
        </w:r>
        <w:r w:rsidR="00E25FAA">
          <w:rPr>
            <w:noProof/>
            <w:webHidden/>
          </w:rPr>
          <w:fldChar w:fldCharType="begin"/>
        </w:r>
        <w:r w:rsidR="00E25FAA">
          <w:rPr>
            <w:noProof/>
            <w:webHidden/>
          </w:rPr>
          <w:instrText xml:space="preserve"> PAGEREF _Toc103607641 \h </w:instrText>
        </w:r>
        <w:r w:rsidR="00E25FAA">
          <w:rPr>
            <w:noProof/>
            <w:webHidden/>
          </w:rPr>
        </w:r>
        <w:r w:rsidR="00E25FAA">
          <w:rPr>
            <w:noProof/>
            <w:webHidden/>
          </w:rPr>
          <w:fldChar w:fldCharType="separate"/>
        </w:r>
        <w:r w:rsidR="00E25FAA">
          <w:rPr>
            <w:noProof/>
            <w:webHidden/>
          </w:rPr>
          <w:t>16</w:t>
        </w:r>
        <w:r w:rsidR="00E25FAA">
          <w:rPr>
            <w:noProof/>
            <w:webHidden/>
          </w:rPr>
          <w:fldChar w:fldCharType="end"/>
        </w:r>
      </w:hyperlink>
    </w:p>
    <w:p w14:paraId="78C883D9" w14:textId="2DF05BEC" w:rsidR="00E25FAA" w:rsidRDefault="0087550A">
      <w:pPr>
        <w:pStyle w:val="TOC3"/>
        <w:rPr>
          <w:rFonts w:asciiTheme="minorHAnsi" w:eastAsiaTheme="minorEastAsia" w:hAnsiTheme="minorHAnsi" w:cstheme="minorBidi"/>
          <w:noProof/>
          <w:sz w:val="22"/>
          <w:szCs w:val="22"/>
        </w:rPr>
      </w:pPr>
      <w:hyperlink w:anchor="_Toc103607642" w:history="1">
        <w:r w:rsidR="00E25FAA" w:rsidRPr="002E3B74">
          <w:rPr>
            <w:rStyle w:val="Hyperlink"/>
            <w:rFonts w:eastAsia="Times New Roman"/>
            <w:noProof/>
          </w:rPr>
          <w:t>1.3.1   Merchandise trade</w:t>
        </w:r>
        <w:r w:rsidR="00E25FAA">
          <w:rPr>
            <w:noProof/>
            <w:webHidden/>
          </w:rPr>
          <w:tab/>
        </w:r>
        <w:r w:rsidR="00E25FAA">
          <w:rPr>
            <w:noProof/>
            <w:webHidden/>
          </w:rPr>
          <w:fldChar w:fldCharType="begin"/>
        </w:r>
        <w:r w:rsidR="00E25FAA">
          <w:rPr>
            <w:noProof/>
            <w:webHidden/>
          </w:rPr>
          <w:instrText xml:space="preserve"> PAGEREF _Toc103607642 \h </w:instrText>
        </w:r>
        <w:r w:rsidR="00E25FAA">
          <w:rPr>
            <w:noProof/>
            <w:webHidden/>
          </w:rPr>
        </w:r>
        <w:r w:rsidR="00E25FAA">
          <w:rPr>
            <w:noProof/>
            <w:webHidden/>
          </w:rPr>
          <w:fldChar w:fldCharType="separate"/>
        </w:r>
        <w:r w:rsidR="00E25FAA">
          <w:rPr>
            <w:noProof/>
            <w:webHidden/>
          </w:rPr>
          <w:t>16</w:t>
        </w:r>
        <w:r w:rsidR="00E25FAA">
          <w:rPr>
            <w:noProof/>
            <w:webHidden/>
          </w:rPr>
          <w:fldChar w:fldCharType="end"/>
        </w:r>
      </w:hyperlink>
    </w:p>
    <w:p w14:paraId="3F771CEF" w14:textId="5D3A7A69" w:rsidR="00E25FAA" w:rsidRDefault="0087550A">
      <w:pPr>
        <w:pStyle w:val="TOC3"/>
        <w:rPr>
          <w:rFonts w:asciiTheme="minorHAnsi" w:eastAsiaTheme="minorEastAsia" w:hAnsiTheme="minorHAnsi" w:cstheme="minorBidi"/>
          <w:noProof/>
          <w:sz w:val="22"/>
          <w:szCs w:val="22"/>
        </w:rPr>
      </w:pPr>
      <w:hyperlink w:anchor="_Toc103607643" w:history="1">
        <w:r w:rsidR="00E25FAA" w:rsidRPr="002E3B74">
          <w:rPr>
            <w:rStyle w:val="Hyperlink"/>
            <w:rFonts w:eastAsia="Times New Roman"/>
            <w:noProof/>
          </w:rPr>
          <w:t>1.3.2   Services trade</w:t>
        </w:r>
        <w:r w:rsidR="00E25FAA">
          <w:rPr>
            <w:noProof/>
            <w:webHidden/>
          </w:rPr>
          <w:tab/>
        </w:r>
        <w:r w:rsidR="00E25FAA">
          <w:rPr>
            <w:noProof/>
            <w:webHidden/>
          </w:rPr>
          <w:fldChar w:fldCharType="begin"/>
        </w:r>
        <w:r w:rsidR="00E25FAA">
          <w:rPr>
            <w:noProof/>
            <w:webHidden/>
          </w:rPr>
          <w:instrText xml:space="preserve"> PAGEREF _Toc103607643 \h </w:instrText>
        </w:r>
        <w:r w:rsidR="00E25FAA">
          <w:rPr>
            <w:noProof/>
            <w:webHidden/>
          </w:rPr>
        </w:r>
        <w:r w:rsidR="00E25FAA">
          <w:rPr>
            <w:noProof/>
            <w:webHidden/>
          </w:rPr>
          <w:fldChar w:fldCharType="separate"/>
        </w:r>
        <w:r w:rsidR="00E25FAA">
          <w:rPr>
            <w:noProof/>
            <w:webHidden/>
          </w:rPr>
          <w:t>18</w:t>
        </w:r>
        <w:r w:rsidR="00E25FAA">
          <w:rPr>
            <w:noProof/>
            <w:webHidden/>
          </w:rPr>
          <w:fldChar w:fldCharType="end"/>
        </w:r>
      </w:hyperlink>
    </w:p>
    <w:p w14:paraId="579DD577" w14:textId="0268C768" w:rsidR="00E25FAA" w:rsidRDefault="0087550A">
      <w:pPr>
        <w:pStyle w:val="TOC3"/>
        <w:rPr>
          <w:rFonts w:asciiTheme="minorHAnsi" w:eastAsiaTheme="minorEastAsia" w:hAnsiTheme="minorHAnsi" w:cstheme="minorBidi"/>
          <w:noProof/>
          <w:sz w:val="22"/>
          <w:szCs w:val="22"/>
        </w:rPr>
      </w:pPr>
      <w:hyperlink w:anchor="_Toc103607644" w:history="1">
        <w:r w:rsidR="00E25FAA" w:rsidRPr="002E3B74">
          <w:rPr>
            <w:rStyle w:val="Hyperlink"/>
            <w:rFonts w:eastAsia="Times New Roman"/>
            <w:noProof/>
          </w:rPr>
          <w:t>1.3.3   Foreign investment</w:t>
        </w:r>
        <w:r w:rsidR="00E25FAA">
          <w:rPr>
            <w:noProof/>
            <w:webHidden/>
          </w:rPr>
          <w:tab/>
        </w:r>
        <w:r w:rsidR="00E25FAA">
          <w:rPr>
            <w:noProof/>
            <w:webHidden/>
          </w:rPr>
          <w:fldChar w:fldCharType="begin"/>
        </w:r>
        <w:r w:rsidR="00E25FAA">
          <w:rPr>
            <w:noProof/>
            <w:webHidden/>
          </w:rPr>
          <w:instrText xml:space="preserve"> PAGEREF _Toc103607644 \h </w:instrText>
        </w:r>
        <w:r w:rsidR="00E25FAA">
          <w:rPr>
            <w:noProof/>
            <w:webHidden/>
          </w:rPr>
        </w:r>
        <w:r w:rsidR="00E25FAA">
          <w:rPr>
            <w:noProof/>
            <w:webHidden/>
          </w:rPr>
          <w:fldChar w:fldCharType="separate"/>
        </w:r>
        <w:r w:rsidR="00E25FAA">
          <w:rPr>
            <w:noProof/>
            <w:webHidden/>
          </w:rPr>
          <w:t>19</w:t>
        </w:r>
        <w:r w:rsidR="00E25FAA">
          <w:rPr>
            <w:noProof/>
            <w:webHidden/>
          </w:rPr>
          <w:fldChar w:fldCharType="end"/>
        </w:r>
      </w:hyperlink>
    </w:p>
    <w:p w14:paraId="5D130B7F" w14:textId="359288AD" w:rsidR="00E25FAA" w:rsidRDefault="0087550A">
      <w:pPr>
        <w:pStyle w:val="TOC1"/>
        <w:tabs>
          <w:tab w:val="right" w:leader="dot" w:pos="9016"/>
        </w:tabs>
        <w:rPr>
          <w:rFonts w:asciiTheme="minorHAnsi" w:eastAsiaTheme="minorEastAsia" w:hAnsiTheme="minorHAnsi" w:cstheme="minorBidi"/>
          <w:b w:val="0"/>
          <w:caps w:val="0"/>
          <w:noProof/>
          <w:sz w:val="22"/>
          <w:szCs w:val="22"/>
        </w:rPr>
      </w:pPr>
      <w:hyperlink w:anchor="_Toc103607645" w:history="1">
        <w:r w:rsidR="00E25FAA" w:rsidRPr="002E3B74">
          <w:rPr>
            <w:rStyle w:val="Hyperlink"/>
            <w:noProof/>
          </w:rPr>
          <w:t>2   TRADE AND INVESTMENT REGIMES</w:t>
        </w:r>
        <w:r w:rsidR="00E25FAA">
          <w:rPr>
            <w:noProof/>
            <w:webHidden/>
          </w:rPr>
          <w:tab/>
        </w:r>
        <w:r w:rsidR="00E25FAA">
          <w:rPr>
            <w:noProof/>
            <w:webHidden/>
          </w:rPr>
          <w:fldChar w:fldCharType="begin"/>
        </w:r>
        <w:r w:rsidR="00E25FAA">
          <w:rPr>
            <w:noProof/>
            <w:webHidden/>
          </w:rPr>
          <w:instrText xml:space="preserve"> PAGEREF _Toc103607645 \h </w:instrText>
        </w:r>
        <w:r w:rsidR="00E25FAA">
          <w:rPr>
            <w:noProof/>
            <w:webHidden/>
          </w:rPr>
        </w:r>
        <w:r w:rsidR="00E25FAA">
          <w:rPr>
            <w:noProof/>
            <w:webHidden/>
          </w:rPr>
          <w:fldChar w:fldCharType="separate"/>
        </w:r>
        <w:r w:rsidR="00E25FAA">
          <w:rPr>
            <w:noProof/>
            <w:webHidden/>
          </w:rPr>
          <w:t>20</w:t>
        </w:r>
        <w:r w:rsidR="00E25FAA">
          <w:rPr>
            <w:noProof/>
            <w:webHidden/>
          </w:rPr>
          <w:fldChar w:fldCharType="end"/>
        </w:r>
      </w:hyperlink>
    </w:p>
    <w:p w14:paraId="3EACFC1A" w14:textId="28027483" w:rsidR="00E25FAA" w:rsidRDefault="0087550A">
      <w:pPr>
        <w:pStyle w:val="TOC2"/>
        <w:rPr>
          <w:rFonts w:asciiTheme="minorHAnsi" w:eastAsiaTheme="minorEastAsia" w:hAnsiTheme="minorHAnsi" w:cstheme="minorBidi"/>
          <w:noProof/>
          <w:sz w:val="22"/>
          <w:szCs w:val="22"/>
        </w:rPr>
      </w:pPr>
      <w:hyperlink w:anchor="_Toc103607646" w:history="1">
        <w:r w:rsidR="00E25FAA" w:rsidRPr="002E3B74">
          <w:rPr>
            <w:rStyle w:val="Hyperlink"/>
            <w:noProof/>
          </w:rPr>
          <w:t>2.1   General Framework</w:t>
        </w:r>
        <w:r w:rsidR="00E25FAA">
          <w:rPr>
            <w:noProof/>
            <w:webHidden/>
          </w:rPr>
          <w:tab/>
        </w:r>
        <w:r w:rsidR="00E25FAA">
          <w:rPr>
            <w:noProof/>
            <w:webHidden/>
          </w:rPr>
          <w:fldChar w:fldCharType="begin"/>
        </w:r>
        <w:r w:rsidR="00E25FAA">
          <w:rPr>
            <w:noProof/>
            <w:webHidden/>
          </w:rPr>
          <w:instrText xml:space="preserve"> PAGEREF _Toc103607646 \h </w:instrText>
        </w:r>
        <w:r w:rsidR="00E25FAA">
          <w:rPr>
            <w:noProof/>
            <w:webHidden/>
          </w:rPr>
        </w:r>
        <w:r w:rsidR="00E25FAA">
          <w:rPr>
            <w:noProof/>
            <w:webHidden/>
          </w:rPr>
          <w:fldChar w:fldCharType="separate"/>
        </w:r>
        <w:r w:rsidR="00E25FAA">
          <w:rPr>
            <w:noProof/>
            <w:webHidden/>
          </w:rPr>
          <w:t>20</w:t>
        </w:r>
        <w:r w:rsidR="00E25FAA">
          <w:rPr>
            <w:noProof/>
            <w:webHidden/>
          </w:rPr>
          <w:fldChar w:fldCharType="end"/>
        </w:r>
      </w:hyperlink>
    </w:p>
    <w:p w14:paraId="0D5039AE" w14:textId="19E06219" w:rsidR="00E25FAA" w:rsidRDefault="0087550A">
      <w:pPr>
        <w:pStyle w:val="TOC2"/>
        <w:rPr>
          <w:rFonts w:asciiTheme="minorHAnsi" w:eastAsiaTheme="minorEastAsia" w:hAnsiTheme="minorHAnsi" w:cstheme="minorBidi"/>
          <w:noProof/>
          <w:sz w:val="22"/>
          <w:szCs w:val="22"/>
        </w:rPr>
      </w:pPr>
      <w:hyperlink w:anchor="_Toc103607647" w:history="1">
        <w:r w:rsidR="00E25FAA" w:rsidRPr="002E3B74">
          <w:rPr>
            <w:rStyle w:val="Hyperlink"/>
            <w:noProof/>
          </w:rPr>
          <w:t>2.2   Trade Policy Objectives</w:t>
        </w:r>
        <w:r w:rsidR="00E25FAA">
          <w:rPr>
            <w:noProof/>
            <w:webHidden/>
          </w:rPr>
          <w:tab/>
        </w:r>
        <w:r w:rsidR="00E25FAA">
          <w:rPr>
            <w:noProof/>
            <w:webHidden/>
          </w:rPr>
          <w:fldChar w:fldCharType="begin"/>
        </w:r>
        <w:r w:rsidR="00E25FAA">
          <w:rPr>
            <w:noProof/>
            <w:webHidden/>
          </w:rPr>
          <w:instrText xml:space="preserve"> PAGEREF _Toc103607647 \h </w:instrText>
        </w:r>
        <w:r w:rsidR="00E25FAA">
          <w:rPr>
            <w:noProof/>
            <w:webHidden/>
          </w:rPr>
        </w:r>
        <w:r w:rsidR="00E25FAA">
          <w:rPr>
            <w:noProof/>
            <w:webHidden/>
          </w:rPr>
          <w:fldChar w:fldCharType="separate"/>
        </w:r>
        <w:r w:rsidR="00E25FAA">
          <w:rPr>
            <w:noProof/>
            <w:webHidden/>
          </w:rPr>
          <w:t>21</w:t>
        </w:r>
        <w:r w:rsidR="00E25FAA">
          <w:rPr>
            <w:noProof/>
            <w:webHidden/>
          </w:rPr>
          <w:fldChar w:fldCharType="end"/>
        </w:r>
      </w:hyperlink>
    </w:p>
    <w:p w14:paraId="59C17F95" w14:textId="5386DFD3" w:rsidR="00E25FAA" w:rsidRDefault="0087550A">
      <w:pPr>
        <w:pStyle w:val="TOC2"/>
        <w:rPr>
          <w:rFonts w:asciiTheme="minorHAnsi" w:eastAsiaTheme="minorEastAsia" w:hAnsiTheme="minorHAnsi" w:cstheme="minorBidi"/>
          <w:noProof/>
          <w:sz w:val="22"/>
          <w:szCs w:val="22"/>
        </w:rPr>
      </w:pPr>
      <w:hyperlink w:anchor="_Toc103607648" w:history="1">
        <w:r w:rsidR="00E25FAA" w:rsidRPr="002E3B74">
          <w:rPr>
            <w:rStyle w:val="Hyperlink"/>
            <w:noProof/>
          </w:rPr>
          <w:t>2.3   Trade Agreements and Arrangements</w:t>
        </w:r>
        <w:r w:rsidR="00E25FAA">
          <w:rPr>
            <w:noProof/>
            <w:webHidden/>
          </w:rPr>
          <w:tab/>
        </w:r>
        <w:r w:rsidR="00E25FAA">
          <w:rPr>
            <w:noProof/>
            <w:webHidden/>
          </w:rPr>
          <w:fldChar w:fldCharType="begin"/>
        </w:r>
        <w:r w:rsidR="00E25FAA">
          <w:rPr>
            <w:noProof/>
            <w:webHidden/>
          </w:rPr>
          <w:instrText xml:space="preserve"> PAGEREF _Toc103607648 \h </w:instrText>
        </w:r>
        <w:r w:rsidR="00E25FAA">
          <w:rPr>
            <w:noProof/>
            <w:webHidden/>
          </w:rPr>
        </w:r>
        <w:r w:rsidR="00E25FAA">
          <w:rPr>
            <w:noProof/>
            <w:webHidden/>
          </w:rPr>
          <w:fldChar w:fldCharType="separate"/>
        </w:r>
        <w:r w:rsidR="00E25FAA">
          <w:rPr>
            <w:noProof/>
            <w:webHidden/>
          </w:rPr>
          <w:t>22</w:t>
        </w:r>
        <w:r w:rsidR="00E25FAA">
          <w:rPr>
            <w:noProof/>
            <w:webHidden/>
          </w:rPr>
          <w:fldChar w:fldCharType="end"/>
        </w:r>
      </w:hyperlink>
    </w:p>
    <w:p w14:paraId="6F4859E2" w14:textId="35450BD9" w:rsidR="00E25FAA" w:rsidRDefault="0087550A">
      <w:pPr>
        <w:pStyle w:val="TOC3"/>
        <w:rPr>
          <w:rFonts w:asciiTheme="minorHAnsi" w:eastAsiaTheme="minorEastAsia" w:hAnsiTheme="minorHAnsi" w:cstheme="minorBidi"/>
          <w:noProof/>
          <w:sz w:val="22"/>
          <w:szCs w:val="22"/>
        </w:rPr>
      </w:pPr>
      <w:hyperlink w:anchor="_Toc103607649" w:history="1">
        <w:r w:rsidR="00E25FAA" w:rsidRPr="002E3B74">
          <w:rPr>
            <w:rStyle w:val="Hyperlink"/>
            <w:noProof/>
          </w:rPr>
          <w:t>2.3.1   World Trade Organization</w:t>
        </w:r>
        <w:r w:rsidR="00E25FAA">
          <w:rPr>
            <w:noProof/>
            <w:webHidden/>
          </w:rPr>
          <w:tab/>
        </w:r>
        <w:r w:rsidR="00E25FAA">
          <w:rPr>
            <w:noProof/>
            <w:webHidden/>
          </w:rPr>
          <w:fldChar w:fldCharType="begin"/>
        </w:r>
        <w:r w:rsidR="00E25FAA">
          <w:rPr>
            <w:noProof/>
            <w:webHidden/>
          </w:rPr>
          <w:instrText xml:space="preserve"> PAGEREF _Toc103607649 \h </w:instrText>
        </w:r>
        <w:r w:rsidR="00E25FAA">
          <w:rPr>
            <w:noProof/>
            <w:webHidden/>
          </w:rPr>
        </w:r>
        <w:r w:rsidR="00E25FAA">
          <w:rPr>
            <w:noProof/>
            <w:webHidden/>
          </w:rPr>
          <w:fldChar w:fldCharType="separate"/>
        </w:r>
        <w:r w:rsidR="00E25FAA">
          <w:rPr>
            <w:noProof/>
            <w:webHidden/>
          </w:rPr>
          <w:t>22</w:t>
        </w:r>
        <w:r w:rsidR="00E25FAA">
          <w:rPr>
            <w:noProof/>
            <w:webHidden/>
          </w:rPr>
          <w:fldChar w:fldCharType="end"/>
        </w:r>
      </w:hyperlink>
    </w:p>
    <w:p w14:paraId="45AD1C60" w14:textId="65D444A9" w:rsidR="00E25FAA" w:rsidRDefault="0087550A">
      <w:pPr>
        <w:pStyle w:val="TOC3"/>
        <w:rPr>
          <w:rFonts w:asciiTheme="minorHAnsi" w:eastAsiaTheme="minorEastAsia" w:hAnsiTheme="minorHAnsi" w:cstheme="minorBidi"/>
          <w:noProof/>
          <w:sz w:val="22"/>
          <w:szCs w:val="22"/>
        </w:rPr>
      </w:pPr>
      <w:hyperlink w:anchor="_Toc103607650" w:history="1">
        <w:r w:rsidR="00E25FAA" w:rsidRPr="002E3B74">
          <w:rPr>
            <w:rStyle w:val="Hyperlink"/>
            <w:noProof/>
          </w:rPr>
          <w:t>2.3.2   ECOWAS</w:t>
        </w:r>
        <w:r w:rsidR="00E25FAA">
          <w:rPr>
            <w:noProof/>
            <w:webHidden/>
          </w:rPr>
          <w:tab/>
        </w:r>
        <w:r w:rsidR="00E25FAA">
          <w:rPr>
            <w:noProof/>
            <w:webHidden/>
          </w:rPr>
          <w:fldChar w:fldCharType="begin"/>
        </w:r>
        <w:r w:rsidR="00E25FAA">
          <w:rPr>
            <w:noProof/>
            <w:webHidden/>
          </w:rPr>
          <w:instrText xml:space="preserve"> PAGEREF _Toc103607650 \h </w:instrText>
        </w:r>
        <w:r w:rsidR="00E25FAA">
          <w:rPr>
            <w:noProof/>
            <w:webHidden/>
          </w:rPr>
        </w:r>
        <w:r w:rsidR="00E25FAA">
          <w:rPr>
            <w:noProof/>
            <w:webHidden/>
          </w:rPr>
          <w:fldChar w:fldCharType="separate"/>
        </w:r>
        <w:r w:rsidR="00E25FAA">
          <w:rPr>
            <w:noProof/>
            <w:webHidden/>
          </w:rPr>
          <w:t>23</w:t>
        </w:r>
        <w:r w:rsidR="00E25FAA">
          <w:rPr>
            <w:noProof/>
            <w:webHidden/>
          </w:rPr>
          <w:fldChar w:fldCharType="end"/>
        </w:r>
      </w:hyperlink>
    </w:p>
    <w:p w14:paraId="1D2670A9" w14:textId="3E44FCEC" w:rsidR="00E25FAA" w:rsidRDefault="0087550A">
      <w:pPr>
        <w:pStyle w:val="TOC3"/>
        <w:rPr>
          <w:rFonts w:asciiTheme="minorHAnsi" w:eastAsiaTheme="minorEastAsia" w:hAnsiTheme="minorHAnsi" w:cstheme="minorBidi"/>
          <w:noProof/>
          <w:sz w:val="22"/>
          <w:szCs w:val="22"/>
        </w:rPr>
      </w:pPr>
      <w:hyperlink w:anchor="_Toc103607651" w:history="1">
        <w:r w:rsidR="00E25FAA" w:rsidRPr="002E3B74">
          <w:rPr>
            <w:rStyle w:val="Hyperlink"/>
            <w:noProof/>
          </w:rPr>
          <w:t>2.3.3   African Union</w:t>
        </w:r>
        <w:r w:rsidR="00E25FAA">
          <w:rPr>
            <w:noProof/>
            <w:webHidden/>
          </w:rPr>
          <w:tab/>
        </w:r>
        <w:r w:rsidR="00E25FAA">
          <w:rPr>
            <w:noProof/>
            <w:webHidden/>
          </w:rPr>
          <w:fldChar w:fldCharType="begin"/>
        </w:r>
        <w:r w:rsidR="00E25FAA">
          <w:rPr>
            <w:noProof/>
            <w:webHidden/>
          </w:rPr>
          <w:instrText xml:space="preserve"> PAGEREF _Toc103607651 \h </w:instrText>
        </w:r>
        <w:r w:rsidR="00E25FAA">
          <w:rPr>
            <w:noProof/>
            <w:webHidden/>
          </w:rPr>
        </w:r>
        <w:r w:rsidR="00E25FAA">
          <w:rPr>
            <w:noProof/>
            <w:webHidden/>
          </w:rPr>
          <w:fldChar w:fldCharType="separate"/>
        </w:r>
        <w:r w:rsidR="00E25FAA">
          <w:rPr>
            <w:noProof/>
            <w:webHidden/>
          </w:rPr>
          <w:t>24</w:t>
        </w:r>
        <w:r w:rsidR="00E25FAA">
          <w:rPr>
            <w:noProof/>
            <w:webHidden/>
          </w:rPr>
          <w:fldChar w:fldCharType="end"/>
        </w:r>
      </w:hyperlink>
    </w:p>
    <w:p w14:paraId="66BCB871" w14:textId="70FB1787" w:rsidR="00E25FAA" w:rsidRDefault="0087550A">
      <w:pPr>
        <w:pStyle w:val="TOC3"/>
        <w:rPr>
          <w:rFonts w:asciiTheme="minorHAnsi" w:eastAsiaTheme="minorEastAsia" w:hAnsiTheme="minorHAnsi" w:cstheme="minorBidi"/>
          <w:noProof/>
          <w:sz w:val="22"/>
          <w:szCs w:val="22"/>
        </w:rPr>
      </w:pPr>
      <w:hyperlink w:anchor="_Toc103607652" w:history="1">
        <w:r w:rsidR="00E25FAA" w:rsidRPr="002E3B74">
          <w:rPr>
            <w:rStyle w:val="Hyperlink"/>
            <w:noProof/>
          </w:rPr>
          <w:t>2.3.4   Economic Partnership Agreement (EPA) with the European Union</w:t>
        </w:r>
        <w:r w:rsidR="00E25FAA">
          <w:rPr>
            <w:noProof/>
            <w:webHidden/>
          </w:rPr>
          <w:tab/>
        </w:r>
        <w:r w:rsidR="00E25FAA">
          <w:rPr>
            <w:noProof/>
            <w:webHidden/>
          </w:rPr>
          <w:fldChar w:fldCharType="begin"/>
        </w:r>
        <w:r w:rsidR="00E25FAA">
          <w:rPr>
            <w:noProof/>
            <w:webHidden/>
          </w:rPr>
          <w:instrText xml:space="preserve"> PAGEREF _Toc103607652 \h </w:instrText>
        </w:r>
        <w:r w:rsidR="00E25FAA">
          <w:rPr>
            <w:noProof/>
            <w:webHidden/>
          </w:rPr>
        </w:r>
        <w:r w:rsidR="00E25FAA">
          <w:rPr>
            <w:noProof/>
            <w:webHidden/>
          </w:rPr>
          <w:fldChar w:fldCharType="separate"/>
        </w:r>
        <w:r w:rsidR="00E25FAA">
          <w:rPr>
            <w:noProof/>
            <w:webHidden/>
          </w:rPr>
          <w:t>25</w:t>
        </w:r>
        <w:r w:rsidR="00E25FAA">
          <w:rPr>
            <w:noProof/>
            <w:webHidden/>
          </w:rPr>
          <w:fldChar w:fldCharType="end"/>
        </w:r>
      </w:hyperlink>
    </w:p>
    <w:p w14:paraId="70FCB7F7" w14:textId="25F1C0A3" w:rsidR="00E25FAA" w:rsidRDefault="0087550A">
      <w:pPr>
        <w:pStyle w:val="TOC3"/>
        <w:rPr>
          <w:rFonts w:asciiTheme="minorHAnsi" w:eastAsiaTheme="minorEastAsia" w:hAnsiTheme="minorHAnsi" w:cstheme="minorBidi"/>
          <w:noProof/>
          <w:sz w:val="22"/>
          <w:szCs w:val="22"/>
        </w:rPr>
      </w:pPr>
      <w:hyperlink w:anchor="_Toc103607653" w:history="1">
        <w:r w:rsidR="00E25FAA" w:rsidRPr="002E3B74">
          <w:rPr>
            <w:rStyle w:val="Hyperlink"/>
            <w:noProof/>
          </w:rPr>
          <w:t>2.3.5   UK</w:t>
        </w:r>
        <w:r w:rsidR="00E25FAA" w:rsidRPr="002E3B74">
          <w:rPr>
            <w:rStyle w:val="Hyperlink"/>
            <w:noProof/>
          </w:rPr>
          <w:noBreakHyphen/>
          <w:t>Ghana EPA</w:t>
        </w:r>
        <w:r w:rsidR="00E25FAA">
          <w:rPr>
            <w:noProof/>
            <w:webHidden/>
          </w:rPr>
          <w:tab/>
        </w:r>
        <w:r w:rsidR="00E25FAA">
          <w:rPr>
            <w:noProof/>
            <w:webHidden/>
          </w:rPr>
          <w:fldChar w:fldCharType="begin"/>
        </w:r>
        <w:r w:rsidR="00E25FAA">
          <w:rPr>
            <w:noProof/>
            <w:webHidden/>
          </w:rPr>
          <w:instrText xml:space="preserve"> PAGEREF _Toc103607653 \h </w:instrText>
        </w:r>
        <w:r w:rsidR="00E25FAA">
          <w:rPr>
            <w:noProof/>
            <w:webHidden/>
          </w:rPr>
        </w:r>
        <w:r w:rsidR="00E25FAA">
          <w:rPr>
            <w:noProof/>
            <w:webHidden/>
          </w:rPr>
          <w:fldChar w:fldCharType="separate"/>
        </w:r>
        <w:r w:rsidR="00E25FAA">
          <w:rPr>
            <w:noProof/>
            <w:webHidden/>
          </w:rPr>
          <w:t>25</w:t>
        </w:r>
        <w:r w:rsidR="00E25FAA">
          <w:rPr>
            <w:noProof/>
            <w:webHidden/>
          </w:rPr>
          <w:fldChar w:fldCharType="end"/>
        </w:r>
      </w:hyperlink>
    </w:p>
    <w:p w14:paraId="2A2A74AB" w14:textId="65CD2ED8" w:rsidR="00E25FAA" w:rsidRDefault="0087550A">
      <w:pPr>
        <w:pStyle w:val="TOC3"/>
        <w:rPr>
          <w:rFonts w:asciiTheme="minorHAnsi" w:eastAsiaTheme="minorEastAsia" w:hAnsiTheme="minorHAnsi" w:cstheme="minorBidi"/>
          <w:noProof/>
          <w:sz w:val="22"/>
          <w:szCs w:val="22"/>
        </w:rPr>
      </w:pPr>
      <w:hyperlink w:anchor="_Toc103607654" w:history="1">
        <w:r w:rsidR="00E25FAA" w:rsidRPr="002E3B74">
          <w:rPr>
            <w:rStyle w:val="Hyperlink"/>
            <w:noProof/>
          </w:rPr>
          <w:t>2.3.6   African Growth and Opportunity Act (AGOA)</w:t>
        </w:r>
        <w:r w:rsidR="00E25FAA">
          <w:rPr>
            <w:noProof/>
            <w:webHidden/>
          </w:rPr>
          <w:tab/>
        </w:r>
        <w:r w:rsidR="00E25FAA">
          <w:rPr>
            <w:noProof/>
            <w:webHidden/>
          </w:rPr>
          <w:fldChar w:fldCharType="begin"/>
        </w:r>
        <w:r w:rsidR="00E25FAA">
          <w:rPr>
            <w:noProof/>
            <w:webHidden/>
          </w:rPr>
          <w:instrText xml:space="preserve"> PAGEREF _Toc103607654 \h </w:instrText>
        </w:r>
        <w:r w:rsidR="00E25FAA">
          <w:rPr>
            <w:noProof/>
            <w:webHidden/>
          </w:rPr>
        </w:r>
        <w:r w:rsidR="00E25FAA">
          <w:rPr>
            <w:noProof/>
            <w:webHidden/>
          </w:rPr>
          <w:fldChar w:fldCharType="separate"/>
        </w:r>
        <w:r w:rsidR="00E25FAA">
          <w:rPr>
            <w:noProof/>
            <w:webHidden/>
          </w:rPr>
          <w:t>25</w:t>
        </w:r>
        <w:r w:rsidR="00E25FAA">
          <w:rPr>
            <w:noProof/>
            <w:webHidden/>
          </w:rPr>
          <w:fldChar w:fldCharType="end"/>
        </w:r>
      </w:hyperlink>
    </w:p>
    <w:p w14:paraId="39CA9A5D" w14:textId="272F34C7" w:rsidR="00E25FAA" w:rsidRDefault="0087550A">
      <w:pPr>
        <w:pStyle w:val="TOC2"/>
        <w:rPr>
          <w:rFonts w:asciiTheme="minorHAnsi" w:eastAsiaTheme="minorEastAsia" w:hAnsiTheme="minorHAnsi" w:cstheme="minorBidi"/>
          <w:noProof/>
          <w:sz w:val="22"/>
          <w:szCs w:val="22"/>
        </w:rPr>
      </w:pPr>
      <w:hyperlink w:anchor="_Toc103607655" w:history="1">
        <w:r w:rsidR="00E25FAA" w:rsidRPr="002E3B74">
          <w:rPr>
            <w:rStyle w:val="Hyperlink"/>
            <w:noProof/>
          </w:rPr>
          <w:t>2.4   Foreign Investment Regime</w:t>
        </w:r>
        <w:r w:rsidR="00E25FAA">
          <w:rPr>
            <w:noProof/>
            <w:webHidden/>
          </w:rPr>
          <w:tab/>
        </w:r>
        <w:r w:rsidR="00E25FAA">
          <w:rPr>
            <w:noProof/>
            <w:webHidden/>
          </w:rPr>
          <w:fldChar w:fldCharType="begin"/>
        </w:r>
        <w:r w:rsidR="00E25FAA">
          <w:rPr>
            <w:noProof/>
            <w:webHidden/>
          </w:rPr>
          <w:instrText xml:space="preserve"> PAGEREF _Toc103607655 \h </w:instrText>
        </w:r>
        <w:r w:rsidR="00E25FAA">
          <w:rPr>
            <w:noProof/>
            <w:webHidden/>
          </w:rPr>
        </w:r>
        <w:r w:rsidR="00E25FAA">
          <w:rPr>
            <w:noProof/>
            <w:webHidden/>
          </w:rPr>
          <w:fldChar w:fldCharType="separate"/>
        </w:r>
        <w:r w:rsidR="00E25FAA">
          <w:rPr>
            <w:noProof/>
            <w:webHidden/>
          </w:rPr>
          <w:t>26</w:t>
        </w:r>
        <w:r w:rsidR="00E25FAA">
          <w:rPr>
            <w:noProof/>
            <w:webHidden/>
          </w:rPr>
          <w:fldChar w:fldCharType="end"/>
        </w:r>
      </w:hyperlink>
    </w:p>
    <w:p w14:paraId="2C90BE40" w14:textId="101C8ECC" w:rsidR="00E25FAA" w:rsidRDefault="0087550A">
      <w:pPr>
        <w:pStyle w:val="TOC3"/>
        <w:rPr>
          <w:rFonts w:asciiTheme="minorHAnsi" w:eastAsiaTheme="minorEastAsia" w:hAnsiTheme="minorHAnsi" w:cstheme="minorBidi"/>
          <w:noProof/>
          <w:sz w:val="22"/>
          <w:szCs w:val="22"/>
        </w:rPr>
      </w:pPr>
      <w:hyperlink w:anchor="_Toc103607656" w:history="1">
        <w:r w:rsidR="00E25FAA" w:rsidRPr="002E3B74">
          <w:rPr>
            <w:rStyle w:val="Hyperlink"/>
            <w:noProof/>
          </w:rPr>
          <w:t>2.4.1   Overview</w:t>
        </w:r>
        <w:r w:rsidR="00E25FAA">
          <w:rPr>
            <w:noProof/>
            <w:webHidden/>
          </w:rPr>
          <w:tab/>
        </w:r>
        <w:r w:rsidR="00E25FAA">
          <w:rPr>
            <w:noProof/>
            <w:webHidden/>
          </w:rPr>
          <w:fldChar w:fldCharType="begin"/>
        </w:r>
        <w:r w:rsidR="00E25FAA">
          <w:rPr>
            <w:noProof/>
            <w:webHidden/>
          </w:rPr>
          <w:instrText xml:space="preserve"> PAGEREF _Toc103607656 \h </w:instrText>
        </w:r>
        <w:r w:rsidR="00E25FAA">
          <w:rPr>
            <w:noProof/>
            <w:webHidden/>
          </w:rPr>
        </w:r>
        <w:r w:rsidR="00E25FAA">
          <w:rPr>
            <w:noProof/>
            <w:webHidden/>
          </w:rPr>
          <w:fldChar w:fldCharType="separate"/>
        </w:r>
        <w:r w:rsidR="00E25FAA">
          <w:rPr>
            <w:noProof/>
            <w:webHidden/>
          </w:rPr>
          <w:t>26</w:t>
        </w:r>
        <w:r w:rsidR="00E25FAA">
          <w:rPr>
            <w:noProof/>
            <w:webHidden/>
          </w:rPr>
          <w:fldChar w:fldCharType="end"/>
        </w:r>
      </w:hyperlink>
    </w:p>
    <w:p w14:paraId="47DF5645" w14:textId="4C14B5D1" w:rsidR="00E25FAA" w:rsidRDefault="0087550A">
      <w:pPr>
        <w:pStyle w:val="TOC3"/>
        <w:rPr>
          <w:rFonts w:asciiTheme="minorHAnsi" w:eastAsiaTheme="minorEastAsia" w:hAnsiTheme="minorHAnsi" w:cstheme="minorBidi"/>
          <w:noProof/>
          <w:sz w:val="22"/>
          <w:szCs w:val="22"/>
        </w:rPr>
      </w:pPr>
      <w:hyperlink w:anchor="_Toc103607657" w:history="1">
        <w:r w:rsidR="00E25FAA" w:rsidRPr="002E3B74">
          <w:rPr>
            <w:rStyle w:val="Hyperlink"/>
            <w:noProof/>
          </w:rPr>
          <w:t>2.4.2   Foreign investment restrictions</w:t>
        </w:r>
        <w:r w:rsidR="00E25FAA">
          <w:rPr>
            <w:noProof/>
            <w:webHidden/>
          </w:rPr>
          <w:tab/>
        </w:r>
        <w:r w:rsidR="00E25FAA">
          <w:rPr>
            <w:noProof/>
            <w:webHidden/>
          </w:rPr>
          <w:fldChar w:fldCharType="begin"/>
        </w:r>
        <w:r w:rsidR="00E25FAA">
          <w:rPr>
            <w:noProof/>
            <w:webHidden/>
          </w:rPr>
          <w:instrText xml:space="preserve"> PAGEREF _Toc103607657 \h </w:instrText>
        </w:r>
        <w:r w:rsidR="00E25FAA">
          <w:rPr>
            <w:noProof/>
            <w:webHidden/>
          </w:rPr>
        </w:r>
        <w:r w:rsidR="00E25FAA">
          <w:rPr>
            <w:noProof/>
            <w:webHidden/>
          </w:rPr>
          <w:fldChar w:fldCharType="separate"/>
        </w:r>
        <w:r w:rsidR="00E25FAA">
          <w:rPr>
            <w:noProof/>
            <w:webHidden/>
          </w:rPr>
          <w:t>27</w:t>
        </w:r>
        <w:r w:rsidR="00E25FAA">
          <w:rPr>
            <w:noProof/>
            <w:webHidden/>
          </w:rPr>
          <w:fldChar w:fldCharType="end"/>
        </w:r>
      </w:hyperlink>
    </w:p>
    <w:p w14:paraId="5DFD77AC" w14:textId="5A366F79" w:rsidR="00E25FAA" w:rsidRDefault="0087550A">
      <w:pPr>
        <w:pStyle w:val="TOC3"/>
        <w:rPr>
          <w:rFonts w:asciiTheme="minorHAnsi" w:eastAsiaTheme="minorEastAsia" w:hAnsiTheme="minorHAnsi" w:cstheme="minorBidi"/>
          <w:noProof/>
          <w:sz w:val="22"/>
          <w:szCs w:val="22"/>
        </w:rPr>
      </w:pPr>
      <w:hyperlink w:anchor="_Toc103607658" w:history="1">
        <w:r w:rsidR="00E25FAA" w:rsidRPr="002E3B74">
          <w:rPr>
            <w:rStyle w:val="Hyperlink"/>
            <w:noProof/>
          </w:rPr>
          <w:t>2.4.3   Investment for infrastructure development</w:t>
        </w:r>
        <w:r w:rsidR="00E25FAA">
          <w:rPr>
            <w:noProof/>
            <w:webHidden/>
          </w:rPr>
          <w:tab/>
        </w:r>
        <w:r w:rsidR="00E25FAA">
          <w:rPr>
            <w:noProof/>
            <w:webHidden/>
          </w:rPr>
          <w:fldChar w:fldCharType="begin"/>
        </w:r>
        <w:r w:rsidR="00E25FAA">
          <w:rPr>
            <w:noProof/>
            <w:webHidden/>
          </w:rPr>
          <w:instrText xml:space="preserve"> PAGEREF _Toc103607658 \h </w:instrText>
        </w:r>
        <w:r w:rsidR="00E25FAA">
          <w:rPr>
            <w:noProof/>
            <w:webHidden/>
          </w:rPr>
        </w:r>
        <w:r w:rsidR="00E25FAA">
          <w:rPr>
            <w:noProof/>
            <w:webHidden/>
          </w:rPr>
          <w:fldChar w:fldCharType="separate"/>
        </w:r>
        <w:r w:rsidR="00E25FAA">
          <w:rPr>
            <w:noProof/>
            <w:webHidden/>
          </w:rPr>
          <w:t>28</w:t>
        </w:r>
        <w:r w:rsidR="00E25FAA">
          <w:rPr>
            <w:noProof/>
            <w:webHidden/>
          </w:rPr>
          <w:fldChar w:fldCharType="end"/>
        </w:r>
      </w:hyperlink>
    </w:p>
    <w:p w14:paraId="5FE4DCD2" w14:textId="254BA04D" w:rsidR="00E25FAA" w:rsidRDefault="0087550A">
      <w:pPr>
        <w:pStyle w:val="TOC3"/>
        <w:rPr>
          <w:rFonts w:asciiTheme="minorHAnsi" w:eastAsiaTheme="minorEastAsia" w:hAnsiTheme="minorHAnsi" w:cstheme="minorBidi"/>
          <w:noProof/>
          <w:sz w:val="22"/>
          <w:szCs w:val="22"/>
        </w:rPr>
      </w:pPr>
      <w:hyperlink w:anchor="_Toc103607659" w:history="1">
        <w:r w:rsidR="00E25FAA" w:rsidRPr="002E3B74">
          <w:rPr>
            <w:rStyle w:val="Hyperlink"/>
            <w:noProof/>
          </w:rPr>
          <w:t>2.4.4   Investment agreements</w:t>
        </w:r>
        <w:r w:rsidR="00E25FAA">
          <w:rPr>
            <w:noProof/>
            <w:webHidden/>
          </w:rPr>
          <w:tab/>
        </w:r>
        <w:r w:rsidR="00E25FAA">
          <w:rPr>
            <w:noProof/>
            <w:webHidden/>
          </w:rPr>
          <w:fldChar w:fldCharType="begin"/>
        </w:r>
        <w:r w:rsidR="00E25FAA">
          <w:rPr>
            <w:noProof/>
            <w:webHidden/>
          </w:rPr>
          <w:instrText xml:space="preserve"> PAGEREF _Toc103607659 \h </w:instrText>
        </w:r>
        <w:r w:rsidR="00E25FAA">
          <w:rPr>
            <w:noProof/>
            <w:webHidden/>
          </w:rPr>
        </w:r>
        <w:r w:rsidR="00E25FAA">
          <w:rPr>
            <w:noProof/>
            <w:webHidden/>
          </w:rPr>
          <w:fldChar w:fldCharType="separate"/>
        </w:r>
        <w:r w:rsidR="00E25FAA">
          <w:rPr>
            <w:noProof/>
            <w:webHidden/>
          </w:rPr>
          <w:t>28</w:t>
        </w:r>
        <w:r w:rsidR="00E25FAA">
          <w:rPr>
            <w:noProof/>
            <w:webHidden/>
          </w:rPr>
          <w:fldChar w:fldCharType="end"/>
        </w:r>
      </w:hyperlink>
    </w:p>
    <w:p w14:paraId="69F84E3C" w14:textId="40734449" w:rsidR="00E25FAA" w:rsidRDefault="0087550A">
      <w:pPr>
        <w:pStyle w:val="TOC1"/>
        <w:tabs>
          <w:tab w:val="right" w:leader="dot" w:pos="9016"/>
        </w:tabs>
        <w:rPr>
          <w:rFonts w:asciiTheme="minorHAnsi" w:eastAsiaTheme="minorEastAsia" w:hAnsiTheme="minorHAnsi" w:cstheme="minorBidi"/>
          <w:b w:val="0"/>
          <w:caps w:val="0"/>
          <w:noProof/>
          <w:sz w:val="22"/>
          <w:szCs w:val="22"/>
        </w:rPr>
      </w:pPr>
      <w:hyperlink w:anchor="_Toc103607660" w:history="1">
        <w:r w:rsidR="00E25FAA" w:rsidRPr="002E3B74">
          <w:rPr>
            <w:rStyle w:val="Hyperlink"/>
            <w:noProof/>
          </w:rPr>
          <w:t>3   TRADE POLICIES AND PRACTICES BY MEASURE</w:t>
        </w:r>
        <w:r w:rsidR="00E25FAA">
          <w:rPr>
            <w:noProof/>
            <w:webHidden/>
          </w:rPr>
          <w:tab/>
        </w:r>
        <w:r w:rsidR="00E25FAA">
          <w:rPr>
            <w:noProof/>
            <w:webHidden/>
          </w:rPr>
          <w:fldChar w:fldCharType="begin"/>
        </w:r>
        <w:r w:rsidR="00E25FAA">
          <w:rPr>
            <w:noProof/>
            <w:webHidden/>
          </w:rPr>
          <w:instrText xml:space="preserve"> PAGEREF _Toc103607660 \h </w:instrText>
        </w:r>
        <w:r w:rsidR="00E25FAA">
          <w:rPr>
            <w:noProof/>
            <w:webHidden/>
          </w:rPr>
        </w:r>
        <w:r w:rsidR="00E25FAA">
          <w:rPr>
            <w:noProof/>
            <w:webHidden/>
          </w:rPr>
          <w:fldChar w:fldCharType="separate"/>
        </w:r>
        <w:r w:rsidR="00E25FAA">
          <w:rPr>
            <w:noProof/>
            <w:webHidden/>
          </w:rPr>
          <w:t>29</w:t>
        </w:r>
        <w:r w:rsidR="00E25FAA">
          <w:rPr>
            <w:noProof/>
            <w:webHidden/>
          </w:rPr>
          <w:fldChar w:fldCharType="end"/>
        </w:r>
      </w:hyperlink>
    </w:p>
    <w:p w14:paraId="75DE4DDA" w14:textId="476F477C" w:rsidR="00E25FAA" w:rsidRDefault="0087550A">
      <w:pPr>
        <w:pStyle w:val="TOC2"/>
        <w:rPr>
          <w:rFonts w:asciiTheme="minorHAnsi" w:eastAsiaTheme="minorEastAsia" w:hAnsiTheme="minorHAnsi" w:cstheme="minorBidi"/>
          <w:noProof/>
          <w:sz w:val="22"/>
          <w:szCs w:val="22"/>
        </w:rPr>
      </w:pPr>
      <w:hyperlink w:anchor="_Toc103607661" w:history="1">
        <w:r w:rsidR="00E25FAA" w:rsidRPr="002E3B74">
          <w:rPr>
            <w:rStyle w:val="Hyperlink"/>
            <w:noProof/>
          </w:rPr>
          <w:t>3.1   Measures Directly Affecting Imports</w:t>
        </w:r>
        <w:r w:rsidR="00E25FAA">
          <w:rPr>
            <w:noProof/>
            <w:webHidden/>
          </w:rPr>
          <w:tab/>
        </w:r>
        <w:r w:rsidR="00E25FAA">
          <w:rPr>
            <w:noProof/>
            <w:webHidden/>
          </w:rPr>
          <w:fldChar w:fldCharType="begin"/>
        </w:r>
        <w:r w:rsidR="00E25FAA">
          <w:rPr>
            <w:noProof/>
            <w:webHidden/>
          </w:rPr>
          <w:instrText xml:space="preserve"> PAGEREF _Toc103607661 \h </w:instrText>
        </w:r>
        <w:r w:rsidR="00E25FAA">
          <w:rPr>
            <w:noProof/>
            <w:webHidden/>
          </w:rPr>
        </w:r>
        <w:r w:rsidR="00E25FAA">
          <w:rPr>
            <w:noProof/>
            <w:webHidden/>
          </w:rPr>
          <w:fldChar w:fldCharType="separate"/>
        </w:r>
        <w:r w:rsidR="00E25FAA">
          <w:rPr>
            <w:noProof/>
            <w:webHidden/>
          </w:rPr>
          <w:t>29</w:t>
        </w:r>
        <w:r w:rsidR="00E25FAA">
          <w:rPr>
            <w:noProof/>
            <w:webHidden/>
          </w:rPr>
          <w:fldChar w:fldCharType="end"/>
        </w:r>
      </w:hyperlink>
    </w:p>
    <w:p w14:paraId="6C5DA046" w14:textId="2B37F6F8" w:rsidR="00E25FAA" w:rsidRDefault="0087550A">
      <w:pPr>
        <w:pStyle w:val="TOC3"/>
        <w:rPr>
          <w:rFonts w:asciiTheme="minorHAnsi" w:eastAsiaTheme="minorEastAsia" w:hAnsiTheme="minorHAnsi" w:cstheme="minorBidi"/>
          <w:noProof/>
          <w:sz w:val="22"/>
          <w:szCs w:val="22"/>
        </w:rPr>
      </w:pPr>
      <w:hyperlink w:anchor="_Toc103607662" w:history="1">
        <w:r w:rsidR="00E25FAA" w:rsidRPr="002E3B74">
          <w:rPr>
            <w:rStyle w:val="Hyperlink"/>
            <w:noProof/>
          </w:rPr>
          <w:t>3.1.1   Customs procedures and valuation</w:t>
        </w:r>
        <w:r w:rsidR="00E25FAA">
          <w:rPr>
            <w:noProof/>
            <w:webHidden/>
          </w:rPr>
          <w:tab/>
        </w:r>
        <w:r w:rsidR="00E25FAA">
          <w:rPr>
            <w:noProof/>
            <w:webHidden/>
          </w:rPr>
          <w:fldChar w:fldCharType="begin"/>
        </w:r>
        <w:r w:rsidR="00E25FAA">
          <w:rPr>
            <w:noProof/>
            <w:webHidden/>
          </w:rPr>
          <w:instrText xml:space="preserve"> PAGEREF _Toc103607662 \h </w:instrText>
        </w:r>
        <w:r w:rsidR="00E25FAA">
          <w:rPr>
            <w:noProof/>
            <w:webHidden/>
          </w:rPr>
        </w:r>
        <w:r w:rsidR="00E25FAA">
          <w:rPr>
            <w:noProof/>
            <w:webHidden/>
          </w:rPr>
          <w:fldChar w:fldCharType="separate"/>
        </w:r>
        <w:r w:rsidR="00E25FAA">
          <w:rPr>
            <w:noProof/>
            <w:webHidden/>
          </w:rPr>
          <w:t>29</w:t>
        </w:r>
        <w:r w:rsidR="00E25FAA">
          <w:rPr>
            <w:noProof/>
            <w:webHidden/>
          </w:rPr>
          <w:fldChar w:fldCharType="end"/>
        </w:r>
      </w:hyperlink>
    </w:p>
    <w:p w14:paraId="5EDA95D7" w14:textId="4B74F430" w:rsidR="00E25FAA" w:rsidRDefault="0087550A">
      <w:pPr>
        <w:pStyle w:val="TOC4"/>
        <w:rPr>
          <w:rFonts w:asciiTheme="minorHAnsi" w:eastAsiaTheme="minorEastAsia" w:hAnsiTheme="minorHAnsi" w:cstheme="minorBidi"/>
          <w:noProof/>
          <w:sz w:val="22"/>
          <w:szCs w:val="22"/>
        </w:rPr>
      </w:pPr>
      <w:hyperlink w:anchor="_Toc103607663" w:history="1">
        <w:r w:rsidR="00E25FAA" w:rsidRPr="002E3B74">
          <w:rPr>
            <w:rStyle w:val="Hyperlink"/>
            <w:noProof/>
          </w:rPr>
          <w:t>3.1.1.1   Overview</w:t>
        </w:r>
        <w:r w:rsidR="00E25FAA">
          <w:rPr>
            <w:noProof/>
            <w:webHidden/>
          </w:rPr>
          <w:tab/>
        </w:r>
        <w:r w:rsidR="00E25FAA">
          <w:rPr>
            <w:noProof/>
            <w:webHidden/>
          </w:rPr>
          <w:fldChar w:fldCharType="begin"/>
        </w:r>
        <w:r w:rsidR="00E25FAA">
          <w:rPr>
            <w:noProof/>
            <w:webHidden/>
          </w:rPr>
          <w:instrText xml:space="preserve"> PAGEREF _Toc103607663 \h </w:instrText>
        </w:r>
        <w:r w:rsidR="00E25FAA">
          <w:rPr>
            <w:noProof/>
            <w:webHidden/>
          </w:rPr>
        </w:r>
        <w:r w:rsidR="00E25FAA">
          <w:rPr>
            <w:noProof/>
            <w:webHidden/>
          </w:rPr>
          <w:fldChar w:fldCharType="separate"/>
        </w:r>
        <w:r w:rsidR="00E25FAA">
          <w:rPr>
            <w:noProof/>
            <w:webHidden/>
          </w:rPr>
          <w:t>29</w:t>
        </w:r>
        <w:r w:rsidR="00E25FAA">
          <w:rPr>
            <w:noProof/>
            <w:webHidden/>
          </w:rPr>
          <w:fldChar w:fldCharType="end"/>
        </w:r>
      </w:hyperlink>
    </w:p>
    <w:p w14:paraId="02B32F0D" w14:textId="627B091C" w:rsidR="00E25FAA" w:rsidRDefault="0087550A">
      <w:pPr>
        <w:pStyle w:val="TOC4"/>
        <w:rPr>
          <w:rFonts w:asciiTheme="minorHAnsi" w:eastAsiaTheme="minorEastAsia" w:hAnsiTheme="minorHAnsi" w:cstheme="minorBidi"/>
          <w:noProof/>
          <w:sz w:val="22"/>
          <w:szCs w:val="22"/>
        </w:rPr>
      </w:pPr>
      <w:hyperlink w:anchor="_Toc103607664" w:history="1">
        <w:r w:rsidR="00E25FAA" w:rsidRPr="002E3B74">
          <w:rPr>
            <w:rStyle w:val="Hyperlink"/>
            <w:noProof/>
          </w:rPr>
          <w:t>3.1.1.2   Single window</w:t>
        </w:r>
        <w:r w:rsidR="00E25FAA">
          <w:rPr>
            <w:noProof/>
            <w:webHidden/>
          </w:rPr>
          <w:tab/>
        </w:r>
        <w:r w:rsidR="00E25FAA">
          <w:rPr>
            <w:noProof/>
            <w:webHidden/>
          </w:rPr>
          <w:fldChar w:fldCharType="begin"/>
        </w:r>
        <w:r w:rsidR="00E25FAA">
          <w:rPr>
            <w:noProof/>
            <w:webHidden/>
          </w:rPr>
          <w:instrText xml:space="preserve"> PAGEREF _Toc103607664 \h </w:instrText>
        </w:r>
        <w:r w:rsidR="00E25FAA">
          <w:rPr>
            <w:noProof/>
            <w:webHidden/>
          </w:rPr>
        </w:r>
        <w:r w:rsidR="00E25FAA">
          <w:rPr>
            <w:noProof/>
            <w:webHidden/>
          </w:rPr>
          <w:fldChar w:fldCharType="separate"/>
        </w:r>
        <w:r w:rsidR="00E25FAA">
          <w:rPr>
            <w:noProof/>
            <w:webHidden/>
          </w:rPr>
          <w:t>30</w:t>
        </w:r>
        <w:r w:rsidR="00E25FAA">
          <w:rPr>
            <w:noProof/>
            <w:webHidden/>
          </w:rPr>
          <w:fldChar w:fldCharType="end"/>
        </w:r>
      </w:hyperlink>
    </w:p>
    <w:p w14:paraId="2F20C650" w14:textId="6C09D97B" w:rsidR="00E25FAA" w:rsidRDefault="0087550A">
      <w:pPr>
        <w:pStyle w:val="TOC4"/>
        <w:rPr>
          <w:rFonts w:asciiTheme="minorHAnsi" w:eastAsiaTheme="minorEastAsia" w:hAnsiTheme="minorHAnsi" w:cstheme="minorBidi"/>
          <w:noProof/>
          <w:sz w:val="22"/>
          <w:szCs w:val="22"/>
        </w:rPr>
      </w:pPr>
      <w:hyperlink w:anchor="_Toc103607665" w:history="1">
        <w:r w:rsidR="00E25FAA" w:rsidRPr="002E3B74">
          <w:rPr>
            <w:rStyle w:val="Hyperlink"/>
            <w:noProof/>
          </w:rPr>
          <w:t>3.1.1.3   Destination inspection scheme</w:t>
        </w:r>
        <w:r w:rsidR="00E25FAA">
          <w:rPr>
            <w:noProof/>
            <w:webHidden/>
          </w:rPr>
          <w:tab/>
        </w:r>
        <w:r w:rsidR="00E25FAA">
          <w:rPr>
            <w:noProof/>
            <w:webHidden/>
          </w:rPr>
          <w:fldChar w:fldCharType="begin"/>
        </w:r>
        <w:r w:rsidR="00E25FAA">
          <w:rPr>
            <w:noProof/>
            <w:webHidden/>
          </w:rPr>
          <w:instrText xml:space="preserve"> PAGEREF _Toc103607665 \h </w:instrText>
        </w:r>
        <w:r w:rsidR="00E25FAA">
          <w:rPr>
            <w:noProof/>
            <w:webHidden/>
          </w:rPr>
        </w:r>
        <w:r w:rsidR="00E25FAA">
          <w:rPr>
            <w:noProof/>
            <w:webHidden/>
          </w:rPr>
          <w:fldChar w:fldCharType="separate"/>
        </w:r>
        <w:r w:rsidR="00E25FAA">
          <w:rPr>
            <w:noProof/>
            <w:webHidden/>
          </w:rPr>
          <w:t>31</w:t>
        </w:r>
        <w:r w:rsidR="00E25FAA">
          <w:rPr>
            <w:noProof/>
            <w:webHidden/>
          </w:rPr>
          <w:fldChar w:fldCharType="end"/>
        </w:r>
      </w:hyperlink>
    </w:p>
    <w:p w14:paraId="1764B493" w14:textId="1509E9E8" w:rsidR="00E25FAA" w:rsidRDefault="0087550A">
      <w:pPr>
        <w:pStyle w:val="TOC4"/>
        <w:rPr>
          <w:rFonts w:asciiTheme="minorHAnsi" w:eastAsiaTheme="minorEastAsia" w:hAnsiTheme="minorHAnsi" w:cstheme="minorBidi"/>
          <w:noProof/>
          <w:sz w:val="22"/>
          <w:szCs w:val="22"/>
        </w:rPr>
      </w:pPr>
      <w:hyperlink w:anchor="_Toc103607666" w:history="1">
        <w:r w:rsidR="00E25FAA" w:rsidRPr="002E3B74">
          <w:rPr>
            <w:rStyle w:val="Hyperlink"/>
            <w:noProof/>
          </w:rPr>
          <w:t>3.1.1.4   Customs valuation</w:t>
        </w:r>
        <w:r w:rsidR="00E25FAA">
          <w:rPr>
            <w:noProof/>
            <w:webHidden/>
          </w:rPr>
          <w:tab/>
        </w:r>
        <w:r w:rsidR="00E25FAA">
          <w:rPr>
            <w:noProof/>
            <w:webHidden/>
          </w:rPr>
          <w:fldChar w:fldCharType="begin"/>
        </w:r>
        <w:r w:rsidR="00E25FAA">
          <w:rPr>
            <w:noProof/>
            <w:webHidden/>
          </w:rPr>
          <w:instrText xml:space="preserve"> PAGEREF _Toc103607666 \h </w:instrText>
        </w:r>
        <w:r w:rsidR="00E25FAA">
          <w:rPr>
            <w:noProof/>
            <w:webHidden/>
          </w:rPr>
        </w:r>
        <w:r w:rsidR="00E25FAA">
          <w:rPr>
            <w:noProof/>
            <w:webHidden/>
          </w:rPr>
          <w:fldChar w:fldCharType="separate"/>
        </w:r>
        <w:r w:rsidR="00E25FAA">
          <w:rPr>
            <w:noProof/>
            <w:webHidden/>
          </w:rPr>
          <w:t>31</w:t>
        </w:r>
        <w:r w:rsidR="00E25FAA">
          <w:rPr>
            <w:noProof/>
            <w:webHidden/>
          </w:rPr>
          <w:fldChar w:fldCharType="end"/>
        </w:r>
      </w:hyperlink>
    </w:p>
    <w:p w14:paraId="0D7016CA" w14:textId="0D2BFFB7" w:rsidR="00E25FAA" w:rsidRDefault="0087550A">
      <w:pPr>
        <w:pStyle w:val="TOC3"/>
        <w:rPr>
          <w:rFonts w:asciiTheme="minorHAnsi" w:eastAsiaTheme="minorEastAsia" w:hAnsiTheme="minorHAnsi" w:cstheme="minorBidi"/>
          <w:noProof/>
          <w:sz w:val="22"/>
          <w:szCs w:val="22"/>
        </w:rPr>
      </w:pPr>
      <w:hyperlink w:anchor="_Toc103607667" w:history="1">
        <w:r w:rsidR="00E25FAA" w:rsidRPr="002E3B74">
          <w:rPr>
            <w:rStyle w:val="Hyperlink"/>
            <w:noProof/>
          </w:rPr>
          <w:t>3.1.2   Tariffs</w:t>
        </w:r>
        <w:r w:rsidR="00E25FAA">
          <w:rPr>
            <w:noProof/>
            <w:webHidden/>
          </w:rPr>
          <w:tab/>
        </w:r>
        <w:r w:rsidR="00E25FAA">
          <w:rPr>
            <w:noProof/>
            <w:webHidden/>
          </w:rPr>
          <w:fldChar w:fldCharType="begin"/>
        </w:r>
        <w:r w:rsidR="00E25FAA">
          <w:rPr>
            <w:noProof/>
            <w:webHidden/>
          </w:rPr>
          <w:instrText xml:space="preserve"> PAGEREF _Toc103607667 \h </w:instrText>
        </w:r>
        <w:r w:rsidR="00E25FAA">
          <w:rPr>
            <w:noProof/>
            <w:webHidden/>
          </w:rPr>
        </w:r>
        <w:r w:rsidR="00E25FAA">
          <w:rPr>
            <w:noProof/>
            <w:webHidden/>
          </w:rPr>
          <w:fldChar w:fldCharType="separate"/>
        </w:r>
        <w:r w:rsidR="00E25FAA">
          <w:rPr>
            <w:noProof/>
            <w:webHidden/>
          </w:rPr>
          <w:t>31</w:t>
        </w:r>
        <w:r w:rsidR="00E25FAA">
          <w:rPr>
            <w:noProof/>
            <w:webHidden/>
          </w:rPr>
          <w:fldChar w:fldCharType="end"/>
        </w:r>
      </w:hyperlink>
    </w:p>
    <w:p w14:paraId="2026FD61" w14:textId="099CDA02" w:rsidR="00E25FAA" w:rsidRDefault="0087550A">
      <w:pPr>
        <w:pStyle w:val="TOC4"/>
        <w:rPr>
          <w:rFonts w:asciiTheme="minorHAnsi" w:eastAsiaTheme="minorEastAsia" w:hAnsiTheme="minorHAnsi" w:cstheme="minorBidi"/>
          <w:noProof/>
          <w:sz w:val="22"/>
          <w:szCs w:val="22"/>
        </w:rPr>
      </w:pPr>
      <w:hyperlink w:anchor="_Toc103607668" w:history="1">
        <w:r w:rsidR="00E25FAA" w:rsidRPr="002E3B74">
          <w:rPr>
            <w:rStyle w:val="Hyperlink"/>
            <w:noProof/>
          </w:rPr>
          <w:t>3.1.2.1   Overview</w:t>
        </w:r>
        <w:r w:rsidR="00E25FAA">
          <w:rPr>
            <w:noProof/>
            <w:webHidden/>
          </w:rPr>
          <w:tab/>
        </w:r>
        <w:r w:rsidR="00E25FAA">
          <w:rPr>
            <w:noProof/>
            <w:webHidden/>
          </w:rPr>
          <w:fldChar w:fldCharType="begin"/>
        </w:r>
        <w:r w:rsidR="00E25FAA">
          <w:rPr>
            <w:noProof/>
            <w:webHidden/>
          </w:rPr>
          <w:instrText xml:space="preserve"> PAGEREF _Toc103607668 \h </w:instrText>
        </w:r>
        <w:r w:rsidR="00E25FAA">
          <w:rPr>
            <w:noProof/>
            <w:webHidden/>
          </w:rPr>
        </w:r>
        <w:r w:rsidR="00E25FAA">
          <w:rPr>
            <w:noProof/>
            <w:webHidden/>
          </w:rPr>
          <w:fldChar w:fldCharType="separate"/>
        </w:r>
        <w:r w:rsidR="00E25FAA">
          <w:rPr>
            <w:noProof/>
            <w:webHidden/>
          </w:rPr>
          <w:t>31</w:t>
        </w:r>
        <w:r w:rsidR="00E25FAA">
          <w:rPr>
            <w:noProof/>
            <w:webHidden/>
          </w:rPr>
          <w:fldChar w:fldCharType="end"/>
        </w:r>
      </w:hyperlink>
    </w:p>
    <w:p w14:paraId="12D33C58" w14:textId="705D6046" w:rsidR="00E25FAA" w:rsidRDefault="0087550A">
      <w:pPr>
        <w:pStyle w:val="TOC4"/>
        <w:rPr>
          <w:rFonts w:asciiTheme="minorHAnsi" w:eastAsiaTheme="minorEastAsia" w:hAnsiTheme="minorHAnsi" w:cstheme="minorBidi"/>
          <w:noProof/>
          <w:sz w:val="22"/>
          <w:szCs w:val="22"/>
        </w:rPr>
      </w:pPr>
      <w:hyperlink w:anchor="_Toc103607669" w:history="1">
        <w:r w:rsidR="00E25FAA" w:rsidRPr="002E3B74">
          <w:rPr>
            <w:rStyle w:val="Hyperlink"/>
            <w:noProof/>
          </w:rPr>
          <w:t>3.1.2.2   Applied MFN tariffs</w:t>
        </w:r>
        <w:r w:rsidR="00E25FAA">
          <w:rPr>
            <w:noProof/>
            <w:webHidden/>
          </w:rPr>
          <w:tab/>
        </w:r>
        <w:r w:rsidR="00E25FAA">
          <w:rPr>
            <w:noProof/>
            <w:webHidden/>
          </w:rPr>
          <w:fldChar w:fldCharType="begin"/>
        </w:r>
        <w:r w:rsidR="00E25FAA">
          <w:rPr>
            <w:noProof/>
            <w:webHidden/>
          </w:rPr>
          <w:instrText xml:space="preserve"> PAGEREF _Toc103607669 \h </w:instrText>
        </w:r>
        <w:r w:rsidR="00E25FAA">
          <w:rPr>
            <w:noProof/>
            <w:webHidden/>
          </w:rPr>
        </w:r>
        <w:r w:rsidR="00E25FAA">
          <w:rPr>
            <w:noProof/>
            <w:webHidden/>
          </w:rPr>
          <w:fldChar w:fldCharType="separate"/>
        </w:r>
        <w:r w:rsidR="00E25FAA">
          <w:rPr>
            <w:noProof/>
            <w:webHidden/>
          </w:rPr>
          <w:t>33</w:t>
        </w:r>
        <w:r w:rsidR="00E25FAA">
          <w:rPr>
            <w:noProof/>
            <w:webHidden/>
          </w:rPr>
          <w:fldChar w:fldCharType="end"/>
        </w:r>
      </w:hyperlink>
    </w:p>
    <w:p w14:paraId="4CBEC818" w14:textId="22B4DFB3" w:rsidR="00E25FAA" w:rsidRDefault="0087550A">
      <w:pPr>
        <w:pStyle w:val="TOC4"/>
        <w:rPr>
          <w:rFonts w:asciiTheme="minorHAnsi" w:eastAsiaTheme="minorEastAsia" w:hAnsiTheme="minorHAnsi" w:cstheme="minorBidi"/>
          <w:noProof/>
          <w:sz w:val="22"/>
          <w:szCs w:val="22"/>
        </w:rPr>
      </w:pPr>
      <w:hyperlink w:anchor="_Toc103607670" w:history="1">
        <w:r w:rsidR="00E25FAA" w:rsidRPr="002E3B74">
          <w:rPr>
            <w:rStyle w:val="Hyperlink"/>
            <w:noProof/>
          </w:rPr>
          <w:t>3.1.2.3   WTO bindings</w:t>
        </w:r>
        <w:r w:rsidR="00E25FAA">
          <w:rPr>
            <w:noProof/>
            <w:webHidden/>
          </w:rPr>
          <w:tab/>
        </w:r>
        <w:r w:rsidR="00E25FAA">
          <w:rPr>
            <w:noProof/>
            <w:webHidden/>
          </w:rPr>
          <w:fldChar w:fldCharType="begin"/>
        </w:r>
        <w:r w:rsidR="00E25FAA">
          <w:rPr>
            <w:noProof/>
            <w:webHidden/>
          </w:rPr>
          <w:instrText xml:space="preserve"> PAGEREF _Toc103607670 \h </w:instrText>
        </w:r>
        <w:r w:rsidR="00E25FAA">
          <w:rPr>
            <w:noProof/>
            <w:webHidden/>
          </w:rPr>
        </w:r>
        <w:r w:rsidR="00E25FAA">
          <w:rPr>
            <w:noProof/>
            <w:webHidden/>
          </w:rPr>
          <w:fldChar w:fldCharType="separate"/>
        </w:r>
        <w:r w:rsidR="00E25FAA">
          <w:rPr>
            <w:noProof/>
            <w:webHidden/>
          </w:rPr>
          <w:t>36</w:t>
        </w:r>
        <w:r w:rsidR="00E25FAA">
          <w:rPr>
            <w:noProof/>
            <w:webHidden/>
          </w:rPr>
          <w:fldChar w:fldCharType="end"/>
        </w:r>
      </w:hyperlink>
    </w:p>
    <w:p w14:paraId="4E0F2F8A" w14:textId="01A1B743" w:rsidR="00E25FAA" w:rsidRDefault="0087550A">
      <w:pPr>
        <w:pStyle w:val="TOC4"/>
        <w:rPr>
          <w:rFonts w:asciiTheme="minorHAnsi" w:eastAsiaTheme="minorEastAsia" w:hAnsiTheme="minorHAnsi" w:cstheme="minorBidi"/>
          <w:noProof/>
          <w:sz w:val="22"/>
          <w:szCs w:val="22"/>
        </w:rPr>
      </w:pPr>
      <w:hyperlink w:anchor="_Toc103607671" w:history="1">
        <w:r w:rsidR="00E25FAA" w:rsidRPr="002E3B74">
          <w:rPr>
            <w:rStyle w:val="Hyperlink"/>
            <w:noProof/>
          </w:rPr>
          <w:t>3.1.2.4   Duty concessions and exemptions</w:t>
        </w:r>
        <w:r w:rsidR="00E25FAA">
          <w:rPr>
            <w:noProof/>
            <w:webHidden/>
          </w:rPr>
          <w:tab/>
        </w:r>
        <w:r w:rsidR="00E25FAA">
          <w:rPr>
            <w:noProof/>
            <w:webHidden/>
          </w:rPr>
          <w:fldChar w:fldCharType="begin"/>
        </w:r>
        <w:r w:rsidR="00E25FAA">
          <w:rPr>
            <w:noProof/>
            <w:webHidden/>
          </w:rPr>
          <w:instrText xml:space="preserve"> PAGEREF _Toc103607671 \h </w:instrText>
        </w:r>
        <w:r w:rsidR="00E25FAA">
          <w:rPr>
            <w:noProof/>
            <w:webHidden/>
          </w:rPr>
        </w:r>
        <w:r w:rsidR="00E25FAA">
          <w:rPr>
            <w:noProof/>
            <w:webHidden/>
          </w:rPr>
          <w:fldChar w:fldCharType="separate"/>
        </w:r>
        <w:r w:rsidR="00E25FAA">
          <w:rPr>
            <w:noProof/>
            <w:webHidden/>
          </w:rPr>
          <w:t>36</w:t>
        </w:r>
        <w:r w:rsidR="00E25FAA">
          <w:rPr>
            <w:noProof/>
            <w:webHidden/>
          </w:rPr>
          <w:fldChar w:fldCharType="end"/>
        </w:r>
      </w:hyperlink>
    </w:p>
    <w:p w14:paraId="379F8D69" w14:textId="6C95BFB2" w:rsidR="00E25FAA" w:rsidRDefault="0087550A">
      <w:pPr>
        <w:pStyle w:val="TOC3"/>
        <w:rPr>
          <w:rFonts w:asciiTheme="minorHAnsi" w:eastAsiaTheme="minorEastAsia" w:hAnsiTheme="minorHAnsi" w:cstheme="minorBidi"/>
          <w:noProof/>
          <w:sz w:val="22"/>
          <w:szCs w:val="22"/>
        </w:rPr>
      </w:pPr>
      <w:hyperlink w:anchor="_Toc103607672" w:history="1">
        <w:r w:rsidR="00E25FAA" w:rsidRPr="002E3B74">
          <w:rPr>
            <w:rStyle w:val="Hyperlink"/>
            <w:noProof/>
          </w:rPr>
          <w:t>3.1.3   Other taxes and charges affecting imports</w:t>
        </w:r>
        <w:r w:rsidR="00E25FAA">
          <w:rPr>
            <w:noProof/>
            <w:webHidden/>
          </w:rPr>
          <w:tab/>
        </w:r>
        <w:r w:rsidR="00E25FAA">
          <w:rPr>
            <w:noProof/>
            <w:webHidden/>
          </w:rPr>
          <w:fldChar w:fldCharType="begin"/>
        </w:r>
        <w:r w:rsidR="00E25FAA">
          <w:rPr>
            <w:noProof/>
            <w:webHidden/>
          </w:rPr>
          <w:instrText xml:space="preserve"> PAGEREF _Toc103607672 \h </w:instrText>
        </w:r>
        <w:r w:rsidR="00E25FAA">
          <w:rPr>
            <w:noProof/>
            <w:webHidden/>
          </w:rPr>
        </w:r>
        <w:r w:rsidR="00E25FAA">
          <w:rPr>
            <w:noProof/>
            <w:webHidden/>
          </w:rPr>
          <w:fldChar w:fldCharType="separate"/>
        </w:r>
        <w:r w:rsidR="00E25FAA">
          <w:rPr>
            <w:noProof/>
            <w:webHidden/>
          </w:rPr>
          <w:t>38</w:t>
        </w:r>
        <w:r w:rsidR="00E25FAA">
          <w:rPr>
            <w:noProof/>
            <w:webHidden/>
          </w:rPr>
          <w:fldChar w:fldCharType="end"/>
        </w:r>
      </w:hyperlink>
    </w:p>
    <w:p w14:paraId="7F00CB89" w14:textId="6964273E" w:rsidR="00E25FAA" w:rsidRDefault="0087550A">
      <w:pPr>
        <w:pStyle w:val="TOC4"/>
        <w:rPr>
          <w:rFonts w:asciiTheme="minorHAnsi" w:eastAsiaTheme="minorEastAsia" w:hAnsiTheme="minorHAnsi" w:cstheme="minorBidi"/>
          <w:noProof/>
          <w:sz w:val="22"/>
          <w:szCs w:val="22"/>
        </w:rPr>
      </w:pPr>
      <w:hyperlink w:anchor="_Toc103607673" w:history="1">
        <w:r w:rsidR="00E25FAA" w:rsidRPr="002E3B74">
          <w:rPr>
            <w:rStyle w:val="Hyperlink"/>
            <w:noProof/>
          </w:rPr>
          <w:t>3.1.3.1   VAT</w:t>
        </w:r>
        <w:r w:rsidR="00E25FAA">
          <w:rPr>
            <w:noProof/>
            <w:webHidden/>
          </w:rPr>
          <w:tab/>
        </w:r>
        <w:r w:rsidR="00E25FAA">
          <w:rPr>
            <w:noProof/>
            <w:webHidden/>
          </w:rPr>
          <w:fldChar w:fldCharType="begin"/>
        </w:r>
        <w:r w:rsidR="00E25FAA">
          <w:rPr>
            <w:noProof/>
            <w:webHidden/>
          </w:rPr>
          <w:instrText xml:space="preserve"> PAGEREF _Toc103607673 \h </w:instrText>
        </w:r>
        <w:r w:rsidR="00E25FAA">
          <w:rPr>
            <w:noProof/>
            <w:webHidden/>
          </w:rPr>
        </w:r>
        <w:r w:rsidR="00E25FAA">
          <w:rPr>
            <w:noProof/>
            <w:webHidden/>
          </w:rPr>
          <w:fldChar w:fldCharType="separate"/>
        </w:r>
        <w:r w:rsidR="00E25FAA">
          <w:rPr>
            <w:noProof/>
            <w:webHidden/>
          </w:rPr>
          <w:t>38</w:t>
        </w:r>
        <w:r w:rsidR="00E25FAA">
          <w:rPr>
            <w:noProof/>
            <w:webHidden/>
          </w:rPr>
          <w:fldChar w:fldCharType="end"/>
        </w:r>
      </w:hyperlink>
    </w:p>
    <w:p w14:paraId="5C8D312B" w14:textId="02745183" w:rsidR="00E25FAA" w:rsidRDefault="0087550A">
      <w:pPr>
        <w:pStyle w:val="TOC4"/>
        <w:rPr>
          <w:rFonts w:asciiTheme="minorHAnsi" w:eastAsiaTheme="minorEastAsia" w:hAnsiTheme="minorHAnsi" w:cstheme="minorBidi"/>
          <w:noProof/>
          <w:sz w:val="22"/>
          <w:szCs w:val="22"/>
        </w:rPr>
      </w:pPr>
      <w:hyperlink w:anchor="_Toc103607674" w:history="1">
        <w:r w:rsidR="00E25FAA" w:rsidRPr="002E3B74">
          <w:rPr>
            <w:rStyle w:val="Hyperlink"/>
            <w:noProof/>
          </w:rPr>
          <w:t>3.1.3.2   Excise duties</w:t>
        </w:r>
        <w:r w:rsidR="00E25FAA">
          <w:rPr>
            <w:noProof/>
            <w:webHidden/>
          </w:rPr>
          <w:tab/>
        </w:r>
        <w:r w:rsidR="00E25FAA">
          <w:rPr>
            <w:noProof/>
            <w:webHidden/>
          </w:rPr>
          <w:fldChar w:fldCharType="begin"/>
        </w:r>
        <w:r w:rsidR="00E25FAA">
          <w:rPr>
            <w:noProof/>
            <w:webHidden/>
          </w:rPr>
          <w:instrText xml:space="preserve"> PAGEREF _Toc103607674 \h </w:instrText>
        </w:r>
        <w:r w:rsidR="00E25FAA">
          <w:rPr>
            <w:noProof/>
            <w:webHidden/>
          </w:rPr>
        </w:r>
        <w:r w:rsidR="00E25FAA">
          <w:rPr>
            <w:noProof/>
            <w:webHidden/>
          </w:rPr>
          <w:fldChar w:fldCharType="separate"/>
        </w:r>
        <w:r w:rsidR="00E25FAA">
          <w:rPr>
            <w:noProof/>
            <w:webHidden/>
          </w:rPr>
          <w:t>38</w:t>
        </w:r>
        <w:r w:rsidR="00E25FAA">
          <w:rPr>
            <w:noProof/>
            <w:webHidden/>
          </w:rPr>
          <w:fldChar w:fldCharType="end"/>
        </w:r>
      </w:hyperlink>
    </w:p>
    <w:p w14:paraId="2FA415C4" w14:textId="5C2968AB" w:rsidR="00E25FAA" w:rsidRDefault="0087550A">
      <w:pPr>
        <w:pStyle w:val="TOC4"/>
        <w:rPr>
          <w:rFonts w:asciiTheme="minorHAnsi" w:eastAsiaTheme="minorEastAsia" w:hAnsiTheme="minorHAnsi" w:cstheme="minorBidi"/>
          <w:noProof/>
          <w:sz w:val="22"/>
          <w:szCs w:val="22"/>
        </w:rPr>
      </w:pPr>
      <w:hyperlink w:anchor="_Toc103607675" w:history="1">
        <w:r w:rsidR="00E25FAA" w:rsidRPr="002E3B74">
          <w:rPr>
            <w:rStyle w:val="Hyperlink"/>
            <w:noProof/>
          </w:rPr>
          <w:t>3.1.3.3   Other taxes and levies</w:t>
        </w:r>
        <w:r w:rsidR="00E25FAA">
          <w:rPr>
            <w:noProof/>
            <w:webHidden/>
          </w:rPr>
          <w:tab/>
        </w:r>
        <w:r w:rsidR="00E25FAA">
          <w:rPr>
            <w:noProof/>
            <w:webHidden/>
          </w:rPr>
          <w:fldChar w:fldCharType="begin"/>
        </w:r>
        <w:r w:rsidR="00E25FAA">
          <w:rPr>
            <w:noProof/>
            <w:webHidden/>
          </w:rPr>
          <w:instrText xml:space="preserve"> PAGEREF _Toc103607675 \h </w:instrText>
        </w:r>
        <w:r w:rsidR="00E25FAA">
          <w:rPr>
            <w:noProof/>
            <w:webHidden/>
          </w:rPr>
        </w:r>
        <w:r w:rsidR="00E25FAA">
          <w:rPr>
            <w:noProof/>
            <w:webHidden/>
          </w:rPr>
          <w:fldChar w:fldCharType="separate"/>
        </w:r>
        <w:r w:rsidR="00E25FAA">
          <w:rPr>
            <w:noProof/>
            <w:webHidden/>
          </w:rPr>
          <w:t>39</w:t>
        </w:r>
        <w:r w:rsidR="00E25FAA">
          <w:rPr>
            <w:noProof/>
            <w:webHidden/>
          </w:rPr>
          <w:fldChar w:fldCharType="end"/>
        </w:r>
      </w:hyperlink>
    </w:p>
    <w:p w14:paraId="44E3BD32" w14:textId="118A0ED7" w:rsidR="00E25FAA" w:rsidRDefault="0087550A">
      <w:pPr>
        <w:pStyle w:val="TOC3"/>
        <w:rPr>
          <w:rFonts w:asciiTheme="minorHAnsi" w:eastAsiaTheme="minorEastAsia" w:hAnsiTheme="minorHAnsi" w:cstheme="minorBidi"/>
          <w:noProof/>
          <w:sz w:val="22"/>
          <w:szCs w:val="22"/>
        </w:rPr>
      </w:pPr>
      <w:hyperlink w:anchor="_Toc103607676" w:history="1">
        <w:r w:rsidR="00E25FAA" w:rsidRPr="002E3B74">
          <w:rPr>
            <w:rStyle w:val="Hyperlink"/>
            <w:noProof/>
          </w:rPr>
          <w:t>3.1.4   Preferential tariffs and rules of origin</w:t>
        </w:r>
        <w:r w:rsidR="00E25FAA">
          <w:rPr>
            <w:noProof/>
            <w:webHidden/>
          </w:rPr>
          <w:tab/>
        </w:r>
        <w:r w:rsidR="00E25FAA">
          <w:rPr>
            <w:noProof/>
            <w:webHidden/>
          </w:rPr>
          <w:fldChar w:fldCharType="begin"/>
        </w:r>
        <w:r w:rsidR="00E25FAA">
          <w:rPr>
            <w:noProof/>
            <w:webHidden/>
          </w:rPr>
          <w:instrText xml:space="preserve"> PAGEREF _Toc103607676 \h </w:instrText>
        </w:r>
        <w:r w:rsidR="00E25FAA">
          <w:rPr>
            <w:noProof/>
            <w:webHidden/>
          </w:rPr>
        </w:r>
        <w:r w:rsidR="00E25FAA">
          <w:rPr>
            <w:noProof/>
            <w:webHidden/>
          </w:rPr>
          <w:fldChar w:fldCharType="separate"/>
        </w:r>
        <w:r w:rsidR="00E25FAA">
          <w:rPr>
            <w:noProof/>
            <w:webHidden/>
          </w:rPr>
          <w:t>40</w:t>
        </w:r>
        <w:r w:rsidR="00E25FAA">
          <w:rPr>
            <w:noProof/>
            <w:webHidden/>
          </w:rPr>
          <w:fldChar w:fldCharType="end"/>
        </w:r>
      </w:hyperlink>
    </w:p>
    <w:p w14:paraId="6FDDFB75" w14:textId="2F0636CD" w:rsidR="00E25FAA" w:rsidRDefault="0087550A">
      <w:pPr>
        <w:pStyle w:val="TOC4"/>
        <w:rPr>
          <w:rFonts w:asciiTheme="minorHAnsi" w:eastAsiaTheme="minorEastAsia" w:hAnsiTheme="minorHAnsi" w:cstheme="minorBidi"/>
          <w:noProof/>
          <w:sz w:val="22"/>
          <w:szCs w:val="22"/>
        </w:rPr>
      </w:pPr>
      <w:hyperlink w:anchor="_Toc103607677" w:history="1">
        <w:r w:rsidR="00E25FAA" w:rsidRPr="002E3B74">
          <w:rPr>
            <w:rStyle w:val="Hyperlink"/>
            <w:noProof/>
          </w:rPr>
          <w:t>3.1.4.1   Rules of origin under ECOWAS and the African Continental Free Trade Area (AfCFTA)</w:t>
        </w:r>
        <w:r w:rsidR="00E25FAA">
          <w:rPr>
            <w:noProof/>
            <w:webHidden/>
          </w:rPr>
          <w:tab/>
        </w:r>
        <w:r w:rsidR="00E25FAA">
          <w:rPr>
            <w:noProof/>
            <w:webHidden/>
          </w:rPr>
          <w:fldChar w:fldCharType="begin"/>
        </w:r>
        <w:r w:rsidR="00E25FAA">
          <w:rPr>
            <w:noProof/>
            <w:webHidden/>
          </w:rPr>
          <w:instrText xml:space="preserve"> PAGEREF _Toc103607677 \h </w:instrText>
        </w:r>
        <w:r w:rsidR="00E25FAA">
          <w:rPr>
            <w:noProof/>
            <w:webHidden/>
          </w:rPr>
        </w:r>
        <w:r w:rsidR="00E25FAA">
          <w:rPr>
            <w:noProof/>
            <w:webHidden/>
          </w:rPr>
          <w:fldChar w:fldCharType="separate"/>
        </w:r>
        <w:r w:rsidR="00E25FAA">
          <w:rPr>
            <w:noProof/>
            <w:webHidden/>
          </w:rPr>
          <w:t>41</w:t>
        </w:r>
        <w:r w:rsidR="00E25FAA">
          <w:rPr>
            <w:noProof/>
            <w:webHidden/>
          </w:rPr>
          <w:fldChar w:fldCharType="end"/>
        </w:r>
      </w:hyperlink>
    </w:p>
    <w:p w14:paraId="32049E9B" w14:textId="16F6FAC8" w:rsidR="00E25FAA" w:rsidRDefault="0087550A">
      <w:pPr>
        <w:pStyle w:val="TOC4"/>
        <w:rPr>
          <w:rFonts w:asciiTheme="minorHAnsi" w:eastAsiaTheme="minorEastAsia" w:hAnsiTheme="minorHAnsi" w:cstheme="minorBidi"/>
          <w:noProof/>
          <w:sz w:val="22"/>
          <w:szCs w:val="22"/>
        </w:rPr>
      </w:pPr>
      <w:hyperlink w:anchor="_Toc103607678" w:history="1">
        <w:r w:rsidR="00E25FAA" w:rsidRPr="002E3B74">
          <w:rPr>
            <w:rStyle w:val="Hyperlink"/>
            <w:noProof/>
          </w:rPr>
          <w:t xml:space="preserve">3.1.4.2   Rules of origin under the agreements with the European Union </w:t>
        </w:r>
        <w:r w:rsidR="00E25FAA">
          <w:rPr>
            <w:rStyle w:val="Hyperlink"/>
            <w:noProof/>
          </w:rPr>
          <w:br/>
        </w:r>
        <w:r w:rsidR="00E25FAA" w:rsidRPr="002E3B74">
          <w:rPr>
            <w:rStyle w:val="Hyperlink"/>
            <w:noProof/>
          </w:rPr>
          <w:t>and the United Kingdom</w:t>
        </w:r>
        <w:r w:rsidR="00E25FAA">
          <w:rPr>
            <w:noProof/>
            <w:webHidden/>
          </w:rPr>
          <w:tab/>
        </w:r>
        <w:r w:rsidR="00E25FAA">
          <w:rPr>
            <w:noProof/>
            <w:webHidden/>
          </w:rPr>
          <w:fldChar w:fldCharType="begin"/>
        </w:r>
        <w:r w:rsidR="00E25FAA">
          <w:rPr>
            <w:noProof/>
            <w:webHidden/>
          </w:rPr>
          <w:instrText xml:space="preserve"> PAGEREF _Toc103607678 \h </w:instrText>
        </w:r>
        <w:r w:rsidR="00E25FAA">
          <w:rPr>
            <w:noProof/>
            <w:webHidden/>
          </w:rPr>
        </w:r>
        <w:r w:rsidR="00E25FAA">
          <w:rPr>
            <w:noProof/>
            <w:webHidden/>
          </w:rPr>
          <w:fldChar w:fldCharType="separate"/>
        </w:r>
        <w:r w:rsidR="00E25FAA">
          <w:rPr>
            <w:noProof/>
            <w:webHidden/>
          </w:rPr>
          <w:t>43</w:t>
        </w:r>
        <w:r w:rsidR="00E25FAA">
          <w:rPr>
            <w:noProof/>
            <w:webHidden/>
          </w:rPr>
          <w:fldChar w:fldCharType="end"/>
        </w:r>
      </w:hyperlink>
    </w:p>
    <w:p w14:paraId="764577BF" w14:textId="03CAB099" w:rsidR="00E25FAA" w:rsidRDefault="0087550A">
      <w:pPr>
        <w:pStyle w:val="TOC3"/>
        <w:rPr>
          <w:rFonts w:asciiTheme="minorHAnsi" w:eastAsiaTheme="minorEastAsia" w:hAnsiTheme="minorHAnsi" w:cstheme="minorBidi"/>
          <w:noProof/>
          <w:sz w:val="22"/>
          <w:szCs w:val="22"/>
        </w:rPr>
      </w:pPr>
      <w:hyperlink w:anchor="_Toc103607679" w:history="1">
        <w:r w:rsidR="00E25FAA" w:rsidRPr="002E3B74">
          <w:rPr>
            <w:rStyle w:val="Hyperlink"/>
            <w:noProof/>
          </w:rPr>
          <w:t>3.1.5   Import prohibitions, restrictions, and licensing</w:t>
        </w:r>
        <w:r w:rsidR="00E25FAA">
          <w:rPr>
            <w:noProof/>
            <w:webHidden/>
          </w:rPr>
          <w:tab/>
        </w:r>
        <w:r w:rsidR="00E25FAA">
          <w:rPr>
            <w:noProof/>
            <w:webHidden/>
          </w:rPr>
          <w:fldChar w:fldCharType="begin"/>
        </w:r>
        <w:r w:rsidR="00E25FAA">
          <w:rPr>
            <w:noProof/>
            <w:webHidden/>
          </w:rPr>
          <w:instrText xml:space="preserve"> PAGEREF _Toc103607679 \h </w:instrText>
        </w:r>
        <w:r w:rsidR="00E25FAA">
          <w:rPr>
            <w:noProof/>
            <w:webHidden/>
          </w:rPr>
        </w:r>
        <w:r w:rsidR="00E25FAA">
          <w:rPr>
            <w:noProof/>
            <w:webHidden/>
          </w:rPr>
          <w:fldChar w:fldCharType="separate"/>
        </w:r>
        <w:r w:rsidR="00E25FAA">
          <w:rPr>
            <w:noProof/>
            <w:webHidden/>
          </w:rPr>
          <w:t>43</w:t>
        </w:r>
        <w:r w:rsidR="00E25FAA">
          <w:rPr>
            <w:noProof/>
            <w:webHidden/>
          </w:rPr>
          <w:fldChar w:fldCharType="end"/>
        </w:r>
      </w:hyperlink>
    </w:p>
    <w:p w14:paraId="620FD99D" w14:textId="7F26E559" w:rsidR="00E25FAA" w:rsidRDefault="0087550A">
      <w:pPr>
        <w:pStyle w:val="TOC4"/>
        <w:rPr>
          <w:rFonts w:asciiTheme="minorHAnsi" w:eastAsiaTheme="minorEastAsia" w:hAnsiTheme="minorHAnsi" w:cstheme="minorBidi"/>
          <w:noProof/>
          <w:sz w:val="22"/>
          <w:szCs w:val="22"/>
        </w:rPr>
      </w:pPr>
      <w:hyperlink w:anchor="_Toc103607680" w:history="1">
        <w:r w:rsidR="00E25FAA" w:rsidRPr="002E3B74">
          <w:rPr>
            <w:rStyle w:val="Hyperlink"/>
            <w:noProof/>
          </w:rPr>
          <w:t>3.1.5.1   Import prohibitions</w:t>
        </w:r>
        <w:r w:rsidR="00E25FAA">
          <w:rPr>
            <w:noProof/>
            <w:webHidden/>
          </w:rPr>
          <w:tab/>
        </w:r>
        <w:r w:rsidR="00E25FAA">
          <w:rPr>
            <w:noProof/>
            <w:webHidden/>
          </w:rPr>
          <w:fldChar w:fldCharType="begin"/>
        </w:r>
        <w:r w:rsidR="00E25FAA">
          <w:rPr>
            <w:noProof/>
            <w:webHidden/>
          </w:rPr>
          <w:instrText xml:space="preserve"> PAGEREF _Toc103607680 \h </w:instrText>
        </w:r>
        <w:r w:rsidR="00E25FAA">
          <w:rPr>
            <w:noProof/>
            <w:webHidden/>
          </w:rPr>
        </w:r>
        <w:r w:rsidR="00E25FAA">
          <w:rPr>
            <w:noProof/>
            <w:webHidden/>
          </w:rPr>
          <w:fldChar w:fldCharType="separate"/>
        </w:r>
        <w:r w:rsidR="00E25FAA">
          <w:rPr>
            <w:noProof/>
            <w:webHidden/>
          </w:rPr>
          <w:t>43</w:t>
        </w:r>
        <w:r w:rsidR="00E25FAA">
          <w:rPr>
            <w:noProof/>
            <w:webHidden/>
          </w:rPr>
          <w:fldChar w:fldCharType="end"/>
        </w:r>
      </w:hyperlink>
    </w:p>
    <w:p w14:paraId="151C465D" w14:textId="7CD67435" w:rsidR="00E25FAA" w:rsidRDefault="0087550A">
      <w:pPr>
        <w:pStyle w:val="TOC4"/>
        <w:rPr>
          <w:rFonts w:asciiTheme="minorHAnsi" w:eastAsiaTheme="minorEastAsia" w:hAnsiTheme="minorHAnsi" w:cstheme="minorBidi"/>
          <w:noProof/>
          <w:sz w:val="22"/>
          <w:szCs w:val="22"/>
        </w:rPr>
      </w:pPr>
      <w:hyperlink w:anchor="_Toc103607681" w:history="1">
        <w:r w:rsidR="00E25FAA" w:rsidRPr="002E3B74">
          <w:rPr>
            <w:rStyle w:val="Hyperlink"/>
            <w:noProof/>
          </w:rPr>
          <w:t>3.1.5.2   Import licensing</w:t>
        </w:r>
        <w:r w:rsidR="00E25FAA">
          <w:rPr>
            <w:noProof/>
            <w:webHidden/>
          </w:rPr>
          <w:tab/>
        </w:r>
        <w:r w:rsidR="00E25FAA">
          <w:rPr>
            <w:noProof/>
            <w:webHidden/>
          </w:rPr>
          <w:fldChar w:fldCharType="begin"/>
        </w:r>
        <w:r w:rsidR="00E25FAA">
          <w:rPr>
            <w:noProof/>
            <w:webHidden/>
          </w:rPr>
          <w:instrText xml:space="preserve"> PAGEREF _Toc103607681 \h </w:instrText>
        </w:r>
        <w:r w:rsidR="00E25FAA">
          <w:rPr>
            <w:noProof/>
            <w:webHidden/>
          </w:rPr>
        </w:r>
        <w:r w:rsidR="00E25FAA">
          <w:rPr>
            <w:noProof/>
            <w:webHidden/>
          </w:rPr>
          <w:fldChar w:fldCharType="separate"/>
        </w:r>
        <w:r w:rsidR="00E25FAA">
          <w:rPr>
            <w:noProof/>
            <w:webHidden/>
          </w:rPr>
          <w:t>43</w:t>
        </w:r>
        <w:r w:rsidR="00E25FAA">
          <w:rPr>
            <w:noProof/>
            <w:webHidden/>
          </w:rPr>
          <w:fldChar w:fldCharType="end"/>
        </w:r>
      </w:hyperlink>
    </w:p>
    <w:p w14:paraId="78C40798" w14:textId="078BB88B" w:rsidR="00E25FAA" w:rsidRDefault="0087550A">
      <w:pPr>
        <w:pStyle w:val="TOC3"/>
        <w:rPr>
          <w:rFonts w:asciiTheme="minorHAnsi" w:eastAsiaTheme="minorEastAsia" w:hAnsiTheme="minorHAnsi" w:cstheme="minorBidi"/>
          <w:noProof/>
          <w:sz w:val="22"/>
          <w:szCs w:val="22"/>
        </w:rPr>
      </w:pPr>
      <w:hyperlink w:anchor="_Toc103607682" w:history="1">
        <w:r w:rsidR="00E25FAA" w:rsidRPr="002E3B74">
          <w:rPr>
            <w:rStyle w:val="Hyperlink"/>
            <w:noProof/>
          </w:rPr>
          <w:t>3.1.6   Contingency measures</w:t>
        </w:r>
        <w:r w:rsidR="00E25FAA">
          <w:rPr>
            <w:noProof/>
            <w:webHidden/>
          </w:rPr>
          <w:tab/>
        </w:r>
        <w:r w:rsidR="00E25FAA">
          <w:rPr>
            <w:noProof/>
            <w:webHidden/>
          </w:rPr>
          <w:fldChar w:fldCharType="begin"/>
        </w:r>
        <w:r w:rsidR="00E25FAA">
          <w:rPr>
            <w:noProof/>
            <w:webHidden/>
          </w:rPr>
          <w:instrText xml:space="preserve"> PAGEREF _Toc103607682 \h </w:instrText>
        </w:r>
        <w:r w:rsidR="00E25FAA">
          <w:rPr>
            <w:noProof/>
            <w:webHidden/>
          </w:rPr>
        </w:r>
        <w:r w:rsidR="00E25FAA">
          <w:rPr>
            <w:noProof/>
            <w:webHidden/>
          </w:rPr>
          <w:fldChar w:fldCharType="separate"/>
        </w:r>
        <w:r w:rsidR="00E25FAA">
          <w:rPr>
            <w:noProof/>
            <w:webHidden/>
          </w:rPr>
          <w:t>44</w:t>
        </w:r>
        <w:r w:rsidR="00E25FAA">
          <w:rPr>
            <w:noProof/>
            <w:webHidden/>
          </w:rPr>
          <w:fldChar w:fldCharType="end"/>
        </w:r>
      </w:hyperlink>
    </w:p>
    <w:p w14:paraId="136439B3" w14:textId="2CCEBF10" w:rsidR="00E25FAA" w:rsidRDefault="0087550A">
      <w:pPr>
        <w:pStyle w:val="TOC2"/>
        <w:rPr>
          <w:rFonts w:asciiTheme="minorHAnsi" w:eastAsiaTheme="minorEastAsia" w:hAnsiTheme="minorHAnsi" w:cstheme="minorBidi"/>
          <w:noProof/>
          <w:sz w:val="22"/>
          <w:szCs w:val="22"/>
        </w:rPr>
      </w:pPr>
      <w:hyperlink w:anchor="_Toc103607683" w:history="1">
        <w:r w:rsidR="00E25FAA" w:rsidRPr="002E3B74">
          <w:rPr>
            <w:rStyle w:val="Hyperlink"/>
            <w:noProof/>
          </w:rPr>
          <w:t>3.2   Measures Directly Affecting Exports</w:t>
        </w:r>
        <w:r w:rsidR="00E25FAA">
          <w:rPr>
            <w:noProof/>
            <w:webHidden/>
          </w:rPr>
          <w:tab/>
        </w:r>
        <w:r w:rsidR="00E25FAA">
          <w:rPr>
            <w:noProof/>
            <w:webHidden/>
          </w:rPr>
          <w:fldChar w:fldCharType="begin"/>
        </w:r>
        <w:r w:rsidR="00E25FAA">
          <w:rPr>
            <w:noProof/>
            <w:webHidden/>
          </w:rPr>
          <w:instrText xml:space="preserve"> PAGEREF _Toc103607683 \h </w:instrText>
        </w:r>
        <w:r w:rsidR="00E25FAA">
          <w:rPr>
            <w:noProof/>
            <w:webHidden/>
          </w:rPr>
        </w:r>
        <w:r w:rsidR="00E25FAA">
          <w:rPr>
            <w:noProof/>
            <w:webHidden/>
          </w:rPr>
          <w:fldChar w:fldCharType="separate"/>
        </w:r>
        <w:r w:rsidR="00E25FAA">
          <w:rPr>
            <w:noProof/>
            <w:webHidden/>
          </w:rPr>
          <w:t>45</w:t>
        </w:r>
        <w:r w:rsidR="00E25FAA">
          <w:rPr>
            <w:noProof/>
            <w:webHidden/>
          </w:rPr>
          <w:fldChar w:fldCharType="end"/>
        </w:r>
      </w:hyperlink>
    </w:p>
    <w:p w14:paraId="070635AA" w14:textId="3D26CFBA" w:rsidR="00E25FAA" w:rsidRDefault="0087550A">
      <w:pPr>
        <w:pStyle w:val="TOC3"/>
        <w:rPr>
          <w:rFonts w:asciiTheme="minorHAnsi" w:eastAsiaTheme="minorEastAsia" w:hAnsiTheme="minorHAnsi" w:cstheme="minorBidi"/>
          <w:noProof/>
          <w:sz w:val="22"/>
          <w:szCs w:val="22"/>
        </w:rPr>
      </w:pPr>
      <w:hyperlink w:anchor="_Toc103607684" w:history="1">
        <w:r w:rsidR="00E25FAA" w:rsidRPr="002E3B74">
          <w:rPr>
            <w:rStyle w:val="Hyperlink"/>
            <w:noProof/>
          </w:rPr>
          <w:t>3.2.1   Export procedures</w:t>
        </w:r>
        <w:r w:rsidR="00E25FAA">
          <w:rPr>
            <w:noProof/>
            <w:webHidden/>
          </w:rPr>
          <w:tab/>
        </w:r>
        <w:r w:rsidR="00E25FAA">
          <w:rPr>
            <w:noProof/>
            <w:webHidden/>
          </w:rPr>
          <w:fldChar w:fldCharType="begin"/>
        </w:r>
        <w:r w:rsidR="00E25FAA">
          <w:rPr>
            <w:noProof/>
            <w:webHidden/>
          </w:rPr>
          <w:instrText xml:space="preserve"> PAGEREF _Toc103607684 \h </w:instrText>
        </w:r>
        <w:r w:rsidR="00E25FAA">
          <w:rPr>
            <w:noProof/>
            <w:webHidden/>
          </w:rPr>
        </w:r>
        <w:r w:rsidR="00E25FAA">
          <w:rPr>
            <w:noProof/>
            <w:webHidden/>
          </w:rPr>
          <w:fldChar w:fldCharType="separate"/>
        </w:r>
        <w:r w:rsidR="00E25FAA">
          <w:rPr>
            <w:noProof/>
            <w:webHidden/>
          </w:rPr>
          <w:t>45</w:t>
        </w:r>
        <w:r w:rsidR="00E25FAA">
          <w:rPr>
            <w:noProof/>
            <w:webHidden/>
          </w:rPr>
          <w:fldChar w:fldCharType="end"/>
        </w:r>
      </w:hyperlink>
    </w:p>
    <w:p w14:paraId="14455FA0" w14:textId="30ACECA7" w:rsidR="00E25FAA" w:rsidRDefault="0087550A">
      <w:pPr>
        <w:pStyle w:val="TOC3"/>
        <w:rPr>
          <w:rFonts w:asciiTheme="minorHAnsi" w:eastAsiaTheme="minorEastAsia" w:hAnsiTheme="minorHAnsi" w:cstheme="minorBidi"/>
          <w:noProof/>
          <w:sz w:val="22"/>
          <w:szCs w:val="22"/>
        </w:rPr>
      </w:pPr>
      <w:hyperlink w:anchor="_Toc103607685" w:history="1">
        <w:r w:rsidR="00E25FAA" w:rsidRPr="002E3B74">
          <w:rPr>
            <w:rStyle w:val="Hyperlink"/>
            <w:noProof/>
          </w:rPr>
          <w:t>3.2.2   Repatriation of export proceeds</w:t>
        </w:r>
        <w:r w:rsidR="00E25FAA">
          <w:rPr>
            <w:noProof/>
            <w:webHidden/>
          </w:rPr>
          <w:tab/>
        </w:r>
        <w:r w:rsidR="00E25FAA">
          <w:rPr>
            <w:noProof/>
            <w:webHidden/>
          </w:rPr>
          <w:fldChar w:fldCharType="begin"/>
        </w:r>
        <w:r w:rsidR="00E25FAA">
          <w:rPr>
            <w:noProof/>
            <w:webHidden/>
          </w:rPr>
          <w:instrText xml:space="preserve"> PAGEREF _Toc103607685 \h </w:instrText>
        </w:r>
        <w:r w:rsidR="00E25FAA">
          <w:rPr>
            <w:noProof/>
            <w:webHidden/>
          </w:rPr>
        </w:r>
        <w:r w:rsidR="00E25FAA">
          <w:rPr>
            <w:noProof/>
            <w:webHidden/>
          </w:rPr>
          <w:fldChar w:fldCharType="separate"/>
        </w:r>
        <w:r w:rsidR="00E25FAA">
          <w:rPr>
            <w:noProof/>
            <w:webHidden/>
          </w:rPr>
          <w:t>45</w:t>
        </w:r>
        <w:r w:rsidR="00E25FAA">
          <w:rPr>
            <w:noProof/>
            <w:webHidden/>
          </w:rPr>
          <w:fldChar w:fldCharType="end"/>
        </w:r>
      </w:hyperlink>
    </w:p>
    <w:p w14:paraId="44723EB0" w14:textId="72A6CFAD" w:rsidR="00E25FAA" w:rsidRDefault="0087550A">
      <w:pPr>
        <w:pStyle w:val="TOC3"/>
        <w:rPr>
          <w:rFonts w:asciiTheme="minorHAnsi" w:eastAsiaTheme="minorEastAsia" w:hAnsiTheme="minorHAnsi" w:cstheme="minorBidi"/>
          <w:noProof/>
          <w:sz w:val="22"/>
          <w:szCs w:val="22"/>
        </w:rPr>
      </w:pPr>
      <w:hyperlink w:anchor="_Toc103607686" w:history="1">
        <w:r w:rsidR="00E25FAA" w:rsidRPr="002E3B74">
          <w:rPr>
            <w:rStyle w:val="Hyperlink"/>
            <w:noProof/>
          </w:rPr>
          <w:t>3.2.3   Rules of origin</w:t>
        </w:r>
        <w:r w:rsidR="00E25FAA">
          <w:rPr>
            <w:noProof/>
            <w:webHidden/>
          </w:rPr>
          <w:tab/>
        </w:r>
        <w:r w:rsidR="00E25FAA">
          <w:rPr>
            <w:noProof/>
            <w:webHidden/>
          </w:rPr>
          <w:fldChar w:fldCharType="begin"/>
        </w:r>
        <w:r w:rsidR="00E25FAA">
          <w:rPr>
            <w:noProof/>
            <w:webHidden/>
          </w:rPr>
          <w:instrText xml:space="preserve"> PAGEREF _Toc103607686 \h </w:instrText>
        </w:r>
        <w:r w:rsidR="00E25FAA">
          <w:rPr>
            <w:noProof/>
            <w:webHidden/>
          </w:rPr>
        </w:r>
        <w:r w:rsidR="00E25FAA">
          <w:rPr>
            <w:noProof/>
            <w:webHidden/>
          </w:rPr>
          <w:fldChar w:fldCharType="separate"/>
        </w:r>
        <w:r w:rsidR="00E25FAA">
          <w:rPr>
            <w:noProof/>
            <w:webHidden/>
          </w:rPr>
          <w:t>45</w:t>
        </w:r>
        <w:r w:rsidR="00E25FAA">
          <w:rPr>
            <w:noProof/>
            <w:webHidden/>
          </w:rPr>
          <w:fldChar w:fldCharType="end"/>
        </w:r>
      </w:hyperlink>
    </w:p>
    <w:p w14:paraId="6DDBBD4D" w14:textId="11A2AE08" w:rsidR="00E25FAA" w:rsidRDefault="0087550A">
      <w:pPr>
        <w:pStyle w:val="TOC3"/>
        <w:rPr>
          <w:rFonts w:asciiTheme="minorHAnsi" w:eastAsiaTheme="minorEastAsia" w:hAnsiTheme="minorHAnsi" w:cstheme="minorBidi"/>
          <w:noProof/>
          <w:sz w:val="22"/>
          <w:szCs w:val="22"/>
        </w:rPr>
      </w:pPr>
      <w:hyperlink w:anchor="_Toc103607687" w:history="1">
        <w:r w:rsidR="00E25FAA" w:rsidRPr="002E3B74">
          <w:rPr>
            <w:rStyle w:val="Hyperlink"/>
            <w:noProof/>
          </w:rPr>
          <w:t>3.2.4   Export taxes and charges</w:t>
        </w:r>
        <w:r w:rsidR="00E25FAA">
          <w:rPr>
            <w:noProof/>
            <w:webHidden/>
          </w:rPr>
          <w:tab/>
        </w:r>
        <w:r w:rsidR="00E25FAA">
          <w:rPr>
            <w:noProof/>
            <w:webHidden/>
          </w:rPr>
          <w:fldChar w:fldCharType="begin"/>
        </w:r>
        <w:r w:rsidR="00E25FAA">
          <w:rPr>
            <w:noProof/>
            <w:webHidden/>
          </w:rPr>
          <w:instrText xml:space="preserve"> PAGEREF _Toc103607687 \h </w:instrText>
        </w:r>
        <w:r w:rsidR="00E25FAA">
          <w:rPr>
            <w:noProof/>
            <w:webHidden/>
          </w:rPr>
        </w:r>
        <w:r w:rsidR="00E25FAA">
          <w:rPr>
            <w:noProof/>
            <w:webHidden/>
          </w:rPr>
          <w:fldChar w:fldCharType="separate"/>
        </w:r>
        <w:r w:rsidR="00E25FAA">
          <w:rPr>
            <w:noProof/>
            <w:webHidden/>
          </w:rPr>
          <w:t>46</w:t>
        </w:r>
        <w:r w:rsidR="00E25FAA">
          <w:rPr>
            <w:noProof/>
            <w:webHidden/>
          </w:rPr>
          <w:fldChar w:fldCharType="end"/>
        </w:r>
      </w:hyperlink>
    </w:p>
    <w:p w14:paraId="21FA2B3C" w14:textId="544A4C1C" w:rsidR="00E25FAA" w:rsidRDefault="0087550A">
      <w:pPr>
        <w:pStyle w:val="TOC3"/>
        <w:rPr>
          <w:rFonts w:asciiTheme="minorHAnsi" w:eastAsiaTheme="minorEastAsia" w:hAnsiTheme="minorHAnsi" w:cstheme="minorBidi"/>
          <w:noProof/>
          <w:sz w:val="22"/>
          <w:szCs w:val="22"/>
        </w:rPr>
      </w:pPr>
      <w:hyperlink w:anchor="_Toc103607688" w:history="1">
        <w:r w:rsidR="00E25FAA" w:rsidRPr="002E3B74">
          <w:rPr>
            <w:rStyle w:val="Hyperlink"/>
            <w:noProof/>
          </w:rPr>
          <w:t>3.2.5   Export prohibitions, restrictions, and licensing</w:t>
        </w:r>
        <w:r w:rsidR="00E25FAA">
          <w:rPr>
            <w:noProof/>
            <w:webHidden/>
          </w:rPr>
          <w:tab/>
        </w:r>
        <w:r w:rsidR="00E25FAA">
          <w:rPr>
            <w:noProof/>
            <w:webHidden/>
          </w:rPr>
          <w:fldChar w:fldCharType="begin"/>
        </w:r>
        <w:r w:rsidR="00E25FAA">
          <w:rPr>
            <w:noProof/>
            <w:webHidden/>
          </w:rPr>
          <w:instrText xml:space="preserve"> PAGEREF _Toc103607688 \h </w:instrText>
        </w:r>
        <w:r w:rsidR="00E25FAA">
          <w:rPr>
            <w:noProof/>
            <w:webHidden/>
          </w:rPr>
        </w:r>
        <w:r w:rsidR="00E25FAA">
          <w:rPr>
            <w:noProof/>
            <w:webHidden/>
          </w:rPr>
          <w:fldChar w:fldCharType="separate"/>
        </w:r>
        <w:r w:rsidR="00E25FAA">
          <w:rPr>
            <w:noProof/>
            <w:webHidden/>
          </w:rPr>
          <w:t>46</w:t>
        </w:r>
        <w:r w:rsidR="00E25FAA">
          <w:rPr>
            <w:noProof/>
            <w:webHidden/>
          </w:rPr>
          <w:fldChar w:fldCharType="end"/>
        </w:r>
      </w:hyperlink>
    </w:p>
    <w:p w14:paraId="155964CE" w14:textId="44134930" w:rsidR="00E25FAA" w:rsidRDefault="0087550A">
      <w:pPr>
        <w:pStyle w:val="TOC3"/>
        <w:rPr>
          <w:rFonts w:asciiTheme="minorHAnsi" w:eastAsiaTheme="minorEastAsia" w:hAnsiTheme="minorHAnsi" w:cstheme="minorBidi"/>
          <w:noProof/>
          <w:sz w:val="22"/>
          <w:szCs w:val="22"/>
        </w:rPr>
      </w:pPr>
      <w:hyperlink w:anchor="_Toc103607689" w:history="1">
        <w:r w:rsidR="00E25FAA" w:rsidRPr="002E3B74">
          <w:rPr>
            <w:rStyle w:val="Hyperlink"/>
            <w:noProof/>
          </w:rPr>
          <w:t>3.2.6   Export incentives</w:t>
        </w:r>
        <w:r w:rsidR="00E25FAA">
          <w:rPr>
            <w:noProof/>
            <w:webHidden/>
          </w:rPr>
          <w:tab/>
        </w:r>
        <w:r w:rsidR="00E25FAA">
          <w:rPr>
            <w:noProof/>
            <w:webHidden/>
          </w:rPr>
          <w:fldChar w:fldCharType="begin"/>
        </w:r>
        <w:r w:rsidR="00E25FAA">
          <w:rPr>
            <w:noProof/>
            <w:webHidden/>
          </w:rPr>
          <w:instrText xml:space="preserve"> PAGEREF _Toc103607689 \h </w:instrText>
        </w:r>
        <w:r w:rsidR="00E25FAA">
          <w:rPr>
            <w:noProof/>
            <w:webHidden/>
          </w:rPr>
        </w:r>
        <w:r w:rsidR="00E25FAA">
          <w:rPr>
            <w:noProof/>
            <w:webHidden/>
          </w:rPr>
          <w:fldChar w:fldCharType="separate"/>
        </w:r>
        <w:r w:rsidR="00E25FAA">
          <w:rPr>
            <w:noProof/>
            <w:webHidden/>
          </w:rPr>
          <w:t>46</w:t>
        </w:r>
        <w:r w:rsidR="00E25FAA">
          <w:rPr>
            <w:noProof/>
            <w:webHidden/>
          </w:rPr>
          <w:fldChar w:fldCharType="end"/>
        </w:r>
      </w:hyperlink>
    </w:p>
    <w:p w14:paraId="217CFBAB" w14:textId="5E91C993" w:rsidR="00E25FAA" w:rsidRDefault="0087550A">
      <w:pPr>
        <w:pStyle w:val="TOC4"/>
        <w:rPr>
          <w:rFonts w:asciiTheme="minorHAnsi" w:eastAsiaTheme="minorEastAsia" w:hAnsiTheme="minorHAnsi" w:cstheme="minorBidi"/>
          <w:noProof/>
          <w:sz w:val="22"/>
          <w:szCs w:val="22"/>
        </w:rPr>
      </w:pPr>
      <w:hyperlink w:anchor="_Toc103607690" w:history="1">
        <w:r w:rsidR="00E25FAA" w:rsidRPr="002E3B74">
          <w:rPr>
            <w:rStyle w:val="Hyperlink"/>
            <w:noProof/>
          </w:rPr>
          <w:t>3.2.6.1   Export promotion</w:t>
        </w:r>
        <w:r w:rsidR="00E25FAA">
          <w:rPr>
            <w:noProof/>
            <w:webHidden/>
          </w:rPr>
          <w:tab/>
        </w:r>
        <w:r w:rsidR="00E25FAA">
          <w:rPr>
            <w:noProof/>
            <w:webHidden/>
          </w:rPr>
          <w:fldChar w:fldCharType="begin"/>
        </w:r>
        <w:r w:rsidR="00E25FAA">
          <w:rPr>
            <w:noProof/>
            <w:webHidden/>
          </w:rPr>
          <w:instrText xml:space="preserve"> PAGEREF _Toc103607690 \h </w:instrText>
        </w:r>
        <w:r w:rsidR="00E25FAA">
          <w:rPr>
            <w:noProof/>
            <w:webHidden/>
          </w:rPr>
        </w:r>
        <w:r w:rsidR="00E25FAA">
          <w:rPr>
            <w:noProof/>
            <w:webHidden/>
          </w:rPr>
          <w:fldChar w:fldCharType="separate"/>
        </w:r>
        <w:r w:rsidR="00E25FAA">
          <w:rPr>
            <w:noProof/>
            <w:webHidden/>
          </w:rPr>
          <w:t>46</w:t>
        </w:r>
        <w:r w:rsidR="00E25FAA">
          <w:rPr>
            <w:noProof/>
            <w:webHidden/>
          </w:rPr>
          <w:fldChar w:fldCharType="end"/>
        </w:r>
      </w:hyperlink>
    </w:p>
    <w:p w14:paraId="52CF97E0" w14:textId="55998715" w:rsidR="00E25FAA" w:rsidRDefault="0087550A">
      <w:pPr>
        <w:pStyle w:val="TOC4"/>
        <w:rPr>
          <w:rFonts w:asciiTheme="minorHAnsi" w:eastAsiaTheme="minorEastAsia" w:hAnsiTheme="minorHAnsi" w:cstheme="minorBidi"/>
          <w:noProof/>
          <w:sz w:val="22"/>
          <w:szCs w:val="22"/>
        </w:rPr>
      </w:pPr>
      <w:hyperlink w:anchor="_Toc103607691" w:history="1">
        <w:r w:rsidR="00E25FAA" w:rsidRPr="002E3B74">
          <w:rPr>
            <w:rStyle w:val="Hyperlink"/>
            <w:noProof/>
          </w:rPr>
          <w:t>3.2.6.2   Duty drawback</w:t>
        </w:r>
        <w:r w:rsidR="00E25FAA">
          <w:rPr>
            <w:noProof/>
            <w:webHidden/>
          </w:rPr>
          <w:tab/>
        </w:r>
        <w:r w:rsidR="00E25FAA">
          <w:rPr>
            <w:noProof/>
            <w:webHidden/>
          </w:rPr>
          <w:fldChar w:fldCharType="begin"/>
        </w:r>
        <w:r w:rsidR="00E25FAA">
          <w:rPr>
            <w:noProof/>
            <w:webHidden/>
          </w:rPr>
          <w:instrText xml:space="preserve"> PAGEREF _Toc103607691 \h </w:instrText>
        </w:r>
        <w:r w:rsidR="00E25FAA">
          <w:rPr>
            <w:noProof/>
            <w:webHidden/>
          </w:rPr>
        </w:r>
        <w:r w:rsidR="00E25FAA">
          <w:rPr>
            <w:noProof/>
            <w:webHidden/>
          </w:rPr>
          <w:fldChar w:fldCharType="separate"/>
        </w:r>
        <w:r w:rsidR="00E25FAA">
          <w:rPr>
            <w:noProof/>
            <w:webHidden/>
          </w:rPr>
          <w:t>46</w:t>
        </w:r>
        <w:r w:rsidR="00E25FAA">
          <w:rPr>
            <w:noProof/>
            <w:webHidden/>
          </w:rPr>
          <w:fldChar w:fldCharType="end"/>
        </w:r>
      </w:hyperlink>
    </w:p>
    <w:p w14:paraId="01025488" w14:textId="004D21DA" w:rsidR="00E25FAA" w:rsidRDefault="0087550A">
      <w:pPr>
        <w:pStyle w:val="TOC4"/>
        <w:rPr>
          <w:rFonts w:asciiTheme="minorHAnsi" w:eastAsiaTheme="minorEastAsia" w:hAnsiTheme="minorHAnsi" w:cstheme="minorBidi"/>
          <w:noProof/>
          <w:sz w:val="22"/>
          <w:szCs w:val="22"/>
        </w:rPr>
      </w:pPr>
      <w:hyperlink w:anchor="_Toc103607692" w:history="1">
        <w:r w:rsidR="00E25FAA" w:rsidRPr="002E3B74">
          <w:rPr>
            <w:rStyle w:val="Hyperlink"/>
            <w:noProof/>
          </w:rPr>
          <w:t>3.2.6.3   Export subsidies</w:t>
        </w:r>
        <w:r w:rsidR="00E25FAA">
          <w:rPr>
            <w:noProof/>
            <w:webHidden/>
          </w:rPr>
          <w:tab/>
        </w:r>
        <w:r w:rsidR="00E25FAA">
          <w:rPr>
            <w:noProof/>
            <w:webHidden/>
          </w:rPr>
          <w:fldChar w:fldCharType="begin"/>
        </w:r>
        <w:r w:rsidR="00E25FAA">
          <w:rPr>
            <w:noProof/>
            <w:webHidden/>
          </w:rPr>
          <w:instrText xml:space="preserve"> PAGEREF _Toc103607692 \h </w:instrText>
        </w:r>
        <w:r w:rsidR="00E25FAA">
          <w:rPr>
            <w:noProof/>
            <w:webHidden/>
          </w:rPr>
        </w:r>
        <w:r w:rsidR="00E25FAA">
          <w:rPr>
            <w:noProof/>
            <w:webHidden/>
          </w:rPr>
          <w:fldChar w:fldCharType="separate"/>
        </w:r>
        <w:r w:rsidR="00E25FAA">
          <w:rPr>
            <w:noProof/>
            <w:webHidden/>
          </w:rPr>
          <w:t>47</w:t>
        </w:r>
        <w:r w:rsidR="00E25FAA">
          <w:rPr>
            <w:noProof/>
            <w:webHidden/>
          </w:rPr>
          <w:fldChar w:fldCharType="end"/>
        </w:r>
      </w:hyperlink>
    </w:p>
    <w:p w14:paraId="517184F3" w14:textId="33708663" w:rsidR="00E25FAA" w:rsidRDefault="0087550A">
      <w:pPr>
        <w:pStyle w:val="TOC4"/>
        <w:rPr>
          <w:rFonts w:asciiTheme="minorHAnsi" w:eastAsiaTheme="minorEastAsia" w:hAnsiTheme="minorHAnsi" w:cstheme="minorBidi"/>
          <w:noProof/>
          <w:sz w:val="22"/>
          <w:szCs w:val="22"/>
        </w:rPr>
      </w:pPr>
      <w:hyperlink w:anchor="_Toc103607693" w:history="1">
        <w:r w:rsidR="00E25FAA" w:rsidRPr="002E3B74">
          <w:rPr>
            <w:rStyle w:val="Hyperlink"/>
            <w:noProof/>
          </w:rPr>
          <w:t>3.2.6.4   Export finance, insurance, and guarantees</w:t>
        </w:r>
        <w:r w:rsidR="00E25FAA">
          <w:rPr>
            <w:noProof/>
            <w:webHidden/>
          </w:rPr>
          <w:tab/>
        </w:r>
        <w:r w:rsidR="00E25FAA">
          <w:rPr>
            <w:noProof/>
            <w:webHidden/>
          </w:rPr>
          <w:fldChar w:fldCharType="begin"/>
        </w:r>
        <w:r w:rsidR="00E25FAA">
          <w:rPr>
            <w:noProof/>
            <w:webHidden/>
          </w:rPr>
          <w:instrText xml:space="preserve"> PAGEREF _Toc103607693 \h </w:instrText>
        </w:r>
        <w:r w:rsidR="00E25FAA">
          <w:rPr>
            <w:noProof/>
            <w:webHidden/>
          </w:rPr>
        </w:r>
        <w:r w:rsidR="00E25FAA">
          <w:rPr>
            <w:noProof/>
            <w:webHidden/>
          </w:rPr>
          <w:fldChar w:fldCharType="separate"/>
        </w:r>
        <w:r w:rsidR="00E25FAA">
          <w:rPr>
            <w:noProof/>
            <w:webHidden/>
          </w:rPr>
          <w:t>47</w:t>
        </w:r>
        <w:r w:rsidR="00E25FAA">
          <w:rPr>
            <w:noProof/>
            <w:webHidden/>
          </w:rPr>
          <w:fldChar w:fldCharType="end"/>
        </w:r>
      </w:hyperlink>
    </w:p>
    <w:p w14:paraId="0B064A2E" w14:textId="1FB5FE7F" w:rsidR="00E25FAA" w:rsidRDefault="0087550A">
      <w:pPr>
        <w:pStyle w:val="TOC4"/>
        <w:rPr>
          <w:rFonts w:asciiTheme="minorHAnsi" w:eastAsiaTheme="minorEastAsia" w:hAnsiTheme="minorHAnsi" w:cstheme="minorBidi"/>
          <w:noProof/>
          <w:sz w:val="22"/>
          <w:szCs w:val="22"/>
        </w:rPr>
      </w:pPr>
      <w:hyperlink w:anchor="_Toc103607694" w:history="1">
        <w:r w:rsidR="00E25FAA" w:rsidRPr="002E3B74">
          <w:rPr>
            <w:rStyle w:val="Hyperlink"/>
            <w:noProof/>
          </w:rPr>
          <w:t>3.2.6.5   Free zones</w:t>
        </w:r>
        <w:r w:rsidR="00E25FAA">
          <w:rPr>
            <w:noProof/>
            <w:webHidden/>
          </w:rPr>
          <w:tab/>
        </w:r>
        <w:r w:rsidR="00E25FAA">
          <w:rPr>
            <w:noProof/>
            <w:webHidden/>
          </w:rPr>
          <w:fldChar w:fldCharType="begin"/>
        </w:r>
        <w:r w:rsidR="00E25FAA">
          <w:rPr>
            <w:noProof/>
            <w:webHidden/>
          </w:rPr>
          <w:instrText xml:space="preserve"> PAGEREF _Toc103607694 \h </w:instrText>
        </w:r>
        <w:r w:rsidR="00E25FAA">
          <w:rPr>
            <w:noProof/>
            <w:webHidden/>
          </w:rPr>
        </w:r>
        <w:r w:rsidR="00E25FAA">
          <w:rPr>
            <w:noProof/>
            <w:webHidden/>
          </w:rPr>
          <w:fldChar w:fldCharType="separate"/>
        </w:r>
        <w:r w:rsidR="00E25FAA">
          <w:rPr>
            <w:noProof/>
            <w:webHidden/>
          </w:rPr>
          <w:t>48</w:t>
        </w:r>
        <w:r w:rsidR="00E25FAA">
          <w:rPr>
            <w:noProof/>
            <w:webHidden/>
          </w:rPr>
          <w:fldChar w:fldCharType="end"/>
        </w:r>
      </w:hyperlink>
    </w:p>
    <w:p w14:paraId="0B5874DF" w14:textId="618B2A1B" w:rsidR="00E25FAA" w:rsidRDefault="0087550A">
      <w:pPr>
        <w:pStyle w:val="TOC2"/>
        <w:rPr>
          <w:rFonts w:asciiTheme="minorHAnsi" w:eastAsiaTheme="minorEastAsia" w:hAnsiTheme="minorHAnsi" w:cstheme="minorBidi"/>
          <w:noProof/>
          <w:sz w:val="22"/>
          <w:szCs w:val="22"/>
        </w:rPr>
      </w:pPr>
      <w:hyperlink w:anchor="_Toc103607695" w:history="1">
        <w:r w:rsidR="00E25FAA" w:rsidRPr="002E3B74">
          <w:rPr>
            <w:rStyle w:val="Hyperlink"/>
            <w:noProof/>
          </w:rPr>
          <w:t>3.3   Measures Affecting Production and Trade</w:t>
        </w:r>
        <w:r w:rsidR="00E25FAA">
          <w:rPr>
            <w:noProof/>
            <w:webHidden/>
          </w:rPr>
          <w:tab/>
        </w:r>
        <w:r w:rsidR="00E25FAA">
          <w:rPr>
            <w:noProof/>
            <w:webHidden/>
          </w:rPr>
          <w:fldChar w:fldCharType="begin"/>
        </w:r>
        <w:r w:rsidR="00E25FAA">
          <w:rPr>
            <w:noProof/>
            <w:webHidden/>
          </w:rPr>
          <w:instrText xml:space="preserve"> PAGEREF _Toc103607695 \h </w:instrText>
        </w:r>
        <w:r w:rsidR="00E25FAA">
          <w:rPr>
            <w:noProof/>
            <w:webHidden/>
          </w:rPr>
        </w:r>
        <w:r w:rsidR="00E25FAA">
          <w:rPr>
            <w:noProof/>
            <w:webHidden/>
          </w:rPr>
          <w:fldChar w:fldCharType="separate"/>
        </w:r>
        <w:r w:rsidR="00E25FAA">
          <w:rPr>
            <w:noProof/>
            <w:webHidden/>
          </w:rPr>
          <w:t>50</w:t>
        </w:r>
        <w:r w:rsidR="00E25FAA">
          <w:rPr>
            <w:noProof/>
            <w:webHidden/>
          </w:rPr>
          <w:fldChar w:fldCharType="end"/>
        </w:r>
      </w:hyperlink>
    </w:p>
    <w:p w14:paraId="5B883E4A" w14:textId="68FD6FBC" w:rsidR="00E25FAA" w:rsidRDefault="0087550A">
      <w:pPr>
        <w:pStyle w:val="TOC3"/>
        <w:rPr>
          <w:rFonts w:asciiTheme="minorHAnsi" w:eastAsiaTheme="minorEastAsia" w:hAnsiTheme="minorHAnsi" w:cstheme="minorBidi"/>
          <w:noProof/>
          <w:sz w:val="22"/>
          <w:szCs w:val="22"/>
        </w:rPr>
      </w:pPr>
      <w:hyperlink w:anchor="_Toc103607696" w:history="1">
        <w:r w:rsidR="00E25FAA" w:rsidRPr="002E3B74">
          <w:rPr>
            <w:rStyle w:val="Hyperlink"/>
            <w:noProof/>
          </w:rPr>
          <w:t>3.3.1   Incentives</w:t>
        </w:r>
        <w:r w:rsidR="00E25FAA">
          <w:rPr>
            <w:noProof/>
            <w:webHidden/>
          </w:rPr>
          <w:tab/>
        </w:r>
        <w:r w:rsidR="00E25FAA">
          <w:rPr>
            <w:noProof/>
            <w:webHidden/>
          </w:rPr>
          <w:fldChar w:fldCharType="begin"/>
        </w:r>
        <w:r w:rsidR="00E25FAA">
          <w:rPr>
            <w:noProof/>
            <w:webHidden/>
          </w:rPr>
          <w:instrText xml:space="preserve"> PAGEREF _Toc103607696 \h </w:instrText>
        </w:r>
        <w:r w:rsidR="00E25FAA">
          <w:rPr>
            <w:noProof/>
            <w:webHidden/>
          </w:rPr>
        </w:r>
        <w:r w:rsidR="00E25FAA">
          <w:rPr>
            <w:noProof/>
            <w:webHidden/>
          </w:rPr>
          <w:fldChar w:fldCharType="separate"/>
        </w:r>
        <w:r w:rsidR="00E25FAA">
          <w:rPr>
            <w:noProof/>
            <w:webHidden/>
          </w:rPr>
          <w:t>50</w:t>
        </w:r>
        <w:r w:rsidR="00E25FAA">
          <w:rPr>
            <w:noProof/>
            <w:webHidden/>
          </w:rPr>
          <w:fldChar w:fldCharType="end"/>
        </w:r>
      </w:hyperlink>
    </w:p>
    <w:p w14:paraId="14CA8E54" w14:textId="021C3EB4" w:rsidR="00E25FAA" w:rsidRDefault="0087550A">
      <w:pPr>
        <w:pStyle w:val="TOC3"/>
        <w:rPr>
          <w:rFonts w:asciiTheme="minorHAnsi" w:eastAsiaTheme="minorEastAsia" w:hAnsiTheme="minorHAnsi" w:cstheme="minorBidi"/>
          <w:noProof/>
          <w:sz w:val="22"/>
          <w:szCs w:val="22"/>
        </w:rPr>
      </w:pPr>
      <w:hyperlink w:anchor="_Toc103607697" w:history="1">
        <w:r w:rsidR="00E25FAA" w:rsidRPr="002E3B74">
          <w:rPr>
            <w:rStyle w:val="Hyperlink"/>
            <w:noProof/>
          </w:rPr>
          <w:t>3.3.2   Local content requirements</w:t>
        </w:r>
        <w:r w:rsidR="00E25FAA">
          <w:rPr>
            <w:noProof/>
            <w:webHidden/>
          </w:rPr>
          <w:tab/>
        </w:r>
        <w:r w:rsidR="00E25FAA">
          <w:rPr>
            <w:noProof/>
            <w:webHidden/>
          </w:rPr>
          <w:fldChar w:fldCharType="begin"/>
        </w:r>
        <w:r w:rsidR="00E25FAA">
          <w:rPr>
            <w:noProof/>
            <w:webHidden/>
          </w:rPr>
          <w:instrText xml:space="preserve"> PAGEREF _Toc103607697 \h </w:instrText>
        </w:r>
        <w:r w:rsidR="00E25FAA">
          <w:rPr>
            <w:noProof/>
            <w:webHidden/>
          </w:rPr>
        </w:r>
        <w:r w:rsidR="00E25FAA">
          <w:rPr>
            <w:noProof/>
            <w:webHidden/>
          </w:rPr>
          <w:fldChar w:fldCharType="separate"/>
        </w:r>
        <w:r w:rsidR="00E25FAA">
          <w:rPr>
            <w:noProof/>
            <w:webHidden/>
          </w:rPr>
          <w:t>50</w:t>
        </w:r>
        <w:r w:rsidR="00E25FAA">
          <w:rPr>
            <w:noProof/>
            <w:webHidden/>
          </w:rPr>
          <w:fldChar w:fldCharType="end"/>
        </w:r>
      </w:hyperlink>
    </w:p>
    <w:p w14:paraId="39C2E024" w14:textId="6047A9BD" w:rsidR="00E25FAA" w:rsidRDefault="0087550A">
      <w:pPr>
        <w:pStyle w:val="TOC3"/>
        <w:rPr>
          <w:rFonts w:asciiTheme="minorHAnsi" w:eastAsiaTheme="minorEastAsia" w:hAnsiTheme="minorHAnsi" w:cstheme="minorBidi"/>
          <w:noProof/>
          <w:sz w:val="22"/>
          <w:szCs w:val="22"/>
        </w:rPr>
      </w:pPr>
      <w:hyperlink w:anchor="_Toc103607698" w:history="1">
        <w:r w:rsidR="00E25FAA" w:rsidRPr="002E3B74">
          <w:rPr>
            <w:rStyle w:val="Hyperlink"/>
            <w:noProof/>
          </w:rPr>
          <w:t>3.3.3   Standards and other technical requirements</w:t>
        </w:r>
        <w:r w:rsidR="00E25FAA">
          <w:rPr>
            <w:noProof/>
            <w:webHidden/>
          </w:rPr>
          <w:tab/>
        </w:r>
        <w:r w:rsidR="00E25FAA">
          <w:rPr>
            <w:noProof/>
            <w:webHidden/>
          </w:rPr>
          <w:fldChar w:fldCharType="begin"/>
        </w:r>
        <w:r w:rsidR="00E25FAA">
          <w:rPr>
            <w:noProof/>
            <w:webHidden/>
          </w:rPr>
          <w:instrText xml:space="preserve"> PAGEREF _Toc103607698 \h </w:instrText>
        </w:r>
        <w:r w:rsidR="00E25FAA">
          <w:rPr>
            <w:noProof/>
            <w:webHidden/>
          </w:rPr>
        </w:r>
        <w:r w:rsidR="00E25FAA">
          <w:rPr>
            <w:noProof/>
            <w:webHidden/>
          </w:rPr>
          <w:fldChar w:fldCharType="separate"/>
        </w:r>
        <w:r w:rsidR="00E25FAA">
          <w:rPr>
            <w:noProof/>
            <w:webHidden/>
          </w:rPr>
          <w:t>50</w:t>
        </w:r>
        <w:r w:rsidR="00E25FAA">
          <w:rPr>
            <w:noProof/>
            <w:webHidden/>
          </w:rPr>
          <w:fldChar w:fldCharType="end"/>
        </w:r>
      </w:hyperlink>
    </w:p>
    <w:p w14:paraId="041DA4B1" w14:textId="73B4CA0A" w:rsidR="00E25FAA" w:rsidRDefault="0087550A">
      <w:pPr>
        <w:pStyle w:val="TOC3"/>
        <w:rPr>
          <w:rFonts w:asciiTheme="minorHAnsi" w:eastAsiaTheme="minorEastAsia" w:hAnsiTheme="minorHAnsi" w:cstheme="minorBidi"/>
          <w:noProof/>
          <w:sz w:val="22"/>
          <w:szCs w:val="22"/>
        </w:rPr>
      </w:pPr>
      <w:hyperlink w:anchor="_Toc103607699" w:history="1">
        <w:r w:rsidR="00E25FAA" w:rsidRPr="002E3B74">
          <w:rPr>
            <w:rStyle w:val="Hyperlink"/>
            <w:noProof/>
          </w:rPr>
          <w:t>3.3.4   Sanitary and phytosanitary measures</w:t>
        </w:r>
        <w:r w:rsidR="00E25FAA">
          <w:rPr>
            <w:noProof/>
            <w:webHidden/>
          </w:rPr>
          <w:tab/>
        </w:r>
        <w:r w:rsidR="00E25FAA">
          <w:rPr>
            <w:noProof/>
            <w:webHidden/>
          </w:rPr>
          <w:fldChar w:fldCharType="begin"/>
        </w:r>
        <w:r w:rsidR="00E25FAA">
          <w:rPr>
            <w:noProof/>
            <w:webHidden/>
          </w:rPr>
          <w:instrText xml:space="preserve"> PAGEREF _Toc103607699 \h </w:instrText>
        </w:r>
        <w:r w:rsidR="00E25FAA">
          <w:rPr>
            <w:noProof/>
            <w:webHidden/>
          </w:rPr>
        </w:r>
        <w:r w:rsidR="00E25FAA">
          <w:rPr>
            <w:noProof/>
            <w:webHidden/>
          </w:rPr>
          <w:fldChar w:fldCharType="separate"/>
        </w:r>
        <w:r w:rsidR="00E25FAA">
          <w:rPr>
            <w:noProof/>
            <w:webHidden/>
          </w:rPr>
          <w:t>53</w:t>
        </w:r>
        <w:r w:rsidR="00E25FAA">
          <w:rPr>
            <w:noProof/>
            <w:webHidden/>
          </w:rPr>
          <w:fldChar w:fldCharType="end"/>
        </w:r>
      </w:hyperlink>
    </w:p>
    <w:p w14:paraId="0043C517" w14:textId="25CBDDB0" w:rsidR="00E25FAA" w:rsidRDefault="0087550A">
      <w:pPr>
        <w:pStyle w:val="TOC3"/>
        <w:rPr>
          <w:rFonts w:asciiTheme="minorHAnsi" w:eastAsiaTheme="minorEastAsia" w:hAnsiTheme="minorHAnsi" w:cstheme="minorBidi"/>
          <w:noProof/>
          <w:sz w:val="22"/>
          <w:szCs w:val="22"/>
        </w:rPr>
      </w:pPr>
      <w:hyperlink w:anchor="_Toc103607700" w:history="1">
        <w:r w:rsidR="00E25FAA" w:rsidRPr="002E3B74">
          <w:rPr>
            <w:rStyle w:val="Hyperlink"/>
            <w:noProof/>
          </w:rPr>
          <w:t>3.3.5   Competition policy</w:t>
        </w:r>
        <w:r w:rsidR="00E25FAA">
          <w:rPr>
            <w:noProof/>
            <w:webHidden/>
          </w:rPr>
          <w:tab/>
        </w:r>
        <w:r w:rsidR="00E25FAA">
          <w:rPr>
            <w:noProof/>
            <w:webHidden/>
          </w:rPr>
          <w:fldChar w:fldCharType="begin"/>
        </w:r>
        <w:r w:rsidR="00E25FAA">
          <w:rPr>
            <w:noProof/>
            <w:webHidden/>
          </w:rPr>
          <w:instrText xml:space="preserve"> PAGEREF _Toc103607700 \h </w:instrText>
        </w:r>
        <w:r w:rsidR="00E25FAA">
          <w:rPr>
            <w:noProof/>
            <w:webHidden/>
          </w:rPr>
        </w:r>
        <w:r w:rsidR="00E25FAA">
          <w:rPr>
            <w:noProof/>
            <w:webHidden/>
          </w:rPr>
          <w:fldChar w:fldCharType="separate"/>
        </w:r>
        <w:r w:rsidR="00E25FAA">
          <w:rPr>
            <w:noProof/>
            <w:webHidden/>
          </w:rPr>
          <w:t>55</w:t>
        </w:r>
        <w:r w:rsidR="00E25FAA">
          <w:rPr>
            <w:noProof/>
            <w:webHidden/>
          </w:rPr>
          <w:fldChar w:fldCharType="end"/>
        </w:r>
      </w:hyperlink>
    </w:p>
    <w:p w14:paraId="42ECABF7" w14:textId="3FCD2B27" w:rsidR="00E25FAA" w:rsidRDefault="0087550A">
      <w:pPr>
        <w:pStyle w:val="TOC3"/>
        <w:rPr>
          <w:rFonts w:asciiTheme="minorHAnsi" w:eastAsiaTheme="minorEastAsia" w:hAnsiTheme="minorHAnsi" w:cstheme="minorBidi"/>
          <w:noProof/>
          <w:sz w:val="22"/>
          <w:szCs w:val="22"/>
        </w:rPr>
      </w:pPr>
      <w:hyperlink w:anchor="_Toc103607701" w:history="1">
        <w:r w:rsidR="00E25FAA" w:rsidRPr="002E3B74">
          <w:rPr>
            <w:rStyle w:val="Hyperlink"/>
            <w:noProof/>
          </w:rPr>
          <w:t>3.3.6   State-owned enterprises, state trading, and privatization</w:t>
        </w:r>
        <w:r w:rsidR="00E25FAA">
          <w:rPr>
            <w:noProof/>
            <w:webHidden/>
          </w:rPr>
          <w:tab/>
        </w:r>
        <w:r w:rsidR="00E25FAA">
          <w:rPr>
            <w:noProof/>
            <w:webHidden/>
          </w:rPr>
          <w:fldChar w:fldCharType="begin"/>
        </w:r>
        <w:r w:rsidR="00E25FAA">
          <w:rPr>
            <w:noProof/>
            <w:webHidden/>
          </w:rPr>
          <w:instrText xml:space="preserve"> PAGEREF _Toc103607701 \h </w:instrText>
        </w:r>
        <w:r w:rsidR="00E25FAA">
          <w:rPr>
            <w:noProof/>
            <w:webHidden/>
          </w:rPr>
        </w:r>
        <w:r w:rsidR="00E25FAA">
          <w:rPr>
            <w:noProof/>
            <w:webHidden/>
          </w:rPr>
          <w:fldChar w:fldCharType="separate"/>
        </w:r>
        <w:r w:rsidR="00E25FAA">
          <w:rPr>
            <w:noProof/>
            <w:webHidden/>
          </w:rPr>
          <w:t>55</w:t>
        </w:r>
        <w:r w:rsidR="00E25FAA">
          <w:rPr>
            <w:noProof/>
            <w:webHidden/>
          </w:rPr>
          <w:fldChar w:fldCharType="end"/>
        </w:r>
      </w:hyperlink>
    </w:p>
    <w:p w14:paraId="0C8E0DCF" w14:textId="76C7B5F9" w:rsidR="00E25FAA" w:rsidRDefault="0087550A">
      <w:pPr>
        <w:pStyle w:val="TOC3"/>
        <w:rPr>
          <w:rFonts w:asciiTheme="minorHAnsi" w:eastAsiaTheme="minorEastAsia" w:hAnsiTheme="minorHAnsi" w:cstheme="minorBidi"/>
          <w:noProof/>
          <w:sz w:val="22"/>
          <w:szCs w:val="22"/>
        </w:rPr>
      </w:pPr>
      <w:hyperlink w:anchor="_Toc103607702" w:history="1">
        <w:r w:rsidR="00E25FAA" w:rsidRPr="002E3B74">
          <w:rPr>
            <w:rStyle w:val="Hyperlink"/>
            <w:noProof/>
          </w:rPr>
          <w:t>3.3.7   Government procurement</w:t>
        </w:r>
        <w:r w:rsidR="00E25FAA">
          <w:rPr>
            <w:noProof/>
            <w:webHidden/>
          </w:rPr>
          <w:tab/>
        </w:r>
        <w:r w:rsidR="00E25FAA">
          <w:rPr>
            <w:noProof/>
            <w:webHidden/>
          </w:rPr>
          <w:fldChar w:fldCharType="begin"/>
        </w:r>
        <w:r w:rsidR="00E25FAA">
          <w:rPr>
            <w:noProof/>
            <w:webHidden/>
          </w:rPr>
          <w:instrText xml:space="preserve"> PAGEREF _Toc103607702 \h </w:instrText>
        </w:r>
        <w:r w:rsidR="00E25FAA">
          <w:rPr>
            <w:noProof/>
            <w:webHidden/>
          </w:rPr>
        </w:r>
        <w:r w:rsidR="00E25FAA">
          <w:rPr>
            <w:noProof/>
            <w:webHidden/>
          </w:rPr>
          <w:fldChar w:fldCharType="separate"/>
        </w:r>
        <w:r w:rsidR="00E25FAA">
          <w:rPr>
            <w:noProof/>
            <w:webHidden/>
          </w:rPr>
          <w:t>57</w:t>
        </w:r>
        <w:r w:rsidR="00E25FAA">
          <w:rPr>
            <w:noProof/>
            <w:webHidden/>
          </w:rPr>
          <w:fldChar w:fldCharType="end"/>
        </w:r>
      </w:hyperlink>
    </w:p>
    <w:p w14:paraId="40B46F5A" w14:textId="46CD2064" w:rsidR="00E25FAA" w:rsidRDefault="0087550A">
      <w:pPr>
        <w:pStyle w:val="TOC3"/>
        <w:rPr>
          <w:rFonts w:asciiTheme="minorHAnsi" w:eastAsiaTheme="minorEastAsia" w:hAnsiTheme="minorHAnsi" w:cstheme="minorBidi"/>
          <w:noProof/>
          <w:sz w:val="22"/>
          <w:szCs w:val="22"/>
        </w:rPr>
      </w:pPr>
      <w:hyperlink w:anchor="_Toc103607703" w:history="1">
        <w:r w:rsidR="00E25FAA" w:rsidRPr="002E3B74">
          <w:rPr>
            <w:rStyle w:val="Hyperlink"/>
            <w:noProof/>
          </w:rPr>
          <w:t>3.3.8   Intellectual property rights</w:t>
        </w:r>
        <w:r w:rsidR="00E25FAA">
          <w:rPr>
            <w:noProof/>
            <w:webHidden/>
          </w:rPr>
          <w:tab/>
        </w:r>
        <w:r w:rsidR="00E25FAA">
          <w:rPr>
            <w:noProof/>
            <w:webHidden/>
          </w:rPr>
          <w:fldChar w:fldCharType="begin"/>
        </w:r>
        <w:r w:rsidR="00E25FAA">
          <w:rPr>
            <w:noProof/>
            <w:webHidden/>
          </w:rPr>
          <w:instrText xml:space="preserve"> PAGEREF _Toc103607703 \h </w:instrText>
        </w:r>
        <w:r w:rsidR="00E25FAA">
          <w:rPr>
            <w:noProof/>
            <w:webHidden/>
          </w:rPr>
        </w:r>
        <w:r w:rsidR="00E25FAA">
          <w:rPr>
            <w:noProof/>
            <w:webHidden/>
          </w:rPr>
          <w:fldChar w:fldCharType="separate"/>
        </w:r>
        <w:r w:rsidR="00E25FAA">
          <w:rPr>
            <w:noProof/>
            <w:webHidden/>
          </w:rPr>
          <w:t>60</w:t>
        </w:r>
        <w:r w:rsidR="00E25FAA">
          <w:rPr>
            <w:noProof/>
            <w:webHidden/>
          </w:rPr>
          <w:fldChar w:fldCharType="end"/>
        </w:r>
      </w:hyperlink>
    </w:p>
    <w:p w14:paraId="6520AF87" w14:textId="7008828A" w:rsidR="00E25FAA" w:rsidRDefault="0087550A">
      <w:pPr>
        <w:pStyle w:val="TOC4"/>
        <w:rPr>
          <w:rFonts w:asciiTheme="minorHAnsi" w:eastAsiaTheme="minorEastAsia" w:hAnsiTheme="minorHAnsi" w:cstheme="minorBidi"/>
          <w:noProof/>
          <w:sz w:val="22"/>
          <w:szCs w:val="22"/>
        </w:rPr>
      </w:pPr>
      <w:hyperlink w:anchor="_Toc103607704" w:history="1">
        <w:r w:rsidR="00E25FAA" w:rsidRPr="002E3B74">
          <w:rPr>
            <w:rStyle w:val="Hyperlink"/>
            <w:noProof/>
          </w:rPr>
          <w:t>3.3.8.1   Legal and institutional framework</w:t>
        </w:r>
        <w:r w:rsidR="00E25FAA">
          <w:rPr>
            <w:noProof/>
            <w:webHidden/>
          </w:rPr>
          <w:tab/>
        </w:r>
        <w:r w:rsidR="00E25FAA">
          <w:rPr>
            <w:noProof/>
            <w:webHidden/>
          </w:rPr>
          <w:fldChar w:fldCharType="begin"/>
        </w:r>
        <w:r w:rsidR="00E25FAA">
          <w:rPr>
            <w:noProof/>
            <w:webHidden/>
          </w:rPr>
          <w:instrText xml:space="preserve"> PAGEREF _Toc103607704 \h </w:instrText>
        </w:r>
        <w:r w:rsidR="00E25FAA">
          <w:rPr>
            <w:noProof/>
            <w:webHidden/>
          </w:rPr>
        </w:r>
        <w:r w:rsidR="00E25FAA">
          <w:rPr>
            <w:noProof/>
            <w:webHidden/>
          </w:rPr>
          <w:fldChar w:fldCharType="separate"/>
        </w:r>
        <w:r w:rsidR="00E25FAA">
          <w:rPr>
            <w:noProof/>
            <w:webHidden/>
          </w:rPr>
          <w:t>60</w:t>
        </w:r>
        <w:r w:rsidR="00E25FAA">
          <w:rPr>
            <w:noProof/>
            <w:webHidden/>
          </w:rPr>
          <w:fldChar w:fldCharType="end"/>
        </w:r>
      </w:hyperlink>
    </w:p>
    <w:p w14:paraId="31FAB419" w14:textId="60620348" w:rsidR="00E25FAA" w:rsidRDefault="0087550A">
      <w:pPr>
        <w:pStyle w:val="TOC4"/>
        <w:rPr>
          <w:rFonts w:asciiTheme="minorHAnsi" w:eastAsiaTheme="minorEastAsia" w:hAnsiTheme="minorHAnsi" w:cstheme="minorBidi"/>
          <w:noProof/>
          <w:sz w:val="22"/>
          <w:szCs w:val="22"/>
        </w:rPr>
      </w:pPr>
      <w:hyperlink w:anchor="_Toc103607705" w:history="1">
        <w:r w:rsidR="00E25FAA" w:rsidRPr="002E3B74">
          <w:rPr>
            <w:rStyle w:val="Hyperlink"/>
            <w:noProof/>
          </w:rPr>
          <w:t>3.3.8.2   Main areas of intellectual property rights</w:t>
        </w:r>
        <w:r w:rsidR="00E25FAA">
          <w:rPr>
            <w:noProof/>
            <w:webHidden/>
          </w:rPr>
          <w:tab/>
        </w:r>
        <w:r w:rsidR="00E25FAA">
          <w:rPr>
            <w:noProof/>
            <w:webHidden/>
          </w:rPr>
          <w:fldChar w:fldCharType="begin"/>
        </w:r>
        <w:r w:rsidR="00E25FAA">
          <w:rPr>
            <w:noProof/>
            <w:webHidden/>
          </w:rPr>
          <w:instrText xml:space="preserve"> PAGEREF _Toc103607705 \h </w:instrText>
        </w:r>
        <w:r w:rsidR="00E25FAA">
          <w:rPr>
            <w:noProof/>
            <w:webHidden/>
          </w:rPr>
        </w:r>
        <w:r w:rsidR="00E25FAA">
          <w:rPr>
            <w:noProof/>
            <w:webHidden/>
          </w:rPr>
          <w:fldChar w:fldCharType="separate"/>
        </w:r>
        <w:r w:rsidR="00E25FAA">
          <w:rPr>
            <w:noProof/>
            <w:webHidden/>
          </w:rPr>
          <w:t>61</w:t>
        </w:r>
        <w:r w:rsidR="00E25FAA">
          <w:rPr>
            <w:noProof/>
            <w:webHidden/>
          </w:rPr>
          <w:fldChar w:fldCharType="end"/>
        </w:r>
      </w:hyperlink>
    </w:p>
    <w:p w14:paraId="79DBE5B1" w14:textId="526BD330" w:rsidR="00E25FAA" w:rsidRDefault="0087550A">
      <w:pPr>
        <w:pStyle w:val="TOC4"/>
        <w:rPr>
          <w:rFonts w:asciiTheme="minorHAnsi" w:eastAsiaTheme="minorEastAsia" w:hAnsiTheme="minorHAnsi" w:cstheme="minorBidi"/>
          <w:noProof/>
          <w:sz w:val="22"/>
          <w:szCs w:val="22"/>
        </w:rPr>
      </w:pPr>
      <w:hyperlink w:anchor="_Toc103607706" w:history="1">
        <w:r w:rsidR="00E25FAA" w:rsidRPr="002E3B74">
          <w:rPr>
            <w:rStyle w:val="Hyperlink"/>
            <w:noProof/>
          </w:rPr>
          <w:t>3.3.8.3   Enforcement</w:t>
        </w:r>
        <w:r w:rsidR="00E25FAA">
          <w:rPr>
            <w:noProof/>
            <w:webHidden/>
          </w:rPr>
          <w:tab/>
        </w:r>
        <w:r w:rsidR="00E25FAA">
          <w:rPr>
            <w:noProof/>
            <w:webHidden/>
          </w:rPr>
          <w:fldChar w:fldCharType="begin"/>
        </w:r>
        <w:r w:rsidR="00E25FAA">
          <w:rPr>
            <w:noProof/>
            <w:webHidden/>
          </w:rPr>
          <w:instrText xml:space="preserve"> PAGEREF _Toc103607706 \h </w:instrText>
        </w:r>
        <w:r w:rsidR="00E25FAA">
          <w:rPr>
            <w:noProof/>
            <w:webHidden/>
          </w:rPr>
        </w:r>
        <w:r w:rsidR="00E25FAA">
          <w:rPr>
            <w:noProof/>
            <w:webHidden/>
          </w:rPr>
          <w:fldChar w:fldCharType="separate"/>
        </w:r>
        <w:r w:rsidR="00E25FAA">
          <w:rPr>
            <w:noProof/>
            <w:webHidden/>
          </w:rPr>
          <w:t>63</w:t>
        </w:r>
        <w:r w:rsidR="00E25FAA">
          <w:rPr>
            <w:noProof/>
            <w:webHidden/>
          </w:rPr>
          <w:fldChar w:fldCharType="end"/>
        </w:r>
      </w:hyperlink>
    </w:p>
    <w:p w14:paraId="0407A380" w14:textId="7AD3265D" w:rsidR="00E25FAA" w:rsidRDefault="0087550A">
      <w:pPr>
        <w:pStyle w:val="TOC1"/>
        <w:tabs>
          <w:tab w:val="right" w:leader="dot" w:pos="9016"/>
        </w:tabs>
        <w:rPr>
          <w:rFonts w:asciiTheme="minorHAnsi" w:eastAsiaTheme="minorEastAsia" w:hAnsiTheme="minorHAnsi" w:cstheme="minorBidi"/>
          <w:b w:val="0"/>
          <w:caps w:val="0"/>
          <w:noProof/>
          <w:sz w:val="22"/>
          <w:szCs w:val="22"/>
        </w:rPr>
      </w:pPr>
      <w:hyperlink w:anchor="_Toc103607707" w:history="1">
        <w:r w:rsidR="00E25FAA" w:rsidRPr="002E3B74">
          <w:rPr>
            <w:rStyle w:val="Hyperlink"/>
            <w:noProof/>
          </w:rPr>
          <w:t>4   TRADE POLICIES BY SECTOR</w:t>
        </w:r>
        <w:r w:rsidR="00E25FAA">
          <w:rPr>
            <w:noProof/>
            <w:webHidden/>
          </w:rPr>
          <w:tab/>
        </w:r>
        <w:r w:rsidR="00E25FAA">
          <w:rPr>
            <w:noProof/>
            <w:webHidden/>
          </w:rPr>
          <w:fldChar w:fldCharType="begin"/>
        </w:r>
        <w:r w:rsidR="00E25FAA">
          <w:rPr>
            <w:noProof/>
            <w:webHidden/>
          </w:rPr>
          <w:instrText xml:space="preserve"> PAGEREF _Toc103607707 \h </w:instrText>
        </w:r>
        <w:r w:rsidR="00E25FAA">
          <w:rPr>
            <w:noProof/>
            <w:webHidden/>
          </w:rPr>
        </w:r>
        <w:r w:rsidR="00E25FAA">
          <w:rPr>
            <w:noProof/>
            <w:webHidden/>
          </w:rPr>
          <w:fldChar w:fldCharType="separate"/>
        </w:r>
        <w:r w:rsidR="00E25FAA">
          <w:rPr>
            <w:noProof/>
            <w:webHidden/>
          </w:rPr>
          <w:t>64</w:t>
        </w:r>
        <w:r w:rsidR="00E25FAA">
          <w:rPr>
            <w:noProof/>
            <w:webHidden/>
          </w:rPr>
          <w:fldChar w:fldCharType="end"/>
        </w:r>
      </w:hyperlink>
    </w:p>
    <w:p w14:paraId="34182411" w14:textId="4C7CEB66" w:rsidR="00E25FAA" w:rsidRDefault="0087550A">
      <w:pPr>
        <w:pStyle w:val="TOC2"/>
        <w:rPr>
          <w:rFonts w:asciiTheme="minorHAnsi" w:eastAsiaTheme="minorEastAsia" w:hAnsiTheme="minorHAnsi" w:cstheme="minorBidi"/>
          <w:noProof/>
          <w:sz w:val="22"/>
          <w:szCs w:val="22"/>
        </w:rPr>
      </w:pPr>
      <w:hyperlink w:anchor="_Toc103607708" w:history="1">
        <w:r w:rsidR="00E25FAA" w:rsidRPr="002E3B74">
          <w:rPr>
            <w:rStyle w:val="Hyperlink"/>
            <w:noProof/>
          </w:rPr>
          <w:t>4.1   Main Features</w:t>
        </w:r>
        <w:r w:rsidR="00E25FAA">
          <w:rPr>
            <w:noProof/>
            <w:webHidden/>
          </w:rPr>
          <w:tab/>
        </w:r>
        <w:r w:rsidR="00E25FAA">
          <w:rPr>
            <w:noProof/>
            <w:webHidden/>
          </w:rPr>
          <w:fldChar w:fldCharType="begin"/>
        </w:r>
        <w:r w:rsidR="00E25FAA">
          <w:rPr>
            <w:noProof/>
            <w:webHidden/>
          </w:rPr>
          <w:instrText xml:space="preserve"> PAGEREF _Toc103607708 \h </w:instrText>
        </w:r>
        <w:r w:rsidR="00E25FAA">
          <w:rPr>
            <w:noProof/>
            <w:webHidden/>
          </w:rPr>
        </w:r>
        <w:r w:rsidR="00E25FAA">
          <w:rPr>
            <w:noProof/>
            <w:webHidden/>
          </w:rPr>
          <w:fldChar w:fldCharType="separate"/>
        </w:r>
        <w:r w:rsidR="00E25FAA">
          <w:rPr>
            <w:noProof/>
            <w:webHidden/>
          </w:rPr>
          <w:t>64</w:t>
        </w:r>
        <w:r w:rsidR="00E25FAA">
          <w:rPr>
            <w:noProof/>
            <w:webHidden/>
          </w:rPr>
          <w:fldChar w:fldCharType="end"/>
        </w:r>
      </w:hyperlink>
    </w:p>
    <w:p w14:paraId="1D2C6D5B" w14:textId="40F686AE" w:rsidR="00E25FAA" w:rsidRDefault="0087550A">
      <w:pPr>
        <w:pStyle w:val="TOC3"/>
        <w:rPr>
          <w:rFonts w:asciiTheme="minorHAnsi" w:eastAsiaTheme="minorEastAsia" w:hAnsiTheme="minorHAnsi" w:cstheme="minorBidi"/>
          <w:noProof/>
          <w:sz w:val="22"/>
          <w:szCs w:val="22"/>
        </w:rPr>
      </w:pPr>
      <w:hyperlink w:anchor="_Toc103607709" w:history="1">
        <w:r w:rsidR="00E25FAA" w:rsidRPr="002E3B74">
          <w:rPr>
            <w:rStyle w:val="Hyperlink"/>
            <w:noProof/>
          </w:rPr>
          <w:t>4.1.1   Agricultural policy</w:t>
        </w:r>
        <w:r w:rsidR="00E25FAA">
          <w:rPr>
            <w:noProof/>
            <w:webHidden/>
          </w:rPr>
          <w:tab/>
        </w:r>
        <w:r w:rsidR="00E25FAA">
          <w:rPr>
            <w:noProof/>
            <w:webHidden/>
          </w:rPr>
          <w:fldChar w:fldCharType="begin"/>
        </w:r>
        <w:r w:rsidR="00E25FAA">
          <w:rPr>
            <w:noProof/>
            <w:webHidden/>
          </w:rPr>
          <w:instrText xml:space="preserve"> PAGEREF _Toc103607709 \h </w:instrText>
        </w:r>
        <w:r w:rsidR="00E25FAA">
          <w:rPr>
            <w:noProof/>
            <w:webHidden/>
          </w:rPr>
        </w:r>
        <w:r w:rsidR="00E25FAA">
          <w:rPr>
            <w:noProof/>
            <w:webHidden/>
          </w:rPr>
          <w:fldChar w:fldCharType="separate"/>
        </w:r>
        <w:r w:rsidR="00E25FAA">
          <w:rPr>
            <w:noProof/>
            <w:webHidden/>
          </w:rPr>
          <w:t>64</w:t>
        </w:r>
        <w:r w:rsidR="00E25FAA">
          <w:rPr>
            <w:noProof/>
            <w:webHidden/>
          </w:rPr>
          <w:fldChar w:fldCharType="end"/>
        </w:r>
      </w:hyperlink>
    </w:p>
    <w:p w14:paraId="4C6BF2FB" w14:textId="6FC5E97A" w:rsidR="00E25FAA" w:rsidRDefault="0087550A">
      <w:pPr>
        <w:pStyle w:val="TOC4"/>
        <w:rPr>
          <w:rFonts w:asciiTheme="minorHAnsi" w:eastAsiaTheme="minorEastAsia" w:hAnsiTheme="minorHAnsi" w:cstheme="minorBidi"/>
          <w:noProof/>
          <w:sz w:val="22"/>
          <w:szCs w:val="22"/>
        </w:rPr>
      </w:pPr>
      <w:hyperlink w:anchor="_Toc103607710" w:history="1">
        <w:r w:rsidR="00E25FAA" w:rsidRPr="002E3B74">
          <w:rPr>
            <w:rStyle w:val="Hyperlink"/>
            <w:noProof/>
          </w:rPr>
          <w:t>4.1.1.1   Market access</w:t>
        </w:r>
        <w:r w:rsidR="00E25FAA">
          <w:rPr>
            <w:noProof/>
            <w:webHidden/>
          </w:rPr>
          <w:tab/>
        </w:r>
        <w:r w:rsidR="00E25FAA">
          <w:rPr>
            <w:noProof/>
            <w:webHidden/>
          </w:rPr>
          <w:fldChar w:fldCharType="begin"/>
        </w:r>
        <w:r w:rsidR="00E25FAA">
          <w:rPr>
            <w:noProof/>
            <w:webHidden/>
          </w:rPr>
          <w:instrText xml:space="preserve"> PAGEREF _Toc103607710 \h </w:instrText>
        </w:r>
        <w:r w:rsidR="00E25FAA">
          <w:rPr>
            <w:noProof/>
            <w:webHidden/>
          </w:rPr>
        </w:r>
        <w:r w:rsidR="00E25FAA">
          <w:rPr>
            <w:noProof/>
            <w:webHidden/>
          </w:rPr>
          <w:fldChar w:fldCharType="separate"/>
        </w:r>
        <w:r w:rsidR="00E25FAA">
          <w:rPr>
            <w:noProof/>
            <w:webHidden/>
          </w:rPr>
          <w:t>66</w:t>
        </w:r>
        <w:r w:rsidR="00E25FAA">
          <w:rPr>
            <w:noProof/>
            <w:webHidden/>
          </w:rPr>
          <w:fldChar w:fldCharType="end"/>
        </w:r>
      </w:hyperlink>
    </w:p>
    <w:p w14:paraId="6455667E" w14:textId="32637AC9" w:rsidR="00E25FAA" w:rsidRDefault="0087550A">
      <w:pPr>
        <w:pStyle w:val="TOC4"/>
        <w:rPr>
          <w:rFonts w:asciiTheme="minorHAnsi" w:eastAsiaTheme="minorEastAsia" w:hAnsiTheme="minorHAnsi" w:cstheme="minorBidi"/>
          <w:noProof/>
          <w:sz w:val="22"/>
          <w:szCs w:val="22"/>
        </w:rPr>
      </w:pPr>
      <w:hyperlink w:anchor="_Toc103607711" w:history="1">
        <w:r w:rsidR="00E25FAA" w:rsidRPr="002E3B74">
          <w:rPr>
            <w:rStyle w:val="Hyperlink"/>
            <w:noProof/>
          </w:rPr>
          <w:t>4.1.1.2   Domestic support</w:t>
        </w:r>
        <w:r w:rsidR="00E25FAA">
          <w:rPr>
            <w:noProof/>
            <w:webHidden/>
          </w:rPr>
          <w:tab/>
        </w:r>
        <w:r w:rsidR="00E25FAA">
          <w:rPr>
            <w:noProof/>
            <w:webHidden/>
          </w:rPr>
          <w:fldChar w:fldCharType="begin"/>
        </w:r>
        <w:r w:rsidR="00E25FAA">
          <w:rPr>
            <w:noProof/>
            <w:webHidden/>
          </w:rPr>
          <w:instrText xml:space="preserve"> PAGEREF _Toc103607711 \h </w:instrText>
        </w:r>
        <w:r w:rsidR="00E25FAA">
          <w:rPr>
            <w:noProof/>
            <w:webHidden/>
          </w:rPr>
        </w:r>
        <w:r w:rsidR="00E25FAA">
          <w:rPr>
            <w:noProof/>
            <w:webHidden/>
          </w:rPr>
          <w:fldChar w:fldCharType="separate"/>
        </w:r>
        <w:r w:rsidR="00E25FAA">
          <w:rPr>
            <w:noProof/>
            <w:webHidden/>
          </w:rPr>
          <w:t>66</w:t>
        </w:r>
        <w:r w:rsidR="00E25FAA">
          <w:rPr>
            <w:noProof/>
            <w:webHidden/>
          </w:rPr>
          <w:fldChar w:fldCharType="end"/>
        </w:r>
      </w:hyperlink>
    </w:p>
    <w:p w14:paraId="3B49CB69" w14:textId="039BC6F1" w:rsidR="00E25FAA" w:rsidRDefault="0087550A">
      <w:pPr>
        <w:pStyle w:val="TOC4"/>
        <w:rPr>
          <w:rFonts w:asciiTheme="minorHAnsi" w:eastAsiaTheme="minorEastAsia" w:hAnsiTheme="minorHAnsi" w:cstheme="minorBidi"/>
          <w:noProof/>
          <w:sz w:val="22"/>
          <w:szCs w:val="22"/>
        </w:rPr>
      </w:pPr>
      <w:hyperlink w:anchor="_Toc103607712" w:history="1">
        <w:r w:rsidR="00E25FAA" w:rsidRPr="002E3B74">
          <w:rPr>
            <w:rStyle w:val="Hyperlink"/>
            <w:noProof/>
          </w:rPr>
          <w:t>4.1.1.3   Export subsidies</w:t>
        </w:r>
        <w:r w:rsidR="00E25FAA">
          <w:rPr>
            <w:noProof/>
            <w:webHidden/>
          </w:rPr>
          <w:tab/>
        </w:r>
        <w:r w:rsidR="00E25FAA">
          <w:rPr>
            <w:noProof/>
            <w:webHidden/>
          </w:rPr>
          <w:fldChar w:fldCharType="begin"/>
        </w:r>
        <w:r w:rsidR="00E25FAA">
          <w:rPr>
            <w:noProof/>
            <w:webHidden/>
          </w:rPr>
          <w:instrText xml:space="preserve"> PAGEREF _Toc103607712 \h </w:instrText>
        </w:r>
        <w:r w:rsidR="00E25FAA">
          <w:rPr>
            <w:noProof/>
            <w:webHidden/>
          </w:rPr>
        </w:r>
        <w:r w:rsidR="00E25FAA">
          <w:rPr>
            <w:noProof/>
            <w:webHidden/>
          </w:rPr>
          <w:fldChar w:fldCharType="separate"/>
        </w:r>
        <w:r w:rsidR="00E25FAA">
          <w:rPr>
            <w:noProof/>
            <w:webHidden/>
          </w:rPr>
          <w:t>68</w:t>
        </w:r>
        <w:r w:rsidR="00E25FAA">
          <w:rPr>
            <w:noProof/>
            <w:webHidden/>
          </w:rPr>
          <w:fldChar w:fldCharType="end"/>
        </w:r>
      </w:hyperlink>
    </w:p>
    <w:p w14:paraId="190D5A9B" w14:textId="7A8158CB" w:rsidR="00E25FAA" w:rsidRDefault="0087550A">
      <w:pPr>
        <w:pStyle w:val="TOC3"/>
        <w:rPr>
          <w:rFonts w:asciiTheme="minorHAnsi" w:eastAsiaTheme="minorEastAsia" w:hAnsiTheme="minorHAnsi" w:cstheme="minorBidi"/>
          <w:noProof/>
          <w:sz w:val="22"/>
          <w:szCs w:val="22"/>
        </w:rPr>
      </w:pPr>
      <w:hyperlink w:anchor="_Toc103607713" w:history="1">
        <w:r w:rsidR="00E25FAA" w:rsidRPr="002E3B74">
          <w:rPr>
            <w:rStyle w:val="Hyperlink"/>
            <w:noProof/>
          </w:rPr>
          <w:t>4.1.2   Cocoa</w:t>
        </w:r>
        <w:r w:rsidR="00E25FAA">
          <w:rPr>
            <w:noProof/>
            <w:webHidden/>
          </w:rPr>
          <w:tab/>
        </w:r>
        <w:r w:rsidR="00E25FAA">
          <w:rPr>
            <w:noProof/>
            <w:webHidden/>
          </w:rPr>
          <w:fldChar w:fldCharType="begin"/>
        </w:r>
        <w:r w:rsidR="00E25FAA">
          <w:rPr>
            <w:noProof/>
            <w:webHidden/>
          </w:rPr>
          <w:instrText xml:space="preserve"> PAGEREF _Toc103607713 \h </w:instrText>
        </w:r>
        <w:r w:rsidR="00E25FAA">
          <w:rPr>
            <w:noProof/>
            <w:webHidden/>
          </w:rPr>
        </w:r>
        <w:r w:rsidR="00E25FAA">
          <w:rPr>
            <w:noProof/>
            <w:webHidden/>
          </w:rPr>
          <w:fldChar w:fldCharType="separate"/>
        </w:r>
        <w:r w:rsidR="00E25FAA">
          <w:rPr>
            <w:noProof/>
            <w:webHidden/>
          </w:rPr>
          <w:t>68</w:t>
        </w:r>
        <w:r w:rsidR="00E25FAA">
          <w:rPr>
            <w:noProof/>
            <w:webHidden/>
          </w:rPr>
          <w:fldChar w:fldCharType="end"/>
        </w:r>
      </w:hyperlink>
    </w:p>
    <w:p w14:paraId="3059AF85" w14:textId="62A2D3EA" w:rsidR="00E25FAA" w:rsidRDefault="0087550A">
      <w:pPr>
        <w:pStyle w:val="TOC3"/>
        <w:rPr>
          <w:rFonts w:asciiTheme="minorHAnsi" w:eastAsiaTheme="minorEastAsia" w:hAnsiTheme="minorHAnsi" w:cstheme="minorBidi"/>
          <w:noProof/>
          <w:sz w:val="22"/>
          <w:szCs w:val="22"/>
        </w:rPr>
      </w:pPr>
      <w:hyperlink w:anchor="_Toc103607714" w:history="1">
        <w:r w:rsidR="00E25FAA" w:rsidRPr="002E3B74">
          <w:rPr>
            <w:rStyle w:val="Hyperlink"/>
            <w:noProof/>
          </w:rPr>
          <w:t>4.1.3   Forestry</w:t>
        </w:r>
        <w:r w:rsidR="00E25FAA">
          <w:rPr>
            <w:noProof/>
            <w:webHidden/>
          </w:rPr>
          <w:tab/>
        </w:r>
        <w:r w:rsidR="00E25FAA">
          <w:rPr>
            <w:noProof/>
            <w:webHidden/>
          </w:rPr>
          <w:fldChar w:fldCharType="begin"/>
        </w:r>
        <w:r w:rsidR="00E25FAA">
          <w:rPr>
            <w:noProof/>
            <w:webHidden/>
          </w:rPr>
          <w:instrText xml:space="preserve"> PAGEREF _Toc103607714 \h </w:instrText>
        </w:r>
        <w:r w:rsidR="00E25FAA">
          <w:rPr>
            <w:noProof/>
            <w:webHidden/>
          </w:rPr>
        </w:r>
        <w:r w:rsidR="00E25FAA">
          <w:rPr>
            <w:noProof/>
            <w:webHidden/>
          </w:rPr>
          <w:fldChar w:fldCharType="separate"/>
        </w:r>
        <w:r w:rsidR="00E25FAA">
          <w:rPr>
            <w:noProof/>
            <w:webHidden/>
          </w:rPr>
          <w:t>71</w:t>
        </w:r>
        <w:r w:rsidR="00E25FAA">
          <w:rPr>
            <w:noProof/>
            <w:webHidden/>
          </w:rPr>
          <w:fldChar w:fldCharType="end"/>
        </w:r>
      </w:hyperlink>
    </w:p>
    <w:p w14:paraId="7BAF5888" w14:textId="6DC3DE34" w:rsidR="00E25FAA" w:rsidRDefault="0087550A">
      <w:pPr>
        <w:pStyle w:val="TOC3"/>
        <w:rPr>
          <w:rFonts w:asciiTheme="minorHAnsi" w:eastAsiaTheme="minorEastAsia" w:hAnsiTheme="minorHAnsi" w:cstheme="minorBidi"/>
          <w:noProof/>
          <w:sz w:val="22"/>
          <w:szCs w:val="22"/>
        </w:rPr>
      </w:pPr>
      <w:hyperlink w:anchor="_Toc103607715" w:history="1">
        <w:r w:rsidR="00E25FAA" w:rsidRPr="002E3B74">
          <w:rPr>
            <w:rStyle w:val="Hyperlink"/>
            <w:noProof/>
          </w:rPr>
          <w:t>4.1.4   Fisheries</w:t>
        </w:r>
        <w:r w:rsidR="00E25FAA">
          <w:rPr>
            <w:noProof/>
            <w:webHidden/>
          </w:rPr>
          <w:tab/>
        </w:r>
        <w:r w:rsidR="00E25FAA">
          <w:rPr>
            <w:noProof/>
            <w:webHidden/>
          </w:rPr>
          <w:fldChar w:fldCharType="begin"/>
        </w:r>
        <w:r w:rsidR="00E25FAA">
          <w:rPr>
            <w:noProof/>
            <w:webHidden/>
          </w:rPr>
          <w:instrText xml:space="preserve"> PAGEREF _Toc103607715 \h </w:instrText>
        </w:r>
        <w:r w:rsidR="00E25FAA">
          <w:rPr>
            <w:noProof/>
            <w:webHidden/>
          </w:rPr>
        </w:r>
        <w:r w:rsidR="00E25FAA">
          <w:rPr>
            <w:noProof/>
            <w:webHidden/>
          </w:rPr>
          <w:fldChar w:fldCharType="separate"/>
        </w:r>
        <w:r w:rsidR="00E25FAA">
          <w:rPr>
            <w:noProof/>
            <w:webHidden/>
          </w:rPr>
          <w:t>73</w:t>
        </w:r>
        <w:r w:rsidR="00E25FAA">
          <w:rPr>
            <w:noProof/>
            <w:webHidden/>
          </w:rPr>
          <w:fldChar w:fldCharType="end"/>
        </w:r>
      </w:hyperlink>
    </w:p>
    <w:p w14:paraId="10E443BC" w14:textId="39E2B7BA" w:rsidR="00E25FAA" w:rsidRDefault="0087550A">
      <w:pPr>
        <w:pStyle w:val="TOC2"/>
        <w:rPr>
          <w:rFonts w:asciiTheme="minorHAnsi" w:eastAsiaTheme="minorEastAsia" w:hAnsiTheme="minorHAnsi" w:cstheme="minorBidi"/>
          <w:noProof/>
          <w:sz w:val="22"/>
          <w:szCs w:val="22"/>
        </w:rPr>
      </w:pPr>
      <w:hyperlink w:anchor="_Toc103607716" w:history="1">
        <w:r w:rsidR="00E25FAA" w:rsidRPr="002E3B74">
          <w:rPr>
            <w:rStyle w:val="Hyperlink"/>
            <w:noProof/>
          </w:rPr>
          <w:t>4.2   Energy</w:t>
        </w:r>
        <w:r w:rsidR="00E25FAA">
          <w:rPr>
            <w:noProof/>
            <w:webHidden/>
          </w:rPr>
          <w:tab/>
        </w:r>
        <w:r w:rsidR="00E25FAA">
          <w:rPr>
            <w:noProof/>
            <w:webHidden/>
          </w:rPr>
          <w:fldChar w:fldCharType="begin"/>
        </w:r>
        <w:r w:rsidR="00E25FAA">
          <w:rPr>
            <w:noProof/>
            <w:webHidden/>
          </w:rPr>
          <w:instrText xml:space="preserve"> PAGEREF _Toc103607716 \h </w:instrText>
        </w:r>
        <w:r w:rsidR="00E25FAA">
          <w:rPr>
            <w:noProof/>
            <w:webHidden/>
          </w:rPr>
        </w:r>
        <w:r w:rsidR="00E25FAA">
          <w:rPr>
            <w:noProof/>
            <w:webHidden/>
          </w:rPr>
          <w:fldChar w:fldCharType="separate"/>
        </w:r>
        <w:r w:rsidR="00E25FAA">
          <w:rPr>
            <w:noProof/>
            <w:webHidden/>
          </w:rPr>
          <w:t>75</w:t>
        </w:r>
        <w:r w:rsidR="00E25FAA">
          <w:rPr>
            <w:noProof/>
            <w:webHidden/>
          </w:rPr>
          <w:fldChar w:fldCharType="end"/>
        </w:r>
      </w:hyperlink>
    </w:p>
    <w:p w14:paraId="20072D2F" w14:textId="368C1D9A" w:rsidR="00E25FAA" w:rsidRDefault="0087550A">
      <w:pPr>
        <w:pStyle w:val="TOC3"/>
        <w:rPr>
          <w:rFonts w:asciiTheme="minorHAnsi" w:eastAsiaTheme="minorEastAsia" w:hAnsiTheme="minorHAnsi" w:cstheme="minorBidi"/>
          <w:noProof/>
          <w:sz w:val="22"/>
          <w:szCs w:val="22"/>
        </w:rPr>
      </w:pPr>
      <w:hyperlink w:anchor="_Toc103607717" w:history="1">
        <w:r w:rsidR="00E25FAA" w:rsidRPr="002E3B74">
          <w:rPr>
            <w:rStyle w:val="Hyperlink"/>
            <w:noProof/>
          </w:rPr>
          <w:t>4.2.1   Oil</w:t>
        </w:r>
        <w:r w:rsidR="00E25FAA">
          <w:rPr>
            <w:noProof/>
            <w:webHidden/>
          </w:rPr>
          <w:tab/>
        </w:r>
        <w:r w:rsidR="00E25FAA">
          <w:rPr>
            <w:noProof/>
            <w:webHidden/>
          </w:rPr>
          <w:fldChar w:fldCharType="begin"/>
        </w:r>
        <w:r w:rsidR="00E25FAA">
          <w:rPr>
            <w:noProof/>
            <w:webHidden/>
          </w:rPr>
          <w:instrText xml:space="preserve"> PAGEREF _Toc103607717 \h </w:instrText>
        </w:r>
        <w:r w:rsidR="00E25FAA">
          <w:rPr>
            <w:noProof/>
            <w:webHidden/>
          </w:rPr>
        </w:r>
        <w:r w:rsidR="00E25FAA">
          <w:rPr>
            <w:noProof/>
            <w:webHidden/>
          </w:rPr>
          <w:fldChar w:fldCharType="separate"/>
        </w:r>
        <w:r w:rsidR="00E25FAA">
          <w:rPr>
            <w:noProof/>
            <w:webHidden/>
          </w:rPr>
          <w:t>76</w:t>
        </w:r>
        <w:r w:rsidR="00E25FAA">
          <w:rPr>
            <w:noProof/>
            <w:webHidden/>
          </w:rPr>
          <w:fldChar w:fldCharType="end"/>
        </w:r>
      </w:hyperlink>
    </w:p>
    <w:p w14:paraId="4E5D2C28" w14:textId="49B42ACC" w:rsidR="00E25FAA" w:rsidRDefault="0087550A">
      <w:pPr>
        <w:pStyle w:val="TOC3"/>
        <w:rPr>
          <w:rFonts w:asciiTheme="minorHAnsi" w:eastAsiaTheme="minorEastAsia" w:hAnsiTheme="minorHAnsi" w:cstheme="minorBidi"/>
          <w:noProof/>
          <w:sz w:val="22"/>
          <w:szCs w:val="22"/>
        </w:rPr>
      </w:pPr>
      <w:hyperlink w:anchor="_Toc103607718" w:history="1">
        <w:r w:rsidR="00E25FAA" w:rsidRPr="002E3B74">
          <w:rPr>
            <w:rStyle w:val="Hyperlink"/>
            <w:noProof/>
          </w:rPr>
          <w:t>4.2.2   Natural gas</w:t>
        </w:r>
        <w:r w:rsidR="00E25FAA">
          <w:rPr>
            <w:noProof/>
            <w:webHidden/>
          </w:rPr>
          <w:tab/>
        </w:r>
        <w:r w:rsidR="00E25FAA">
          <w:rPr>
            <w:noProof/>
            <w:webHidden/>
          </w:rPr>
          <w:fldChar w:fldCharType="begin"/>
        </w:r>
        <w:r w:rsidR="00E25FAA">
          <w:rPr>
            <w:noProof/>
            <w:webHidden/>
          </w:rPr>
          <w:instrText xml:space="preserve"> PAGEREF _Toc103607718 \h </w:instrText>
        </w:r>
        <w:r w:rsidR="00E25FAA">
          <w:rPr>
            <w:noProof/>
            <w:webHidden/>
          </w:rPr>
        </w:r>
        <w:r w:rsidR="00E25FAA">
          <w:rPr>
            <w:noProof/>
            <w:webHidden/>
          </w:rPr>
          <w:fldChar w:fldCharType="separate"/>
        </w:r>
        <w:r w:rsidR="00E25FAA">
          <w:rPr>
            <w:noProof/>
            <w:webHidden/>
          </w:rPr>
          <w:t>79</w:t>
        </w:r>
        <w:r w:rsidR="00E25FAA">
          <w:rPr>
            <w:noProof/>
            <w:webHidden/>
          </w:rPr>
          <w:fldChar w:fldCharType="end"/>
        </w:r>
      </w:hyperlink>
    </w:p>
    <w:p w14:paraId="6773CA54" w14:textId="348D37FC" w:rsidR="00E25FAA" w:rsidRDefault="0087550A">
      <w:pPr>
        <w:pStyle w:val="TOC3"/>
        <w:rPr>
          <w:rFonts w:asciiTheme="minorHAnsi" w:eastAsiaTheme="minorEastAsia" w:hAnsiTheme="minorHAnsi" w:cstheme="minorBidi"/>
          <w:noProof/>
          <w:sz w:val="22"/>
          <w:szCs w:val="22"/>
        </w:rPr>
      </w:pPr>
      <w:hyperlink w:anchor="_Toc103607719" w:history="1">
        <w:r w:rsidR="00E25FAA" w:rsidRPr="002E3B74">
          <w:rPr>
            <w:rStyle w:val="Hyperlink"/>
            <w:noProof/>
          </w:rPr>
          <w:t>4.2.3   Electricity</w:t>
        </w:r>
        <w:r w:rsidR="00E25FAA">
          <w:rPr>
            <w:noProof/>
            <w:webHidden/>
          </w:rPr>
          <w:tab/>
        </w:r>
        <w:r w:rsidR="00E25FAA">
          <w:rPr>
            <w:noProof/>
            <w:webHidden/>
          </w:rPr>
          <w:fldChar w:fldCharType="begin"/>
        </w:r>
        <w:r w:rsidR="00E25FAA">
          <w:rPr>
            <w:noProof/>
            <w:webHidden/>
          </w:rPr>
          <w:instrText xml:space="preserve"> PAGEREF _Toc103607719 \h </w:instrText>
        </w:r>
        <w:r w:rsidR="00E25FAA">
          <w:rPr>
            <w:noProof/>
            <w:webHidden/>
          </w:rPr>
        </w:r>
        <w:r w:rsidR="00E25FAA">
          <w:rPr>
            <w:noProof/>
            <w:webHidden/>
          </w:rPr>
          <w:fldChar w:fldCharType="separate"/>
        </w:r>
        <w:r w:rsidR="00E25FAA">
          <w:rPr>
            <w:noProof/>
            <w:webHidden/>
          </w:rPr>
          <w:t>80</w:t>
        </w:r>
        <w:r w:rsidR="00E25FAA">
          <w:rPr>
            <w:noProof/>
            <w:webHidden/>
          </w:rPr>
          <w:fldChar w:fldCharType="end"/>
        </w:r>
      </w:hyperlink>
    </w:p>
    <w:p w14:paraId="6025E383" w14:textId="1FBA6BDF" w:rsidR="00E25FAA" w:rsidRDefault="0087550A">
      <w:pPr>
        <w:pStyle w:val="TOC2"/>
        <w:rPr>
          <w:rFonts w:asciiTheme="minorHAnsi" w:eastAsiaTheme="minorEastAsia" w:hAnsiTheme="minorHAnsi" w:cstheme="minorBidi"/>
          <w:noProof/>
          <w:sz w:val="22"/>
          <w:szCs w:val="22"/>
        </w:rPr>
      </w:pPr>
      <w:hyperlink w:anchor="_Toc103607720" w:history="1">
        <w:r w:rsidR="00E25FAA" w:rsidRPr="002E3B74">
          <w:rPr>
            <w:rStyle w:val="Hyperlink"/>
            <w:noProof/>
          </w:rPr>
          <w:t>4.3   Mining</w:t>
        </w:r>
        <w:r w:rsidR="00E25FAA">
          <w:rPr>
            <w:noProof/>
            <w:webHidden/>
          </w:rPr>
          <w:tab/>
        </w:r>
        <w:r w:rsidR="00E25FAA">
          <w:rPr>
            <w:noProof/>
            <w:webHidden/>
          </w:rPr>
          <w:fldChar w:fldCharType="begin"/>
        </w:r>
        <w:r w:rsidR="00E25FAA">
          <w:rPr>
            <w:noProof/>
            <w:webHidden/>
          </w:rPr>
          <w:instrText xml:space="preserve"> PAGEREF _Toc103607720 \h </w:instrText>
        </w:r>
        <w:r w:rsidR="00E25FAA">
          <w:rPr>
            <w:noProof/>
            <w:webHidden/>
          </w:rPr>
        </w:r>
        <w:r w:rsidR="00E25FAA">
          <w:rPr>
            <w:noProof/>
            <w:webHidden/>
          </w:rPr>
          <w:fldChar w:fldCharType="separate"/>
        </w:r>
        <w:r w:rsidR="00E25FAA">
          <w:rPr>
            <w:noProof/>
            <w:webHidden/>
          </w:rPr>
          <w:t>83</w:t>
        </w:r>
        <w:r w:rsidR="00E25FAA">
          <w:rPr>
            <w:noProof/>
            <w:webHidden/>
          </w:rPr>
          <w:fldChar w:fldCharType="end"/>
        </w:r>
      </w:hyperlink>
    </w:p>
    <w:p w14:paraId="2896011E" w14:textId="6E24F76C" w:rsidR="00E25FAA" w:rsidRDefault="0087550A">
      <w:pPr>
        <w:pStyle w:val="TOC2"/>
        <w:rPr>
          <w:rFonts w:asciiTheme="minorHAnsi" w:eastAsiaTheme="minorEastAsia" w:hAnsiTheme="minorHAnsi" w:cstheme="minorBidi"/>
          <w:noProof/>
          <w:sz w:val="22"/>
          <w:szCs w:val="22"/>
        </w:rPr>
      </w:pPr>
      <w:hyperlink w:anchor="_Toc103607721" w:history="1">
        <w:r w:rsidR="00E25FAA" w:rsidRPr="002E3B74">
          <w:rPr>
            <w:rStyle w:val="Hyperlink"/>
            <w:iCs/>
            <w:noProof/>
          </w:rPr>
          <w:t>4.4  </w:t>
        </w:r>
        <w:r w:rsidR="00E25FAA" w:rsidRPr="002E3B74">
          <w:rPr>
            <w:rStyle w:val="Hyperlink"/>
            <w:noProof/>
          </w:rPr>
          <w:t xml:space="preserve"> Manufacturing</w:t>
        </w:r>
        <w:r w:rsidR="00E25FAA">
          <w:rPr>
            <w:noProof/>
            <w:webHidden/>
          </w:rPr>
          <w:tab/>
        </w:r>
        <w:r w:rsidR="00E25FAA">
          <w:rPr>
            <w:noProof/>
            <w:webHidden/>
          </w:rPr>
          <w:fldChar w:fldCharType="begin"/>
        </w:r>
        <w:r w:rsidR="00E25FAA">
          <w:rPr>
            <w:noProof/>
            <w:webHidden/>
          </w:rPr>
          <w:instrText xml:space="preserve"> PAGEREF _Toc103607721 \h </w:instrText>
        </w:r>
        <w:r w:rsidR="00E25FAA">
          <w:rPr>
            <w:noProof/>
            <w:webHidden/>
          </w:rPr>
        </w:r>
        <w:r w:rsidR="00E25FAA">
          <w:rPr>
            <w:noProof/>
            <w:webHidden/>
          </w:rPr>
          <w:fldChar w:fldCharType="separate"/>
        </w:r>
        <w:r w:rsidR="00E25FAA">
          <w:rPr>
            <w:noProof/>
            <w:webHidden/>
          </w:rPr>
          <w:t>85</w:t>
        </w:r>
        <w:r w:rsidR="00E25FAA">
          <w:rPr>
            <w:noProof/>
            <w:webHidden/>
          </w:rPr>
          <w:fldChar w:fldCharType="end"/>
        </w:r>
      </w:hyperlink>
    </w:p>
    <w:p w14:paraId="1DB59E4A" w14:textId="09D69746" w:rsidR="00E25FAA" w:rsidRDefault="0087550A">
      <w:pPr>
        <w:pStyle w:val="TOC3"/>
        <w:rPr>
          <w:rFonts w:asciiTheme="minorHAnsi" w:eastAsiaTheme="minorEastAsia" w:hAnsiTheme="minorHAnsi" w:cstheme="minorBidi"/>
          <w:noProof/>
          <w:sz w:val="22"/>
          <w:szCs w:val="22"/>
        </w:rPr>
      </w:pPr>
      <w:hyperlink w:anchor="_Toc103607722" w:history="1">
        <w:r w:rsidR="00E25FAA" w:rsidRPr="002E3B74">
          <w:rPr>
            <w:rStyle w:val="Hyperlink"/>
            <w:noProof/>
          </w:rPr>
          <w:t>4.4.1   Overview</w:t>
        </w:r>
        <w:r w:rsidR="00E25FAA">
          <w:rPr>
            <w:noProof/>
            <w:webHidden/>
          </w:rPr>
          <w:tab/>
        </w:r>
        <w:r w:rsidR="00E25FAA">
          <w:rPr>
            <w:noProof/>
            <w:webHidden/>
          </w:rPr>
          <w:fldChar w:fldCharType="begin"/>
        </w:r>
        <w:r w:rsidR="00E25FAA">
          <w:rPr>
            <w:noProof/>
            <w:webHidden/>
          </w:rPr>
          <w:instrText xml:space="preserve"> PAGEREF _Toc103607722 \h </w:instrText>
        </w:r>
        <w:r w:rsidR="00E25FAA">
          <w:rPr>
            <w:noProof/>
            <w:webHidden/>
          </w:rPr>
        </w:r>
        <w:r w:rsidR="00E25FAA">
          <w:rPr>
            <w:noProof/>
            <w:webHidden/>
          </w:rPr>
          <w:fldChar w:fldCharType="separate"/>
        </w:r>
        <w:r w:rsidR="00E25FAA">
          <w:rPr>
            <w:noProof/>
            <w:webHidden/>
          </w:rPr>
          <w:t>85</w:t>
        </w:r>
        <w:r w:rsidR="00E25FAA">
          <w:rPr>
            <w:noProof/>
            <w:webHidden/>
          </w:rPr>
          <w:fldChar w:fldCharType="end"/>
        </w:r>
      </w:hyperlink>
    </w:p>
    <w:p w14:paraId="5B862DCF" w14:textId="330BF4EC" w:rsidR="00E25FAA" w:rsidRDefault="0087550A">
      <w:pPr>
        <w:pStyle w:val="TOC3"/>
        <w:rPr>
          <w:rFonts w:asciiTheme="minorHAnsi" w:eastAsiaTheme="minorEastAsia" w:hAnsiTheme="minorHAnsi" w:cstheme="minorBidi"/>
          <w:noProof/>
          <w:sz w:val="22"/>
          <w:szCs w:val="22"/>
        </w:rPr>
      </w:pPr>
      <w:hyperlink w:anchor="_Toc103607723" w:history="1">
        <w:r w:rsidR="00E25FAA" w:rsidRPr="002E3B74">
          <w:rPr>
            <w:rStyle w:val="Hyperlink"/>
            <w:noProof/>
          </w:rPr>
          <w:t>4.4.2   Pharmaceutical industry</w:t>
        </w:r>
        <w:r w:rsidR="00E25FAA">
          <w:rPr>
            <w:noProof/>
            <w:webHidden/>
          </w:rPr>
          <w:tab/>
        </w:r>
        <w:r w:rsidR="00E25FAA">
          <w:rPr>
            <w:noProof/>
            <w:webHidden/>
          </w:rPr>
          <w:fldChar w:fldCharType="begin"/>
        </w:r>
        <w:r w:rsidR="00E25FAA">
          <w:rPr>
            <w:noProof/>
            <w:webHidden/>
          </w:rPr>
          <w:instrText xml:space="preserve"> PAGEREF _Toc103607723 \h </w:instrText>
        </w:r>
        <w:r w:rsidR="00E25FAA">
          <w:rPr>
            <w:noProof/>
            <w:webHidden/>
          </w:rPr>
        </w:r>
        <w:r w:rsidR="00E25FAA">
          <w:rPr>
            <w:noProof/>
            <w:webHidden/>
          </w:rPr>
          <w:fldChar w:fldCharType="separate"/>
        </w:r>
        <w:r w:rsidR="00E25FAA">
          <w:rPr>
            <w:noProof/>
            <w:webHidden/>
          </w:rPr>
          <w:t>87</w:t>
        </w:r>
        <w:r w:rsidR="00E25FAA">
          <w:rPr>
            <w:noProof/>
            <w:webHidden/>
          </w:rPr>
          <w:fldChar w:fldCharType="end"/>
        </w:r>
      </w:hyperlink>
    </w:p>
    <w:p w14:paraId="45984F7E" w14:textId="614DAE31" w:rsidR="00E25FAA" w:rsidRDefault="0087550A">
      <w:pPr>
        <w:pStyle w:val="TOC3"/>
        <w:rPr>
          <w:rFonts w:asciiTheme="minorHAnsi" w:eastAsiaTheme="minorEastAsia" w:hAnsiTheme="minorHAnsi" w:cstheme="minorBidi"/>
          <w:noProof/>
          <w:sz w:val="22"/>
          <w:szCs w:val="22"/>
        </w:rPr>
      </w:pPr>
      <w:hyperlink w:anchor="_Toc103607724" w:history="1">
        <w:r w:rsidR="00E25FAA" w:rsidRPr="002E3B74">
          <w:rPr>
            <w:rStyle w:val="Hyperlink"/>
            <w:noProof/>
          </w:rPr>
          <w:t>4.4.3   Automotive industry</w:t>
        </w:r>
        <w:r w:rsidR="00E25FAA">
          <w:rPr>
            <w:noProof/>
            <w:webHidden/>
          </w:rPr>
          <w:tab/>
        </w:r>
        <w:r w:rsidR="00E25FAA">
          <w:rPr>
            <w:noProof/>
            <w:webHidden/>
          </w:rPr>
          <w:fldChar w:fldCharType="begin"/>
        </w:r>
        <w:r w:rsidR="00E25FAA">
          <w:rPr>
            <w:noProof/>
            <w:webHidden/>
          </w:rPr>
          <w:instrText xml:space="preserve"> PAGEREF _Toc103607724 \h </w:instrText>
        </w:r>
        <w:r w:rsidR="00E25FAA">
          <w:rPr>
            <w:noProof/>
            <w:webHidden/>
          </w:rPr>
        </w:r>
        <w:r w:rsidR="00E25FAA">
          <w:rPr>
            <w:noProof/>
            <w:webHidden/>
          </w:rPr>
          <w:fldChar w:fldCharType="separate"/>
        </w:r>
        <w:r w:rsidR="00E25FAA">
          <w:rPr>
            <w:noProof/>
            <w:webHidden/>
          </w:rPr>
          <w:t>90</w:t>
        </w:r>
        <w:r w:rsidR="00E25FAA">
          <w:rPr>
            <w:noProof/>
            <w:webHidden/>
          </w:rPr>
          <w:fldChar w:fldCharType="end"/>
        </w:r>
      </w:hyperlink>
    </w:p>
    <w:p w14:paraId="7F2E60D2" w14:textId="36D768BB" w:rsidR="00E25FAA" w:rsidRDefault="0087550A">
      <w:pPr>
        <w:pStyle w:val="TOC2"/>
        <w:rPr>
          <w:rFonts w:asciiTheme="minorHAnsi" w:eastAsiaTheme="minorEastAsia" w:hAnsiTheme="minorHAnsi" w:cstheme="minorBidi"/>
          <w:noProof/>
          <w:sz w:val="22"/>
          <w:szCs w:val="22"/>
        </w:rPr>
      </w:pPr>
      <w:hyperlink w:anchor="_Toc103607725" w:history="1">
        <w:r w:rsidR="00E25FAA" w:rsidRPr="002E3B74">
          <w:rPr>
            <w:rStyle w:val="Hyperlink"/>
            <w:noProof/>
          </w:rPr>
          <w:t>4.5   Services</w:t>
        </w:r>
        <w:r w:rsidR="00E25FAA">
          <w:rPr>
            <w:noProof/>
            <w:webHidden/>
          </w:rPr>
          <w:tab/>
        </w:r>
        <w:r w:rsidR="00E25FAA">
          <w:rPr>
            <w:noProof/>
            <w:webHidden/>
          </w:rPr>
          <w:fldChar w:fldCharType="begin"/>
        </w:r>
        <w:r w:rsidR="00E25FAA">
          <w:rPr>
            <w:noProof/>
            <w:webHidden/>
          </w:rPr>
          <w:instrText xml:space="preserve"> PAGEREF _Toc103607725 \h </w:instrText>
        </w:r>
        <w:r w:rsidR="00E25FAA">
          <w:rPr>
            <w:noProof/>
            <w:webHidden/>
          </w:rPr>
        </w:r>
        <w:r w:rsidR="00E25FAA">
          <w:rPr>
            <w:noProof/>
            <w:webHidden/>
          </w:rPr>
          <w:fldChar w:fldCharType="separate"/>
        </w:r>
        <w:r w:rsidR="00E25FAA">
          <w:rPr>
            <w:noProof/>
            <w:webHidden/>
          </w:rPr>
          <w:t>91</w:t>
        </w:r>
        <w:r w:rsidR="00E25FAA">
          <w:rPr>
            <w:noProof/>
            <w:webHidden/>
          </w:rPr>
          <w:fldChar w:fldCharType="end"/>
        </w:r>
      </w:hyperlink>
    </w:p>
    <w:p w14:paraId="31456681" w14:textId="3A4905DB" w:rsidR="00E25FAA" w:rsidRDefault="0087550A">
      <w:pPr>
        <w:pStyle w:val="TOC3"/>
        <w:rPr>
          <w:rFonts w:asciiTheme="minorHAnsi" w:eastAsiaTheme="minorEastAsia" w:hAnsiTheme="minorHAnsi" w:cstheme="minorBidi"/>
          <w:noProof/>
          <w:sz w:val="22"/>
          <w:szCs w:val="22"/>
        </w:rPr>
      </w:pPr>
      <w:hyperlink w:anchor="_Toc103607726" w:history="1">
        <w:r w:rsidR="00E25FAA" w:rsidRPr="002E3B74">
          <w:rPr>
            <w:rStyle w:val="Hyperlink"/>
            <w:noProof/>
          </w:rPr>
          <w:t>4.5.1   Overview</w:t>
        </w:r>
        <w:r w:rsidR="00E25FAA">
          <w:rPr>
            <w:noProof/>
            <w:webHidden/>
          </w:rPr>
          <w:tab/>
        </w:r>
        <w:r w:rsidR="00E25FAA">
          <w:rPr>
            <w:noProof/>
            <w:webHidden/>
          </w:rPr>
          <w:fldChar w:fldCharType="begin"/>
        </w:r>
        <w:r w:rsidR="00E25FAA">
          <w:rPr>
            <w:noProof/>
            <w:webHidden/>
          </w:rPr>
          <w:instrText xml:space="preserve"> PAGEREF _Toc103607726 \h </w:instrText>
        </w:r>
        <w:r w:rsidR="00E25FAA">
          <w:rPr>
            <w:noProof/>
            <w:webHidden/>
          </w:rPr>
        </w:r>
        <w:r w:rsidR="00E25FAA">
          <w:rPr>
            <w:noProof/>
            <w:webHidden/>
          </w:rPr>
          <w:fldChar w:fldCharType="separate"/>
        </w:r>
        <w:r w:rsidR="00E25FAA">
          <w:rPr>
            <w:noProof/>
            <w:webHidden/>
          </w:rPr>
          <w:t>91</w:t>
        </w:r>
        <w:r w:rsidR="00E25FAA">
          <w:rPr>
            <w:noProof/>
            <w:webHidden/>
          </w:rPr>
          <w:fldChar w:fldCharType="end"/>
        </w:r>
      </w:hyperlink>
    </w:p>
    <w:p w14:paraId="4E7A3369" w14:textId="41F7214D" w:rsidR="00E25FAA" w:rsidRDefault="0087550A">
      <w:pPr>
        <w:pStyle w:val="TOC3"/>
        <w:rPr>
          <w:rFonts w:asciiTheme="minorHAnsi" w:eastAsiaTheme="minorEastAsia" w:hAnsiTheme="minorHAnsi" w:cstheme="minorBidi"/>
          <w:noProof/>
          <w:sz w:val="22"/>
          <w:szCs w:val="22"/>
        </w:rPr>
      </w:pPr>
      <w:hyperlink w:anchor="_Toc103607727" w:history="1">
        <w:r w:rsidR="00E25FAA" w:rsidRPr="002E3B74">
          <w:rPr>
            <w:rStyle w:val="Hyperlink"/>
            <w:rFonts w:eastAsia="Times New Roman"/>
            <w:noProof/>
          </w:rPr>
          <w:t>4.5.2   Transport services</w:t>
        </w:r>
        <w:r w:rsidR="00E25FAA">
          <w:rPr>
            <w:noProof/>
            <w:webHidden/>
          </w:rPr>
          <w:tab/>
        </w:r>
        <w:r w:rsidR="00E25FAA">
          <w:rPr>
            <w:noProof/>
            <w:webHidden/>
          </w:rPr>
          <w:fldChar w:fldCharType="begin"/>
        </w:r>
        <w:r w:rsidR="00E25FAA">
          <w:rPr>
            <w:noProof/>
            <w:webHidden/>
          </w:rPr>
          <w:instrText xml:space="preserve"> PAGEREF _Toc103607727 \h </w:instrText>
        </w:r>
        <w:r w:rsidR="00E25FAA">
          <w:rPr>
            <w:noProof/>
            <w:webHidden/>
          </w:rPr>
        </w:r>
        <w:r w:rsidR="00E25FAA">
          <w:rPr>
            <w:noProof/>
            <w:webHidden/>
          </w:rPr>
          <w:fldChar w:fldCharType="separate"/>
        </w:r>
        <w:r w:rsidR="00E25FAA">
          <w:rPr>
            <w:noProof/>
            <w:webHidden/>
          </w:rPr>
          <w:t>92</w:t>
        </w:r>
        <w:r w:rsidR="00E25FAA">
          <w:rPr>
            <w:noProof/>
            <w:webHidden/>
          </w:rPr>
          <w:fldChar w:fldCharType="end"/>
        </w:r>
      </w:hyperlink>
    </w:p>
    <w:p w14:paraId="41132719" w14:textId="10ED17BB" w:rsidR="00E25FAA" w:rsidRDefault="0087550A">
      <w:pPr>
        <w:pStyle w:val="TOC4"/>
        <w:rPr>
          <w:rFonts w:asciiTheme="minorHAnsi" w:eastAsiaTheme="minorEastAsia" w:hAnsiTheme="minorHAnsi" w:cstheme="minorBidi"/>
          <w:noProof/>
          <w:sz w:val="22"/>
          <w:szCs w:val="22"/>
        </w:rPr>
      </w:pPr>
      <w:hyperlink w:anchor="_Toc103607728" w:history="1">
        <w:r w:rsidR="00E25FAA" w:rsidRPr="002E3B74">
          <w:rPr>
            <w:rStyle w:val="Hyperlink"/>
            <w:rFonts w:eastAsia="Times New Roman"/>
            <w:noProof/>
          </w:rPr>
          <w:t>4.5.2.1  </w:t>
        </w:r>
        <w:r w:rsidR="00E25FAA" w:rsidRPr="002E3B74">
          <w:rPr>
            <w:rStyle w:val="Hyperlink"/>
            <w:noProof/>
          </w:rPr>
          <w:t xml:space="preserve"> Overview</w:t>
        </w:r>
        <w:r w:rsidR="00E25FAA">
          <w:rPr>
            <w:noProof/>
            <w:webHidden/>
          </w:rPr>
          <w:tab/>
        </w:r>
        <w:r w:rsidR="00E25FAA">
          <w:rPr>
            <w:noProof/>
            <w:webHidden/>
          </w:rPr>
          <w:fldChar w:fldCharType="begin"/>
        </w:r>
        <w:r w:rsidR="00E25FAA">
          <w:rPr>
            <w:noProof/>
            <w:webHidden/>
          </w:rPr>
          <w:instrText xml:space="preserve"> PAGEREF _Toc103607728 \h </w:instrText>
        </w:r>
        <w:r w:rsidR="00E25FAA">
          <w:rPr>
            <w:noProof/>
            <w:webHidden/>
          </w:rPr>
        </w:r>
        <w:r w:rsidR="00E25FAA">
          <w:rPr>
            <w:noProof/>
            <w:webHidden/>
          </w:rPr>
          <w:fldChar w:fldCharType="separate"/>
        </w:r>
        <w:r w:rsidR="00E25FAA">
          <w:rPr>
            <w:noProof/>
            <w:webHidden/>
          </w:rPr>
          <w:t>92</w:t>
        </w:r>
        <w:r w:rsidR="00E25FAA">
          <w:rPr>
            <w:noProof/>
            <w:webHidden/>
          </w:rPr>
          <w:fldChar w:fldCharType="end"/>
        </w:r>
      </w:hyperlink>
    </w:p>
    <w:p w14:paraId="16CFCFC3" w14:textId="6031FE50" w:rsidR="00E25FAA" w:rsidRDefault="0087550A">
      <w:pPr>
        <w:pStyle w:val="TOC4"/>
        <w:rPr>
          <w:rFonts w:asciiTheme="minorHAnsi" w:eastAsiaTheme="minorEastAsia" w:hAnsiTheme="minorHAnsi" w:cstheme="minorBidi"/>
          <w:noProof/>
          <w:sz w:val="22"/>
          <w:szCs w:val="22"/>
        </w:rPr>
      </w:pPr>
      <w:hyperlink w:anchor="_Toc103607729" w:history="1">
        <w:r w:rsidR="00E25FAA" w:rsidRPr="002E3B74">
          <w:rPr>
            <w:rStyle w:val="Hyperlink"/>
            <w:noProof/>
          </w:rPr>
          <w:t>4.5.2.2   Rail transport services</w:t>
        </w:r>
        <w:r w:rsidR="00E25FAA">
          <w:rPr>
            <w:noProof/>
            <w:webHidden/>
          </w:rPr>
          <w:tab/>
        </w:r>
        <w:r w:rsidR="00E25FAA">
          <w:rPr>
            <w:noProof/>
            <w:webHidden/>
          </w:rPr>
          <w:fldChar w:fldCharType="begin"/>
        </w:r>
        <w:r w:rsidR="00E25FAA">
          <w:rPr>
            <w:noProof/>
            <w:webHidden/>
          </w:rPr>
          <w:instrText xml:space="preserve"> PAGEREF _Toc103607729 \h </w:instrText>
        </w:r>
        <w:r w:rsidR="00E25FAA">
          <w:rPr>
            <w:noProof/>
            <w:webHidden/>
          </w:rPr>
        </w:r>
        <w:r w:rsidR="00E25FAA">
          <w:rPr>
            <w:noProof/>
            <w:webHidden/>
          </w:rPr>
          <w:fldChar w:fldCharType="separate"/>
        </w:r>
        <w:r w:rsidR="00E25FAA">
          <w:rPr>
            <w:noProof/>
            <w:webHidden/>
          </w:rPr>
          <w:t>93</w:t>
        </w:r>
        <w:r w:rsidR="00E25FAA">
          <w:rPr>
            <w:noProof/>
            <w:webHidden/>
          </w:rPr>
          <w:fldChar w:fldCharType="end"/>
        </w:r>
      </w:hyperlink>
    </w:p>
    <w:p w14:paraId="3D6231F9" w14:textId="100A1193" w:rsidR="00E25FAA" w:rsidRDefault="0087550A">
      <w:pPr>
        <w:pStyle w:val="TOC4"/>
        <w:rPr>
          <w:rFonts w:asciiTheme="minorHAnsi" w:eastAsiaTheme="minorEastAsia" w:hAnsiTheme="minorHAnsi" w:cstheme="minorBidi"/>
          <w:noProof/>
          <w:sz w:val="22"/>
          <w:szCs w:val="22"/>
        </w:rPr>
      </w:pPr>
      <w:hyperlink w:anchor="_Toc103607730" w:history="1">
        <w:r w:rsidR="00E25FAA" w:rsidRPr="002E3B74">
          <w:rPr>
            <w:rStyle w:val="Hyperlink"/>
            <w:rFonts w:eastAsia="Times New Roman"/>
            <w:noProof/>
          </w:rPr>
          <w:t>4.5.2.3   Maritime transport</w:t>
        </w:r>
        <w:r w:rsidR="00E25FAA">
          <w:rPr>
            <w:noProof/>
            <w:webHidden/>
          </w:rPr>
          <w:tab/>
        </w:r>
        <w:r w:rsidR="00E25FAA">
          <w:rPr>
            <w:noProof/>
            <w:webHidden/>
          </w:rPr>
          <w:fldChar w:fldCharType="begin"/>
        </w:r>
        <w:r w:rsidR="00E25FAA">
          <w:rPr>
            <w:noProof/>
            <w:webHidden/>
          </w:rPr>
          <w:instrText xml:space="preserve"> PAGEREF _Toc103607730 \h </w:instrText>
        </w:r>
        <w:r w:rsidR="00E25FAA">
          <w:rPr>
            <w:noProof/>
            <w:webHidden/>
          </w:rPr>
        </w:r>
        <w:r w:rsidR="00E25FAA">
          <w:rPr>
            <w:noProof/>
            <w:webHidden/>
          </w:rPr>
          <w:fldChar w:fldCharType="separate"/>
        </w:r>
        <w:r w:rsidR="00E25FAA">
          <w:rPr>
            <w:noProof/>
            <w:webHidden/>
          </w:rPr>
          <w:t>94</w:t>
        </w:r>
        <w:r w:rsidR="00E25FAA">
          <w:rPr>
            <w:noProof/>
            <w:webHidden/>
          </w:rPr>
          <w:fldChar w:fldCharType="end"/>
        </w:r>
      </w:hyperlink>
    </w:p>
    <w:p w14:paraId="7B23F7E4" w14:textId="6972D6D2" w:rsidR="00E25FAA" w:rsidRDefault="0087550A">
      <w:pPr>
        <w:pStyle w:val="TOC4"/>
        <w:rPr>
          <w:rFonts w:asciiTheme="minorHAnsi" w:eastAsiaTheme="minorEastAsia" w:hAnsiTheme="minorHAnsi" w:cstheme="minorBidi"/>
          <w:noProof/>
          <w:sz w:val="22"/>
          <w:szCs w:val="22"/>
        </w:rPr>
      </w:pPr>
      <w:hyperlink w:anchor="_Toc103607731" w:history="1">
        <w:r w:rsidR="00E25FAA" w:rsidRPr="002E3B74">
          <w:rPr>
            <w:rStyle w:val="Hyperlink"/>
            <w:rFonts w:eastAsia="Times New Roman"/>
            <w:noProof/>
          </w:rPr>
          <w:t>4.5.2.4   Air transport</w:t>
        </w:r>
        <w:r w:rsidR="00E25FAA">
          <w:rPr>
            <w:noProof/>
            <w:webHidden/>
          </w:rPr>
          <w:tab/>
        </w:r>
        <w:r w:rsidR="00E25FAA">
          <w:rPr>
            <w:noProof/>
            <w:webHidden/>
          </w:rPr>
          <w:fldChar w:fldCharType="begin"/>
        </w:r>
        <w:r w:rsidR="00E25FAA">
          <w:rPr>
            <w:noProof/>
            <w:webHidden/>
          </w:rPr>
          <w:instrText xml:space="preserve"> PAGEREF _Toc103607731 \h </w:instrText>
        </w:r>
        <w:r w:rsidR="00E25FAA">
          <w:rPr>
            <w:noProof/>
            <w:webHidden/>
          </w:rPr>
        </w:r>
        <w:r w:rsidR="00E25FAA">
          <w:rPr>
            <w:noProof/>
            <w:webHidden/>
          </w:rPr>
          <w:fldChar w:fldCharType="separate"/>
        </w:r>
        <w:r w:rsidR="00E25FAA">
          <w:rPr>
            <w:noProof/>
            <w:webHidden/>
          </w:rPr>
          <w:t>96</w:t>
        </w:r>
        <w:r w:rsidR="00E25FAA">
          <w:rPr>
            <w:noProof/>
            <w:webHidden/>
          </w:rPr>
          <w:fldChar w:fldCharType="end"/>
        </w:r>
      </w:hyperlink>
    </w:p>
    <w:p w14:paraId="2DE9EF40" w14:textId="5BB1079D" w:rsidR="00E25FAA" w:rsidRDefault="0087550A">
      <w:pPr>
        <w:pStyle w:val="TOC3"/>
        <w:rPr>
          <w:rFonts w:asciiTheme="minorHAnsi" w:eastAsiaTheme="minorEastAsia" w:hAnsiTheme="minorHAnsi" w:cstheme="minorBidi"/>
          <w:noProof/>
          <w:sz w:val="22"/>
          <w:szCs w:val="22"/>
        </w:rPr>
      </w:pPr>
      <w:hyperlink w:anchor="_Toc103607732" w:history="1">
        <w:r w:rsidR="00E25FAA" w:rsidRPr="002E3B74">
          <w:rPr>
            <w:rStyle w:val="Hyperlink"/>
            <w:rFonts w:eastAsia="Times New Roman"/>
            <w:noProof/>
          </w:rPr>
          <w:t>4.5.3  </w:t>
        </w:r>
        <w:r w:rsidR="00E25FAA" w:rsidRPr="002E3B74">
          <w:rPr>
            <w:rStyle w:val="Hyperlink"/>
            <w:noProof/>
          </w:rPr>
          <w:t xml:space="preserve"> Telecommunications</w:t>
        </w:r>
        <w:r w:rsidR="00E25FAA" w:rsidRPr="002E3B74">
          <w:rPr>
            <w:rStyle w:val="Hyperlink"/>
            <w:rFonts w:eastAsia="Times New Roman"/>
            <w:noProof/>
          </w:rPr>
          <w:t xml:space="preserve"> services</w:t>
        </w:r>
        <w:r w:rsidR="00E25FAA">
          <w:rPr>
            <w:noProof/>
            <w:webHidden/>
          </w:rPr>
          <w:tab/>
        </w:r>
        <w:r w:rsidR="00E25FAA">
          <w:rPr>
            <w:noProof/>
            <w:webHidden/>
          </w:rPr>
          <w:fldChar w:fldCharType="begin"/>
        </w:r>
        <w:r w:rsidR="00E25FAA">
          <w:rPr>
            <w:noProof/>
            <w:webHidden/>
          </w:rPr>
          <w:instrText xml:space="preserve"> PAGEREF _Toc103607732 \h </w:instrText>
        </w:r>
        <w:r w:rsidR="00E25FAA">
          <w:rPr>
            <w:noProof/>
            <w:webHidden/>
          </w:rPr>
        </w:r>
        <w:r w:rsidR="00E25FAA">
          <w:rPr>
            <w:noProof/>
            <w:webHidden/>
          </w:rPr>
          <w:fldChar w:fldCharType="separate"/>
        </w:r>
        <w:r w:rsidR="00E25FAA">
          <w:rPr>
            <w:noProof/>
            <w:webHidden/>
          </w:rPr>
          <w:t>96</w:t>
        </w:r>
        <w:r w:rsidR="00E25FAA">
          <w:rPr>
            <w:noProof/>
            <w:webHidden/>
          </w:rPr>
          <w:fldChar w:fldCharType="end"/>
        </w:r>
      </w:hyperlink>
    </w:p>
    <w:p w14:paraId="028C22D3" w14:textId="192B56D0" w:rsidR="00E25FAA" w:rsidRDefault="0087550A">
      <w:pPr>
        <w:pStyle w:val="TOC3"/>
        <w:rPr>
          <w:rFonts w:asciiTheme="minorHAnsi" w:eastAsiaTheme="minorEastAsia" w:hAnsiTheme="minorHAnsi" w:cstheme="minorBidi"/>
          <w:noProof/>
          <w:sz w:val="22"/>
          <w:szCs w:val="22"/>
        </w:rPr>
      </w:pPr>
      <w:hyperlink w:anchor="_Toc103607733" w:history="1">
        <w:r w:rsidR="00E25FAA" w:rsidRPr="002E3B74">
          <w:rPr>
            <w:rStyle w:val="Hyperlink"/>
            <w:noProof/>
          </w:rPr>
          <w:t>4.5.4   Financial services</w:t>
        </w:r>
        <w:r w:rsidR="00E25FAA">
          <w:rPr>
            <w:noProof/>
            <w:webHidden/>
          </w:rPr>
          <w:tab/>
        </w:r>
        <w:r w:rsidR="00E25FAA">
          <w:rPr>
            <w:noProof/>
            <w:webHidden/>
          </w:rPr>
          <w:fldChar w:fldCharType="begin"/>
        </w:r>
        <w:r w:rsidR="00E25FAA">
          <w:rPr>
            <w:noProof/>
            <w:webHidden/>
          </w:rPr>
          <w:instrText xml:space="preserve"> PAGEREF _Toc103607733 \h </w:instrText>
        </w:r>
        <w:r w:rsidR="00E25FAA">
          <w:rPr>
            <w:noProof/>
            <w:webHidden/>
          </w:rPr>
        </w:r>
        <w:r w:rsidR="00E25FAA">
          <w:rPr>
            <w:noProof/>
            <w:webHidden/>
          </w:rPr>
          <w:fldChar w:fldCharType="separate"/>
        </w:r>
        <w:r w:rsidR="00E25FAA">
          <w:rPr>
            <w:noProof/>
            <w:webHidden/>
          </w:rPr>
          <w:t>98</w:t>
        </w:r>
        <w:r w:rsidR="00E25FAA">
          <w:rPr>
            <w:noProof/>
            <w:webHidden/>
          </w:rPr>
          <w:fldChar w:fldCharType="end"/>
        </w:r>
      </w:hyperlink>
    </w:p>
    <w:p w14:paraId="5520B172" w14:textId="629FE2BD" w:rsidR="00E25FAA" w:rsidRDefault="0087550A">
      <w:pPr>
        <w:pStyle w:val="TOC4"/>
        <w:rPr>
          <w:rFonts w:asciiTheme="minorHAnsi" w:eastAsiaTheme="minorEastAsia" w:hAnsiTheme="minorHAnsi" w:cstheme="minorBidi"/>
          <w:noProof/>
          <w:sz w:val="22"/>
          <w:szCs w:val="22"/>
        </w:rPr>
      </w:pPr>
      <w:hyperlink w:anchor="_Toc103607734" w:history="1">
        <w:r w:rsidR="00E25FAA" w:rsidRPr="002E3B74">
          <w:rPr>
            <w:rStyle w:val="Hyperlink"/>
            <w:noProof/>
          </w:rPr>
          <w:t>4.5.4.1   Overview</w:t>
        </w:r>
        <w:r w:rsidR="00E25FAA">
          <w:rPr>
            <w:noProof/>
            <w:webHidden/>
          </w:rPr>
          <w:tab/>
        </w:r>
        <w:r w:rsidR="00E25FAA">
          <w:rPr>
            <w:noProof/>
            <w:webHidden/>
          </w:rPr>
          <w:fldChar w:fldCharType="begin"/>
        </w:r>
        <w:r w:rsidR="00E25FAA">
          <w:rPr>
            <w:noProof/>
            <w:webHidden/>
          </w:rPr>
          <w:instrText xml:space="preserve"> PAGEREF _Toc103607734 \h </w:instrText>
        </w:r>
        <w:r w:rsidR="00E25FAA">
          <w:rPr>
            <w:noProof/>
            <w:webHidden/>
          </w:rPr>
        </w:r>
        <w:r w:rsidR="00E25FAA">
          <w:rPr>
            <w:noProof/>
            <w:webHidden/>
          </w:rPr>
          <w:fldChar w:fldCharType="separate"/>
        </w:r>
        <w:r w:rsidR="00E25FAA">
          <w:rPr>
            <w:noProof/>
            <w:webHidden/>
          </w:rPr>
          <w:t>98</w:t>
        </w:r>
        <w:r w:rsidR="00E25FAA">
          <w:rPr>
            <w:noProof/>
            <w:webHidden/>
          </w:rPr>
          <w:fldChar w:fldCharType="end"/>
        </w:r>
      </w:hyperlink>
    </w:p>
    <w:p w14:paraId="6244567B" w14:textId="3560D495" w:rsidR="00E25FAA" w:rsidRDefault="0087550A">
      <w:pPr>
        <w:pStyle w:val="TOC4"/>
        <w:rPr>
          <w:rFonts w:asciiTheme="minorHAnsi" w:eastAsiaTheme="minorEastAsia" w:hAnsiTheme="minorHAnsi" w:cstheme="minorBidi"/>
          <w:noProof/>
          <w:sz w:val="22"/>
          <w:szCs w:val="22"/>
        </w:rPr>
      </w:pPr>
      <w:hyperlink w:anchor="_Toc103607735" w:history="1">
        <w:r w:rsidR="00E25FAA" w:rsidRPr="002E3B74">
          <w:rPr>
            <w:rStyle w:val="Hyperlink"/>
            <w:noProof/>
          </w:rPr>
          <w:t>4.5.4.2   Banking services</w:t>
        </w:r>
        <w:r w:rsidR="00E25FAA">
          <w:rPr>
            <w:noProof/>
            <w:webHidden/>
          </w:rPr>
          <w:tab/>
        </w:r>
        <w:r w:rsidR="00E25FAA">
          <w:rPr>
            <w:noProof/>
            <w:webHidden/>
          </w:rPr>
          <w:fldChar w:fldCharType="begin"/>
        </w:r>
        <w:r w:rsidR="00E25FAA">
          <w:rPr>
            <w:noProof/>
            <w:webHidden/>
          </w:rPr>
          <w:instrText xml:space="preserve"> PAGEREF _Toc103607735 \h </w:instrText>
        </w:r>
        <w:r w:rsidR="00E25FAA">
          <w:rPr>
            <w:noProof/>
            <w:webHidden/>
          </w:rPr>
        </w:r>
        <w:r w:rsidR="00E25FAA">
          <w:rPr>
            <w:noProof/>
            <w:webHidden/>
          </w:rPr>
          <w:fldChar w:fldCharType="separate"/>
        </w:r>
        <w:r w:rsidR="00E25FAA">
          <w:rPr>
            <w:noProof/>
            <w:webHidden/>
          </w:rPr>
          <w:t>99</w:t>
        </w:r>
        <w:r w:rsidR="00E25FAA">
          <w:rPr>
            <w:noProof/>
            <w:webHidden/>
          </w:rPr>
          <w:fldChar w:fldCharType="end"/>
        </w:r>
      </w:hyperlink>
    </w:p>
    <w:p w14:paraId="72B68505" w14:textId="4487747D" w:rsidR="00E25FAA" w:rsidRDefault="0087550A">
      <w:pPr>
        <w:pStyle w:val="TOC4"/>
        <w:rPr>
          <w:rFonts w:asciiTheme="minorHAnsi" w:eastAsiaTheme="minorEastAsia" w:hAnsiTheme="minorHAnsi" w:cstheme="minorBidi"/>
          <w:noProof/>
          <w:sz w:val="22"/>
          <w:szCs w:val="22"/>
        </w:rPr>
      </w:pPr>
      <w:hyperlink w:anchor="_Toc103607736" w:history="1">
        <w:r w:rsidR="00E25FAA" w:rsidRPr="002E3B74">
          <w:rPr>
            <w:rStyle w:val="Hyperlink"/>
            <w:noProof/>
          </w:rPr>
          <w:t>4.5.4.3   Insurance services</w:t>
        </w:r>
        <w:r w:rsidR="00E25FAA">
          <w:rPr>
            <w:noProof/>
            <w:webHidden/>
          </w:rPr>
          <w:tab/>
        </w:r>
        <w:r w:rsidR="00E25FAA">
          <w:rPr>
            <w:noProof/>
            <w:webHidden/>
          </w:rPr>
          <w:fldChar w:fldCharType="begin"/>
        </w:r>
        <w:r w:rsidR="00E25FAA">
          <w:rPr>
            <w:noProof/>
            <w:webHidden/>
          </w:rPr>
          <w:instrText xml:space="preserve"> PAGEREF _Toc103607736 \h </w:instrText>
        </w:r>
        <w:r w:rsidR="00E25FAA">
          <w:rPr>
            <w:noProof/>
            <w:webHidden/>
          </w:rPr>
        </w:r>
        <w:r w:rsidR="00E25FAA">
          <w:rPr>
            <w:noProof/>
            <w:webHidden/>
          </w:rPr>
          <w:fldChar w:fldCharType="separate"/>
        </w:r>
        <w:r w:rsidR="00E25FAA">
          <w:rPr>
            <w:noProof/>
            <w:webHidden/>
          </w:rPr>
          <w:t>101</w:t>
        </w:r>
        <w:r w:rsidR="00E25FAA">
          <w:rPr>
            <w:noProof/>
            <w:webHidden/>
          </w:rPr>
          <w:fldChar w:fldCharType="end"/>
        </w:r>
      </w:hyperlink>
    </w:p>
    <w:p w14:paraId="5F1A16F0" w14:textId="6DEF0AEB" w:rsidR="00E25FAA" w:rsidRDefault="0087550A">
      <w:pPr>
        <w:pStyle w:val="TOC4"/>
        <w:rPr>
          <w:rFonts w:asciiTheme="minorHAnsi" w:eastAsiaTheme="minorEastAsia" w:hAnsiTheme="minorHAnsi" w:cstheme="minorBidi"/>
          <w:noProof/>
          <w:sz w:val="22"/>
          <w:szCs w:val="22"/>
        </w:rPr>
      </w:pPr>
      <w:hyperlink w:anchor="_Toc103607737" w:history="1">
        <w:r w:rsidR="00E25FAA" w:rsidRPr="002E3B74">
          <w:rPr>
            <w:rStyle w:val="Hyperlink"/>
            <w:noProof/>
          </w:rPr>
          <w:t>4.5.4.4   Securities market</w:t>
        </w:r>
        <w:r w:rsidR="00E25FAA">
          <w:rPr>
            <w:noProof/>
            <w:webHidden/>
          </w:rPr>
          <w:tab/>
        </w:r>
        <w:r w:rsidR="00E25FAA">
          <w:rPr>
            <w:noProof/>
            <w:webHidden/>
          </w:rPr>
          <w:fldChar w:fldCharType="begin"/>
        </w:r>
        <w:r w:rsidR="00E25FAA">
          <w:rPr>
            <w:noProof/>
            <w:webHidden/>
          </w:rPr>
          <w:instrText xml:space="preserve"> PAGEREF _Toc103607737 \h </w:instrText>
        </w:r>
        <w:r w:rsidR="00E25FAA">
          <w:rPr>
            <w:noProof/>
            <w:webHidden/>
          </w:rPr>
        </w:r>
        <w:r w:rsidR="00E25FAA">
          <w:rPr>
            <w:noProof/>
            <w:webHidden/>
          </w:rPr>
          <w:fldChar w:fldCharType="separate"/>
        </w:r>
        <w:r w:rsidR="00E25FAA">
          <w:rPr>
            <w:noProof/>
            <w:webHidden/>
          </w:rPr>
          <w:t>103</w:t>
        </w:r>
        <w:r w:rsidR="00E25FAA">
          <w:rPr>
            <w:noProof/>
            <w:webHidden/>
          </w:rPr>
          <w:fldChar w:fldCharType="end"/>
        </w:r>
      </w:hyperlink>
    </w:p>
    <w:p w14:paraId="06EED46D" w14:textId="5217F9BE" w:rsidR="00E25FAA" w:rsidRDefault="0087550A">
      <w:pPr>
        <w:pStyle w:val="TOC3"/>
        <w:rPr>
          <w:rFonts w:asciiTheme="minorHAnsi" w:eastAsiaTheme="minorEastAsia" w:hAnsiTheme="minorHAnsi" w:cstheme="minorBidi"/>
          <w:noProof/>
          <w:sz w:val="22"/>
          <w:szCs w:val="22"/>
        </w:rPr>
      </w:pPr>
      <w:hyperlink w:anchor="_Toc103607738" w:history="1">
        <w:r w:rsidR="00E25FAA" w:rsidRPr="002E3B74">
          <w:rPr>
            <w:rStyle w:val="Hyperlink"/>
            <w:rFonts w:eastAsia="Times New Roman"/>
            <w:noProof/>
          </w:rPr>
          <w:t xml:space="preserve">4.5.5   Professional </w:t>
        </w:r>
        <w:r w:rsidR="00E25FAA" w:rsidRPr="002E3B74">
          <w:rPr>
            <w:rStyle w:val="Hyperlink"/>
            <w:noProof/>
          </w:rPr>
          <w:t>and</w:t>
        </w:r>
        <w:r w:rsidR="00E25FAA" w:rsidRPr="002E3B74">
          <w:rPr>
            <w:rStyle w:val="Hyperlink"/>
            <w:rFonts w:eastAsia="Times New Roman"/>
            <w:noProof/>
          </w:rPr>
          <w:t xml:space="preserve"> other business services</w:t>
        </w:r>
        <w:r w:rsidR="00E25FAA">
          <w:rPr>
            <w:noProof/>
            <w:webHidden/>
          </w:rPr>
          <w:tab/>
        </w:r>
        <w:r w:rsidR="00E25FAA">
          <w:rPr>
            <w:noProof/>
            <w:webHidden/>
          </w:rPr>
          <w:fldChar w:fldCharType="begin"/>
        </w:r>
        <w:r w:rsidR="00E25FAA">
          <w:rPr>
            <w:noProof/>
            <w:webHidden/>
          </w:rPr>
          <w:instrText xml:space="preserve"> PAGEREF _Toc103607738 \h </w:instrText>
        </w:r>
        <w:r w:rsidR="00E25FAA">
          <w:rPr>
            <w:noProof/>
            <w:webHidden/>
          </w:rPr>
        </w:r>
        <w:r w:rsidR="00E25FAA">
          <w:rPr>
            <w:noProof/>
            <w:webHidden/>
          </w:rPr>
          <w:fldChar w:fldCharType="separate"/>
        </w:r>
        <w:r w:rsidR="00E25FAA">
          <w:rPr>
            <w:noProof/>
            <w:webHidden/>
          </w:rPr>
          <w:t>104</w:t>
        </w:r>
        <w:r w:rsidR="00E25FAA">
          <w:rPr>
            <w:noProof/>
            <w:webHidden/>
          </w:rPr>
          <w:fldChar w:fldCharType="end"/>
        </w:r>
      </w:hyperlink>
    </w:p>
    <w:p w14:paraId="135807E8" w14:textId="6B8AAA92" w:rsidR="00E25FAA" w:rsidRDefault="0087550A">
      <w:pPr>
        <w:pStyle w:val="TOC3"/>
        <w:rPr>
          <w:rFonts w:asciiTheme="minorHAnsi" w:eastAsiaTheme="minorEastAsia" w:hAnsiTheme="minorHAnsi" w:cstheme="minorBidi"/>
          <w:noProof/>
          <w:sz w:val="22"/>
          <w:szCs w:val="22"/>
        </w:rPr>
      </w:pPr>
      <w:hyperlink w:anchor="_Toc103607739" w:history="1">
        <w:r w:rsidR="00E25FAA" w:rsidRPr="002E3B74">
          <w:rPr>
            <w:rStyle w:val="Hyperlink"/>
            <w:noProof/>
          </w:rPr>
          <w:t>4.5.6   Tourism services</w:t>
        </w:r>
        <w:r w:rsidR="00E25FAA">
          <w:rPr>
            <w:noProof/>
            <w:webHidden/>
          </w:rPr>
          <w:tab/>
        </w:r>
        <w:r w:rsidR="00E25FAA">
          <w:rPr>
            <w:noProof/>
            <w:webHidden/>
          </w:rPr>
          <w:fldChar w:fldCharType="begin"/>
        </w:r>
        <w:r w:rsidR="00E25FAA">
          <w:rPr>
            <w:noProof/>
            <w:webHidden/>
          </w:rPr>
          <w:instrText xml:space="preserve"> PAGEREF _Toc103607739 \h </w:instrText>
        </w:r>
        <w:r w:rsidR="00E25FAA">
          <w:rPr>
            <w:noProof/>
            <w:webHidden/>
          </w:rPr>
        </w:r>
        <w:r w:rsidR="00E25FAA">
          <w:rPr>
            <w:noProof/>
            <w:webHidden/>
          </w:rPr>
          <w:fldChar w:fldCharType="separate"/>
        </w:r>
        <w:r w:rsidR="00E25FAA">
          <w:rPr>
            <w:noProof/>
            <w:webHidden/>
          </w:rPr>
          <w:t>105</w:t>
        </w:r>
        <w:r w:rsidR="00E25FAA">
          <w:rPr>
            <w:noProof/>
            <w:webHidden/>
          </w:rPr>
          <w:fldChar w:fldCharType="end"/>
        </w:r>
      </w:hyperlink>
    </w:p>
    <w:p w14:paraId="33340C80" w14:textId="54032032" w:rsidR="00E25FAA" w:rsidRDefault="0087550A">
      <w:pPr>
        <w:pStyle w:val="TOC1"/>
        <w:tabs>
          <w:tab w:val="right" w:leader="dot" w:pos="9016"/>
        </w:tabs>
        <w:rPr>
          <w:rFonts w:asciiTheme="minorHAnsi" w:eastAsiaTheme="minorEastAsia" w:hAnsiTheme="minorHAnsi" w:cstheme="minorBidi"/>
          <w:b w:val="0"/>
          <w:caps w:val="0"/>
          <w:noProof/>
          <w:sz w:val="22"/>
          <w:szCs w:val="22"/>
        </w:rPr>
      </w:pPr>
      <w:hyperlink w:anchor="_Toc103607740" w:history="1">
        <w:r w:rsidR="00E25FAA" w:rsidRPr="002E3B74">
          <w:rPr>
            <w:rStyle w:val="Hyperlink"/>
            <w:noProof/>
          </w:rPr>
          <w:t>5   APPENDIX TABLES</w:t>
        </w:r>
        <w:r w:rsidR="00E25FAA">
          <w:rPr>
            <w:noProof/>
            <w:webHidden/>
          </w:rPr>
          <w:tab/>
        </w:r>
        <w:r w:rsidR="00E25FAA">
          <w:rPr>
            <w:noProof/>
            <w:webHidden/>
          </w:rPr>
          <w:fldChar w:fldCharType="begin"/>
        </w:r>
        <w:r w:rsidR="00E25FAA">
          <w:rPr>
            <w:noProof/>
            <w:webHidden/>
          </w:rPr>
          <w:instrText xml:space="preserve"> PAGEREF _Toc103607740 \h </w:instrText>
        </w:r>
        <w:r w:rsidR="00E25FAA">
          <w:rPr>
            <w:noProof/>
            <w:webHidden/>
          </w:rPr>
        </w:r>
        <w:r w:rsidR="00E25FAA">
          <w:rPr>
            <w:noProof/>
            <w:webHidden/>
          </w:rPr>
          <w:fldChar w:fldCharType="separate"/>
        </w:r>
        <w:r w:rsidR="00E25FAA">
          <w:rPr>
            <w:noProof/>
            <w:webHidden/>
          </w:rPr>
          <w:t>106</w:t>
        </w:r>
        <w:r w:rsidR="00E25FAA">
          <w:rPr>
            <w:noProof/>
            <w:webHidden/>
          </w:rPr>
          <w:fldChar w:fldCharType="end"/>
        </w:r>
      </w:hyperlink>
    </w:p>
    <w:p w14:paraId="1458661A" w14:textId="6ED04D55" w:rsidR="00C15F2E" w:rsidRPr="00D96063" w:rsidRDefault="00C15F2E" w:rsidP="00352F58">
      <w:r w:rsidRPr="00D96063">
        <w:fldChar w:fldCharType="end"/>
      </w:r>
    </w:p>
    <w:p w14:paraId="1E51A6C6" w14:textId="77777777" w:rsidR="00C15F2E" w:rsidRPr="00D96063" w:rsidRDefault="00C15F2E" w:rsidP="00352F58">
      <w:pPr>
        <w:pStyle w:val="TOCHeading"/>
      </w:pPr>
      <w:r w:rsidRPr="00D96063">
        <w:t>CHARTS</w:t>
      </w:r>
    </w:p>
    <w:p w14:paraId="3D77BDAA" w14:textId="77777777" w:rsidR="00C15F2E" w:rsidRPr="00D96063" w:rsidRDefault="00C15F2E" w:rsidP="00352F58"/>
    <w:p w14:paraId="0A7693B6" w14:textId="322B4A12" w:rsidR="00E25FAA" w:rsidRDefault="00C15F2E" w:rsidP="00E25FAA">
      <w:pPr>
        <w:pStyle w:val="TableofFigures"/>
        <w:ind w:right="-46"/>
        <w:rPr>
          <w:rFonts w:asciiTheme="minorHAnsi" w:eastAsiaTheme="minorEastAsia" w:hAnsiTheme="minorHAnsi" w:cstheme="minorBidi"/>
          <w:noProof/>
          <w:sz w:val="22"/>
          <w:szCs w:val="22"/>
        </w:rPr>
      </w:pPr>
      <w:r w:rsidRPr="00D96063">
        <w:fldChar w:fldCharType="begin"/>
      </w:r>
      <w:r w:rsidRPr="00D96063">
        <w:instrText xml:space="preserve"> TOC \h \z \c "Chart" </w:instrText>
      </w:r>
      <w:r w:rsidRPr="00D96063">
        <w:fldChar w:fldCharType="separate"/>
      </w:r>
      <w:hyperlink w:anchor="_Toc103607796" w:history="1">
        <w:r w:rsidR="00E25FAA" w:rsidRPr="000B401F">
          <w:rPr>
            <w:rStyle w:val="Hyperlink"/>
            <w:rFonts w:eastAsiaTheme="majorEastAsia"/>
            <w:noProof/>
          </w:rPr>
          <w:t>Chart 1.1 Prices of gold, cocoa beans, and crude oil, 2006-20</w:t>
        </w:r>
        <w:r w:rsidR="00E25FAA">
          <w:rPr>
            <w:noProof/>
            <w:webHidden/>
          </w:rPr>
          <w:tab/>
        </w:r>
        <w:r w:rsidR="00E25FAA">
          <w:rPr>
            <w:noProof/>
            <w:webHidden/>
          </w:rPr>
          <w:fldChar w:fldCharType="begin"/>
        </w:r>
        <w:r w:rsidR="00E25FAA">
          <w:rPr>
            <w:noProof/>
            <w:webHidden/>
          </w:rPr>
          <w:instrText xml:space="preserve"> PAGEREF _Toc103607796 \h </w:instrText>
        </w:r>
        <w:r w:rsidR="00E25FAA">
          <w:rPr>
            <w:noProof/>
            <w:webHidden/>
          </w:rPr>
        </w:r>
        <w:r w:rsidR="00E25FAA">
          <w:rPr>
            <w:noProof/>
            <w:webHidden/>
          </w:rPr>
          <w:fldChar w:fldCharType="separate"/>
        </w:r>
        <w:r w:rsidR="00E25FAA">
          <w:rPr>
            <w:noProof/>
            <w:webHidden/>
          </w:rPr>
          <w:t>12</w:t>
        </w:r>
        <w:r w:rsidR="00E25FAA">
          <w:rPr>
            <w:noProof/>
            <w:webHidden/>
          </w:rPr>
          <w:fldChar w:fldCharType="end"/>
        </w:r>
      </w:hyperlink>
    </w:p>
    <w:p w14:paraId="020D5907" w14:textId="17AB5B9D" w:rsidR="00E25FAA" w:rsidRDefault="0087550A" w:rsidP="00E25FAA">
      <w:pPr>
        <w:pStyle w:val="TableofFigures"/>
        <w:ind w:right="-46"/>
        <w:jc w:val="left"/>
        <w:rPr>
          <w:rFonts w:asciiTheme="minorHAnsi" w:eastAsiaTheme="minorEastAsia" w:hAnsiTheme="minorHAnsi" w:cstheme="minorBidi"/>
          <w:noProof/>
          <w:sz w:val="22"/>
          <w:szCs w:val="22"/>
        </w:rPr>
      </w:pPr>
      <w:hyperlink w:anchor="_Toc103607797" w:history="1">
        <w:r w:rsidR="00E25FAA" w:rsidRPr="000B401F">
          <w:rPr>
            <w:rStyle w:val="Hyperlink"/>
            <w:rFonts w:eastAsiaTheme="majorEastAsia"/>
            <w:noProof/>
          </w:rPr>
          <w:t xml:space="preserve">Chart 1.2 Product composition of merchandise trade by main HS section/subheading, </w:t>
        </w:r>
        <w:r w:rsidR="00E25FAA">
          <w:rPr>
            <w:rStyle w:val="Hyperlink"/>
            <w:rFonts w:eastAsiaTheme="majorEastAsia"/>
            <w:noProof/>
          </w:rPr>
          <w:br/>
        </w:r>
        <w:r w:rsidR="00E25FAA" w:rsidRPr="000B401F">
          <w:rPr>
            <w:rStyle w:val="Hyperlink"/>
            <w:rFonts w:eastAsiaTheme="majorEastAsia"/>
            <w:noProof/>
          </w:rPr>
          <w:t>2014 and 2019</w:t>
        </w:r>
        <w:r w:rsidR="00E25FAA">
          <w:rPr>
            <w:noProof/>
            <w:webHidden/>
          </w:rPr>
          <w:tab/>
        </w:r>
        <w:r w:rsidR="00E25FAA">
          <w:rPr>
            <w:noProof/>
            <w:webHidden/>
          </w:rPr>
          <w:fldChar w:fldCharType="begin"/>
        </w:r>
        <w:r w:rsidR="00E25FAA">
          <w:rPr>
            <w:noProof/>
            <w:webHidden/>
          </w:rPr>
          <w:instrText xml:space="preserve"> PAGEREF _Toc103607797 \h </w:instrText>
        </w:r>
        <w:r w:rsidR="00E25FAA">
          <w:rPr>
            <w:noProof/>
            <w:webHidden/>
          </w:rPr>
        </w:r>
        <w:r w:rsidR="00E25FAA">
          <w:rPr>
            <w:noProof/>
            <w:webHidden/>
          </w:rPr>
          <w:fldChar w:fldCharType="separate"/>
        </w:r>
        <w:r w:rsidR="00E25FAA">
          <w:rPr>
            <w:noProof/>
            <w:webHidden/>
          </w:rPr>
          <w:t>17</w:t>
        </w:r>
        <w:r w:rsidR="00E25FAA">
          <w:rPr>
            <w:noProof/>
            <w:webHidden/>
          </w:rPr>
          <w:fldChar w:fldCharType="end"/>
        </w:r>
      </w:hyperlink>
    </w:p>
    <w:p w14:paraId="551D25F4" w14:textId="4D5AB00F" w:rsidR="00E25FAA" w:rsidRDefault="0087550A" w:rsidP="00E25FAA">
      <w:pPr>
        <w:pStyle w:val="TableofFigures"/>
        <w:ind w:right="-46"/>
        <w:rPr>
          <w:rFonts w:asciiTheme="minorHAnsi" w:eastAsiaTheme="minorEastAsia" w:hAnsiTheme="minorHAnsi" w:cstheme="minorBidi"/>
          <w:noProof/>
          <w:sz w:val="22"/>
          <w:szCs w:val="22"/>
        </w:rPr>
      </w:pPr>
      <w:hyperlink w:anchor="_Toc103607798" w:history="1">
        <w:r w:rsidR="00E25FAA" w:rsidRPr="000B401F">
          <w:rPr>
            <w:rStyle w:val="Hyperlink"/>
            <w:rFonts w:eastAsiaTheme="majorEastAsia"/>
            <w:noProof/>
          </w:rPr>
          <w:t>Chart 1.3 Direction of merchandise trade, 2014 and 2019</w:t>
        </w:r>
        <w:r w:rsidR="00E25FAA">
          <w:rPr>
            <w:noProof/>
            <w:webHidden/>
          </w:rPr>
          <w:tab/>
        </w:r>
        <w:r w:rsidR="00E25FAA">
          <w:rPr>
            <w:noProof/>
            <w:webHidden/>
          </w:rPr>
          <w:fldChar w:fldCharType="begin"/>
        </w:r>
        <w:r w:rsidR="00E25FAA">
          <w:rPr>
            <w:noProof/>
            <w:webHidden/>
          </w:rPr>
          <w:instrText xml:space="preserve"> PAGEREF _Toc103607798 \h </w:instrText>
        </w:r>
        <w:r w:rsidR="00E25FAA">
          <w:rPr>
            <w:noProof/>
            <w:webHidden/>
          </w:rPr>
        </w:r>
        <w:r w:rsidR="00E25FAA">
          <w:rPr>
            <w:noProof/>
            <w:webHidden/>
          </w:rPr>
          <w:fldChar w:fldCharType="separate"/>
        </w:r>
        <w:r w:rsidR="00E25FAA">
          <w:rPr>
            <w:noProof/>
            <w:webHidden/>
          </w:rPr>
          <w:t>18</w:t>
        </w:r>
        <w:r w:rsidR="00E25FAA">
          <w:rPr>
            <w:noProof/>
            <w:webHidden/>
          </w:rPr>
          <w:fldChar w:fldCharType="end"/>
        </w:r>
      </w:hyperlink>
    </w:p>
    <w:p w14:paraId="5A45D543" w14:textId="18706D0B" w:rsidR="00E25FAA" w:rsidRDefault="0087550A" w:rsidP="00E25FAA">
      <w:pPr>
        <w:pStyle w:val="TableofFigures"/>
        <w:ind w:right="-46"/>
        <w:rPr>
          <w:rFonts w:asciiTheme="minorHAnsi" w:eastAsiaTheme="minorEastAsia" w:hAnsiTheme="minorHAnsi" w:cstheme="minorBidi"/>
          <w:noProof/>
          <w:sz w:val="22"/>
          <w:szCs w:val="22"/>
        </w:rPr>
      </w:pPr>
      <w:hyperlink w:anchor="_Toc103607799" w:history="1">
        <w:r w:rsidR="00E25FAA" w:rsidRPr="000B401F">
          <w:rPr>
            <w:rStyle w:val="Hyperlink"/>
            <w:rFonts w:eastAsiaTheme="majorEastAsia"/>
            <w:noProof/>
          </w:rPr>
          <w:t>Chart 1.4 Trade in services, 2014-20</w:t>
        </w:r>
        <w:r w:rsidR="00E25FAA">
          <w:rPr>
            <w:noProof/>
            <w:webHidden/>
          </w:rPr>
          <w:tab/>
        </w:r>
        <w:r w:rsidR="00E25FAA">
          <w:rPr>
            <w:noProof/>
            <w:webHidden/>
          </w:rPr>
          <w:fldChar w:fldCharType="begin"/>
        </w:r>
        <w:r w:rsidR="00E25FAA">
          <w:rPr>
            <w:noProof/>
            <w:webHidden/>
          </w:rPr>
          <w:instrText xml:space="preserve"> PAGEREF _Toc103607799 \h </w:instrText>
        </w:r>
        <w:r w:rsidR="00E25FAA">
          <w:rPr>
            <w:noProof/>
            <w:webHidden/>
          </w:rPr>
        </w:r>
        <w:r w:rsidR="00E25FAA">
          <w:rPr>
            <w:noProof/>
            <w:webHidden/>
          </w:rPr>
          <w:fldChar w:fldCharType="separate"/>
        </w:r>
        <w:r w:rsidR="00E25FAA">
          <w:rPr>
            <w:noProof/>
            <w:webHidden/>
          </w:rPr>
          <w:t>19</w:t>
        </w:r>
        <w:r w:rsidR="00E25FAA">
          <w:rPr>
            <w:noProof/>
            <w:webHidden/>
          </w:rPr>
          <w:fldChar w:fldCharType="end"/>
        </w:r>
      </w:hyperlink>
    </w:p>
    <w:p w14:paraId="44135118" w14:textId="7EAFD78B" w:rsidR="00E25FAA" w:rsidRDefault="0087550A" w:rsidP="00E25FAA">
      <w:pPr>
        <w:pStyle w:val="TableofFigures"/>
        <w:ind w:right="-46"/>
        <w:rPr>
          <w:rFonts w:asciiTheme="minorHAnsi" w:eastAsiaTheme="minorEastAsia" w:hAnsiTheme="minorHAnsi" w:cstheme="minorBidi"/>
          <w:noProof/>
          <w:sz w:val="22"/>
          <w:szCs w:val="22"/>
        </w:rPr>
      </w:pPr>
      <w:hyperlink w:anchor="_Toc103607800" w:history="1">
        <w:r w:rsidR="00E25FAA" w:rsidRPr="000B401F">
          <w:rPr>
            <w:rStyle w:val="Hyperlink"/>
            <w:rFonts w:eastAsiaTheme="majorEastAsia"/>
            <w:noProof/>
          </w:rPr>
          <w:t>Chart 1.5 FDI flows, 2007-20</w:t>
        </w:r>
        <w:r w:rsidR="00E25FAA">
          <w:rPr>
            <w:noProof/>
            <w:webHidden/>
          </w:rPr>
          <w:tab/>
        </w:r>
        <w:r w:rsidR="00E25FAA">
          <w:rPr>
            <w:noProof/>
            <w:webHidden/>
          </w:rPr>
          <w:fldChar w:fldCharType="begin"/>
        </w:r>
        <w:r w:rsidR="00E25FAA">
          <w:rPr>
            <w:noProof/>
            <w:webHidden/>
          </w:rPr>
          <w:instrText xml:space="preserve"> PAGEREF _Toc103607800 \h </w:instrText>
        </w:r>
        <w:r w:rsidR="00E25FAA">
          <w:rPr>
            <w:noProof/>
            <w:webHidden/>
          </w:rPr>
        </w:r>
        <w:r w:rsidR="00E25FAA">
          <w:rPr>
            <w:noProof/>
            <w:webHidden/>
          </w:rPr>
          <w:fldChar w:fldCharType="separate"/>
        </w:r>
        <w:r w:rsidR="00E25FAA">
          <w:rPr>
            <w:noProof/>
            <w:webHidden/>
          </w:rPr>
          <w:t>19</w:t>
        </w:r>
        <w:r w:rsidR="00E25FAA">
          <w:rPr>
            <w:noProof/>
            <w:webHidden/>
          </w:rPr>
          <w:fldChar w:fldCharType="end"/>
        </w:r>
      </w:hyperlink>
    </w:p>
    <w:p w14:paraId="341AD2D2" w14:textId="33A164FF" w:rsidR="00E25FAA" w:rsidRDefault="0087550A" w:rsidP="00E25FAA">
      <w:pPr>
        <w:pStyle w:val="TableofFigures"/>
        <w:ind w:right="-46"/>
        <w:rPr>
          <w:rFonts w:asciiTheme="minorHAnsi" w:eastAsiaTheme="minorEastAsia" w:hAnsiTheme="minorHAnsi" w:cstheme="minorBidi"/>
          <w:noProof/>
          <w:sz w:val="22"/>
          <w:szCs w:val="22"/>
        </w:rPr>
      </w:pPr>
      <w:hyperlink w:anchor="_Toc103607801" w:history="1">
        <w:r w:rsidR="00E25FAA" w:rsidRPr="000B401F">
          <w:rPr>
            <w:rStyle w:val="Hyperlink"/>
            <w:rFonts w:eastAsiaTheme="majorEastAsia"/>
            <w:noProof/>
          </w:rPr>
          <w:t>Chart 3.1 Tax revenue by category, 2020</w:t>
        </w:r>
        <w:r w:rsidR="00E25FAA">
          <w:rPr>
            <w:noProof/>
            <w:webHidden/>
          </w:rPr>
          <w:tab/>
        </w:r>
        <w:r w:rsidR="00E25FAA">
          <w:rPr>
            <w:noProof/>
            <w:webHidden/>
          </w:rPr>
          <w:fldChar w:fldCharType="begin"/>
        </w:r>
        <w:r w:rsidR="00E25FAA">
          <w:rPr>
            <w:noProof/>
            <w:webHidden/>
          </w:rPr>
          <w:instrText xml:space="preserve"> PAGEREF _Toc103607801 \h </w:instrText>
        </w:r>
        <w:r w:rsidR="00E25FAA">
          <w:rPr>
            <w:noProof/>
            <w:webHidden/>
          </w:rPr>
        </w:r>
        <w:r w:rsidR="00E25FAA">
          <w:rPr>
            <w:noProof/>
            <w:webHidden/>
          </w:rPr>
          <w:fldChar w:fldCharType="separate"/>
        </w:r>
        <w:r w:rsidR="00E25FAA">
          <w:rPr>
            <w:noProof/>
            <w:webHidden/>
          </w:rPr>
          <w:t>32</w:t>
        </w:r>
        <w:r w:rsidR="00E25FAA">
          <w:rPr>
            <w:noProof/>
            <w:webHidden/>
          </w:rPr>
          <w:fldChar w:fldCharType="end"/>
        </w:r>
      </w:hyperlink>
    </w:p>
    <w:p w14:paraId="0416989C" w14:textId="7C6AFFAC" w:rsidR="00E25FAA" w:rsidRDefault="0087550A" w:rsidP="00E25FAA">
      <w:pPr>
        <w:pStyle w:val="TableofFigures"/>
        <w:ind w:right="-46"/>
        <w:rPr>
          <w:rFonts w:asciiTheme="minorHAnsi" w:eastAsiaTheme="minorEastAsia" w:hAnsiTheme="minorHAnsi" w:cstheme="minorBidi"/>
          <w:noProof/>
          <w:sz w:val="22"/>
          <w:szCs w:val="22"/>
        </w:rPr>
      </w:pPr>
      <w:hyperlink w:anchor="_Toc103607802" w:history="1">
        <w:r w:rsidR="00E25FAA" w:rsidRPr="000B401F">
          <w:rPr>
            <w:rStyle w:val="Hyperlink"/>
            <w:rFonts w:eastAsiaTheme="majorEastAsia"/>
            <w:noProof/>
          </w:rPr>
          <w:t>Chart 3.2 Distribution of MFN applied tariff rates, 2013 and 2022</w:t>
        </w:r>
        <w:r w:rsidR="00E25FAA">
          <w:rPr>
            <w:noProof/>
            <w:webHidden/>
          </w:rPr>
          <w:tab/>
        </w:r>
        <w:r w:rsidR="00E25FAA">
          <w:rPr>
            <w:noProof/>
            <w:webHidden/>
          </w:rPr>
          <w:fldChar w:fldCharType="begin"/>
        </w:r>
        <w:r w:rsidR="00E25FAA">
          <w:rPr>
            <w:noProof/>
            <w:webHidden/>
          </w:rPr>
          <w:instrText xml:space="preserve"> PAGEREF _Toc103607802 \h </w:instrText>
        </w:r>
        <w:r w:rsidR="00E25FAA">
          <w:rPr>
            <w:noProof/>
            <w:webHidden/>
          </w:rPr>
        </w:r>
        <w:r w:rsidR="00E25FAA">
          <w:rPr>
            <w:noProof/>
            <w:webHidden/>
          </w:rPr>
          <w:fldChar w:fldCharType="separate"/>
        </w:r>
        <w:r w:rsidR="00E25FAA">
          <w:rPr>
            <w:noProof/>
            <w:webHidden/>
          </w:rPr>
          <w:t>35</w:t>
        </w:r>
        <w:r w:rsidR="00E25FAA">
          <w:rPr>
            <w:noProof/>
            <w:webHidden/>
          </w:rPr>
          <w:fldChar w:fldCharType="end"/>
        </w:r>
      </w:hyperlink>
    </w:p>
    <w:p w14:paraId="71E955BC" w14:textId="2BC803CE" w:rsidR="00E25FAA" w:rsidRDefault="0087550A" w:rsidP="00E25FAA">
      <w:pPr>
        <w:pStyle w:val="TableofFigures"/>
        <w:ind w:right="-46"/>
        <w:rPr>
          <w:rFonts w:asciiTheme="minorHAnsi" w:eastAsiaTheme="minorEastAsia" w:hAnsiTheme="minorHAnsi" w:cstheme="minorBidi"/>
          <w:noProof/>
          <w:sz w:val="22"/>
          <w:szCs w:val="22"/>
        </w:rPr>
      </w:pPr>
      <w:hyperlink w:anchor="_Toc103607803" w:history="1">
        <w:r w:rsidR="00E25FAA" w:rsidRPr="000B401F">
          <w:rPr>
            <w:rStyle w:val="Hyperlink"/>
            <w:rFonts w:eastAsiaTheme="majorEastAsia"/>
            <w:noProof/>
          </w:rPr>
          <w:t>Chart 3.3 Ghana's trade with ECOWAS members, 2014-19</w:t>
        </w:r>
        <w:r w:rsidR="00E25FAA">
          <w:rPr>
            <w:noProof/>
            <w:webHidden/>
          </w:rPr>
          <w:tab/>
        </w:r>
        <w:r w:rsidR="00E25FAA">
          <w:rPr>
            <w:noProof/>
            <w:webHidden/>
          </w:rPr>
          <w:fldChar w:fldCharType="begin"/>
        </w:r>
        <w:r w:rsidR="00E25FAA">
          <w:rPr>
            <w:noProof/>
            <w:webHidden/>
          </w:rPr>
          <w:instrText xml:space="preserve"> PAGEREF _Toc103607803 \h </w:instrText>
        </w:r>
        <w:r w:rsidR="00E25FAA">
          <w:rPr>
            <w:noProof/>
            <w:webHidden/>
          </w:rPr>
        </w:r>
        <w:r w:rsidR="00E25FAA">
          <w:rPr>
            <w:noProof/>
            <w:webHidden/>
          </w:rPr>
          <w:fldChar w:fldCharType="separate"/>
        </w:r>
        <w:r w:rsidR="00E25FAA">
          <w:rPr>
            <w:noProof/>
            <w:webHidden/>
          </w:rPr>
          <w:t>42</w:t>
        </w:r>
        <w:r w:rsidR="00E25FAA">
          <w:rPr>
            <w:noProof/>
            <w:webHidden/>
          </w:rPr>
          <w:fldChar w:fldCharType="end"/>
        </w:r>
      </w:hyperlink>
    </w:p>
    <w:p w14:paraId="1F8B0EED" w14:textId="0D8F683F" w:rsidR="00E25FAA" w:rsidRDefault="0087550A" w:rsidP="00E25FAA">
      <w:pPr>
        <w:pStyle w:val="TableofFigures"/>
        <w:ind w:right="-46"/>
        <w:rPr>
          <w:rFonts w:asciiTheme="minorHAnsi" w:eastAsiaTheme="minorEastAsia" w:hAnsiTheme="minorHAnsi" w:cstheme="minorBidi"/>
          <w:noProof/>
          <w:sz w:val="22"/>
          <w:szCs w:val="22"/>
        </w:rPr>
      </w:pPr>
      <w:hyperlink w:anchor="_Toc103607804" w:history="1">
        <w:r w:rsidR="00E25FAA" w:rsidRPr="000B401F">
          <w:rPr>
            <w:rStyle w:val="Hyperlink"/>
            <w:rFonts w:eastAsiaTheme="majorEastAsia"/>
            <w:noProof/>
          </w:rPr>
          <w:t>Chart 3.4 ECOWAS Trade Liberalization Scheme – Approved products in 1988-2021</w:t>
        </w:r>
        <w:r w:rsidR="00E25FAA">
          <w:rPr>
            <w:noProof/>
            <w:webHidden/>
          </w:rPr>
          <w:tab/>
        </w:r>
        <w:r w:rsidR="00E25FAA">
          <w:rPr>
            <w:noProof/>
            <w:webHidden/>
          </w:rPr>
          <w:fldChar w:fldCharType="begin"/>
        </w:r>
        <w:r w:rsidR="00E25FAA">
          <w:rPr>
            <w:noProof/>
            <w:webHidden/>
          </w:rPr>
          <w:instrText xml:space="preserve"> PAGEREF _Toc103607804 \h </w:instrText>
        </w:r>
        <w:r w:rsidR="00E25FAA">
          <w:rPr>
            <w:noProof/>
            <w:webHidden/>
          </w:rPr>
        </w:r>
        <w:r w:rsidR="00E25FAA">
          <w:rPr>
            <w:noProof/>
            <w:webHidden/>
          </w:rPr>
          <w:fldChar w:fldCharType="separate"/>
        </w:r>
        <w:r w:rsidR="00E25FAA">
          <w:rPr>
            <w:noProof/>
            <w:webHidden/>
          </w:rPr>
          <w:t>42</w:t>
        </w:r>
        <w:r w:rsidR="00E25FAA">
          <w:rPr>
            <w:noProof/>
            <w:webHidden/>
          </w:rPr>
          <w:fldChar w:fldCharType="end"/>
        </w:r>
      </w:hyperlink>
    </w:p>
    <w:p w14:paraId="34C856DE" w14:textId="331D94F6" w:rsidR="00E25FAA" w:rsidRDefault="0087550A" w:rsidP="00E25FAA">
      <w:pPr>
        <w:pStyle w:val="TableofFigures"/>
        <w:ind w:right="-46"/>
        <w:rPr>
          <w:rFonts w:asciiTheme="minorHAnsi" w:eastAsiaTheme="minorEastAsia" w:hAnsiTheme="minorHAnsi" w:cstheme="minorBidi"/>
          <w:noProof/>
          <w:sz w:val="22"/>
          <w:szCs w:val="22"/>
        </w:rPr>
      </w:pPr>
      <w:hyperlink w:anchor="_Toc103607805" w:history="1">
        <w:r w:rsidR="00E25FAA" w:rsidRPr="000B401F">
          <w:rPr>
            <w:rStyle w:val="Hyperlink"/>
            <w:rFonts w:eastAsiaTheme="majorEastAsia"/>
            <w:noProof/>
          </w:rPr>
          <w:t>Chart 3.5 Exports under the Free Zones Scheme</w:t>
        </w:r>
        <w:r w:rsidR="00E25FAA">
          <w:rPr>
            <w:noProof/>
            <w:webHidden/>
          </w:rPr>
          <w:tab/>
        </w:r>
        <w:r w:rsidR="00E25FAA">
          <w:rPr>
            <w:noProof/>
            <w:webHidden/>
          </w:rPr>
          <w:fldChar w:fldCharType="begin"/>
        </w:r>
        <w:r w:rsidR="00E25FAA">
          <w:rPr>
            <w:noProof/>
            <w:webHidden/>
          </w:rPr>
          <w:instrText xml:space="preserve"> PAGEREF _Toc103607805 \h </w:instrText>
        </w:r>
        <w:r w:rsidR="00E25FAA">
          <w:rPr>
            <w:noProof/>
            <w:webHidden/>
          </w:rPr>
        </w:r>
        <w:r w:rsidR="00E25FAA">
          <w:rPr>
            <w:noProof/>
            <w:webHidden/>
          </w:rPr>
          <w:fldChar w:fldCharType="separate"/>
        </w:r>
        <w:r w:rsidR="00E25FAA">
          <w:rPr>
            <w:noProof/>
            <w:webHidden/>
          </w:rPr>
          <w:t>49</w:t>
        </w:r>
        <w:r w:rsidR="00E25FAA">
          <w:rPr>
            <w:noProof/>
            <w:webHidden/>
          </w:rPr>
          <w:fldChar w:fldCharType="end"/>
        </w:r>
      </w:hyperlink>
    </w:p>
    <w:p w14:paraId="04B9420B" w14:textId="2FB93B77" w:rsidR="00E25FAA" w:rsidRDefault="0087550A" w:rsidP="00E25FAA">
      <w:pPr>
        <w:pStyle w:val="TableofFigures"/>
        <w:ind w:right="-46"/>
        <w:rPr>
          <w:rFonts w:asciiTheme="minorHAnsi" w:eastAsiaTheme="minorEastAsia" w:hAnsiTheme="minorHAnsi" w:cstheme="minorBidi"/>
          <w:noProof/>
          <w:sz w:val="22"/>
          <w:szCs w:val="22"/>
        </w:rPr>
      </w:pPr>
      <w:hyperlink w:anchor="_Toc103607806" w:history="1">
        <w:r w:rsidR="00E25FAA" w:rsidRPr="000B401F">
          <w:rPr>
            <w:rStyle w:val="Hyperlink"/>
            <w:rFonts w:eastAsiaTheme="majorEastAsia"/>
            <w:noProof/>
          </w:rPr>
          <w:t>Chart 4.1 Production and trade of fish and fishery products, 2014-20</w:t>
        </w:r>
        <w:r w:rsidR="00E25FAA">
          <w:rPr>
            <w:noProof/>
            <w:webHidden/>
          </w:rPr>
          <w:tab/>
        </w:r>
        <w:r w:rsidR="00E25FAA">
          <w:rPr>
            <w:noProof/>
            <w:webHidden/>
          </w:rPr>
          <w:fldChar w:fldCharType="begin"/>
        </w:r>
        <w:r w:rsidR="00E25FAA">
          <w:rPr>
            <w:noProof/>
            <w:webHidden/>
          </w:rPr>
          <w:instrText xml:space="preserve"> PAGEREF _Toc103607806 \h </w:instrText>
        </w:r>
        <w:r w:rsidR="00E25FAA">
          <w:rPr>
            <w:noProof/>
            <w:webHidden/>
          </w:rPr>
        </w:r>
        <w:r w:rsidR="00E25FAA">
          <w:rPr>
            <w:noProof/>
            <w:webHidden/>
          </w:rPr>
          <w:fldChar w:fldCharType="separate"/>
        </w:r>
        <w:r w:rsidR="00E25FAA">
          <w:rPr>
            <w:noProof/>
            <w:webHidden/>
          </w:rPr>
          <w:t>74</w:t>
        </w:r>
        <w:r w:rsidR="00E25FAA">
          <w:rPr>
            <w:noProof/>
            <w:webHidden/>
          </w:rPr>
          <w:fldChar w:fldCharType="end"/>
        </w:r>
      </w:hyperlink>
    </w:p>
    <w:p w14:paraId="522746BC" w14:textId="1320A74B" w:rsidR="00E25FAA" w:rsidRDefault="0087550A" w:rsidP="00E25FAA">
      <w:pPr>
        <w:pStyle w:val="TableofFigures"/>
        <w:ind w:right="-46"/>
        <w:rPr>
          <w:rFonts w:asciiTheme="minorHAnsi" w:eastAsiaTheme="minorEastAsia" w:hAnsiTheme="minorHAnsi" w:cstheme="minorBidi"/>
          <w:noProof/>
          <w:sz w:val="22"/>
          <w:szCs w:val="22"/>
        </w:rPr>
      </w:pPr>
      <w:hyperlink w:anchor="_Toc103607807" w:history="1">
        <w:r w:rsidR="00E25FAA" w:rsidRPr="000B401F">
          <w:rPr>
            <w:rStyle w:val="Hyperlink"/>
            <w:rFonts w:eastAsiaTheme="majorEastAsia"/>
            <w:noProof/>
          </w:rPr>
          <w:t>Chart 4.2 Ghana's trade in pharmaceuticals (HS 30), 2014-19</w:t>
        </w:r>
        <w:r w:rsidR="00E25FAA">
          <w:rPr>
            <w:noProof/>
            <w:webHidden/>
          </w:rPr>
          <w:tab/>
        </w:r>
        <w:r w:rsidR="00E25FAA">
          <w:rPr>
            <w:noProof/>
            <w:webHidden/>
          </w:rPr>
          <w:fldChar w:fldCharType="begin"/>
        </w:r>
        <w:r w:rsidR="00E25FAA">
          <w:rPr>
            <w:noProof/>
            <w:webHidden/>
          </w:rPr>
          <w:instrText xml:space="preserve"> PAGEREF _Toc103607807 \h </w:instrText>
        </w:r>
        <w:r w:rsidR="00E25FAA">
          <w:rPr>
            <w:noProof/>
            <w:webHidden/>
          </w:rPr>
        </w:r>
        <w:r w:rsidR="00E25FAA">
          <w:rPr>
            <w:noProof/>
            <w:webHidden/>
          </w:rPr>
          <w:fldChar w:fldCharType="separate"/>
        </w:r>
        <w:r w:rsidR="00E25FAA">
          <w:rPr>
            <w:noProof/>
            <w:webHidden/>
          </w:rPr>
          <w:t>89</w:t>
        </w:r>
        <w:r w:rsidR="00E25FAA">
          <w:rPr>
            <w:noProof/>
            <w:webHidden/>
          </w:rPr>
          <w:fldChar w:fldCharType="end"/>
        </w:r>
      </w:hyperlink>
    </w:p>
    <w:p w14:paraId="47D1709D" w14:textId="60B9AF1F" w:rsidR="00E25FAA" w:rsidRDefault="0087550A" w:rsidP="00E25FAA">
      <w:pPr>
        <w:pStyle w:val="TableofFigures"/>
        <w:ind w:right="-46"/>
        <w:rPr>
          <w:rFonts w:asciiTheme="minorHAnsi" w:eastAsiaTheme="minorEastAsia" w:hAnsiTheme="minorHAnsi" w:cstheme="minorBidi"/>
          <w:noProof/>
          <w:sz w:val="22"/>
          <w:szCs w:val="22"/>
        </w:rPr>
      </w:pPr>
      <w:hyperlink w:anchor="_Toc103607808" w:history="1">
        <w:r w:rsidR="00E25FAA" w:rsidRPr="000B401F">
          <w:rPr>
            <w:rStyle w:val="Hyperlink"/>
            <w:rFonts w:eastAsiaTheme="majorEastAsia"/>
            <w:noProof/>
          </w:rPr>
          <w:t>Chart 4.3 Trade in services, 2006-20</w:t>
        </w:r>
        <w:r w:rsidR="00E25FAA">
          <w:rPr>
            <w:noProof/>
            <w:webHidden/>
          </w:rPr>
          <w:tab/>
        </w:r>
        <w:r w:rsidR="00E25FAA">
          <w:rPr>
            <w:noProof/>
            <w:webHidden/>
          </w:rPr>
          <w:fldChar w:fldCharType="begin"/>
        </w:r>
        <w:r w:rsidR="00E25FAA">
          <w:rPr>
            <w:noProof/>
            <w:webHidden/>
          </w:rPr>
          <w:instrText xml:space="preserve"> PAGEREF _Toc103607808 \h </w:instrText>
        </w:r>
        <w:r w:rsidR="00E25FAA">
          <w:rPr>
            <w:noProof/>
            <w:webHidden/>
          </w:rPr>
        </w:r>
        <w:r w:rsidR="00E25FAA">
          <w:rPr>
            <w:noProof/>
            <w:webHidden/>
          </w:rPr>
          <w:fldChar w:fldCharType="separate"/>
        </w:r>
        <w:r w:rsidR="00E25FAA">
          <w:rPr>
            <w:noProof/>
            <w:webHidden/>
          </w:rPr>
          <w:t>91</w:t>
        </w:r>
        <w:r w:rsidR="00E25FAA">
          <w:rPr>
            <w:noProof/>
            <w:webHidden/>
          </w:rPr>
          <w:fldChar w:fldCharType="end"/>
        </w:r>
      </w:hyperlink>
    </w:p>
    <w:p w14:paraId="48DA1A77" w14:textId="28D55C8D" w:rsidR="00E25FAA" w:rsidRDefault="0087550A" w:rsidP="00E25FAA">
      <w:pPr>
        <w:pStyle w:val="TableofFigures"/>
        <w:ind w:right="-46"/>
        <w:rPr>
          <w:rFonts w:asciiTheme="minorHAnsi" w:eastAsiaTheme="minorEastAsia" w:hAnsiTheme="minorHAnsi" w:cstheme="minorBidi"/>
          <w:noProof/>
          <w:sz w:val="22"/>
          <w:szCs w:val="22"/>
        </w:rPr>
      </w:pPr>
      <w:hyperlink w:anchor="_Toc103607809" w:history="1">
        <w:r w:rsidR="00E25FAA" w:rsidRPr="000B401F">
          <w:rPr>
            <w:rStyle w:val="Hyperlink"/>
            <w:rFonts w:eastAsiaTheme="majorEastAsia"/>
            <w:noProof/>
          </w:rPr>
          <w:t>Chart 4.4 Trade in transport services, 2014-20</w:t>
        </w:r>
        <w:r w:rsidR="00E25FAA">
          <w:rPr>
            <w:noProof/>
            <w:webHidden/>
          </w:rPr>
          <w:tab/>
        </w:r>
        <w:r w:rsidR="00E25FAA">
          <w:rPr>
            <w:noProof/>
            <w:webHidden/>
          </w:rPr>
          <w:fldChar w:fldCharType="begin"/>
        </w:r>
        <w:r w:rsidR="00E25FAA">
          <w:rPr>
            <w:noProof/>
            <w:webHidden/>
          </w:rPr>
          <w:instrText xml:space="preserve"> PAGEREF _Toc103607809 \h </w:instrText>
        </w:r>
        <w:r w:rsidR="00E25FAA">
          <w:rPr>
            <w:noProof/>
            <w:webHidden/>
          </w:rPr>
        </w:r>
        <w:r w:rsidR="00E25FAA">
          <w:rPr>
            <w:noProof/>
            <w:webHidden/>
          </w:rPr>
          <w:fldChar w:fldCharType="separate"/>
        </w:r>
        <w:r w:rsidR="00E25FAA">
          <w:rPr>
            <w:noProof/>
            <w:webHidden/>
          </w:rPr>
          <w:t>92</w:t>
        </w:r>
        <w:r w:rsidR="00E25FAA">
          <w:rPr>
            <w:noProof/>
            <w:webHidden/>
          </w:rPr>
          <w:fldChar w:fldCharType="end"/>
        </w:r>
      </w:hyperlink>
    </w:p>
    <w:p w14:paraId="7236227E" w14:textId="47F55BAB" w:rsidR="00E25FAA" w:rsidRDefault="0087550A" w:rsidP="00E25FAA">
      <w:pPr>
        <w:pStyle w:val="TableofFigures"/>
        <w:ind w:right="-46"/>
        <w:rPr>
          <w:rFonts w:asciiTheme="minorHAnsi" w:eastAsiaTheme="minorEastAsia" w:hAnsiTheme="minorHAnsi" w:cstheme="minorBidi"/>
          <w:noProof/>
          <w:sz w:val="22"/>
          <w:szCs w:val="22"/>
        </w:rPr>
      </w:pPr>
      <w:hyperlink w:anchor="_Toc103607810" w:history="1">
        <w:r w:rsidR="00E25FAA" w:rsidRPr="000B401F">
          <w:rPr>
            <w:rStyle w:val="Hyperlink"/>
            <w:rFonts w:eastAsiaTheme="majorEastAsia"/>
            <w:noProof/>
          </w:rPr>
          <w:t>Chart 4.5 Gross premiums collected by insurance services providers, 2010-20</w:t>
        </w:r>
        <w:r w:rsidR="00E25FAA">
          <w:rPr>
            <w:noProof/>
            <w:webHidden/>
          </w:rPr>
          <w:tab/>
        </w:r>
        <w:r w:rsidR="00E25FAA">
          <w:rPr>
            <w:noProof/>
            <w:webHidden/>
          </w:rPr>
          <w:fldChar w:fldCharType="begin"/>
        </w:r>
        <w:r w:rsidR="00E25FAA">
          <w:rPr>
            <w:noProof/>
            <w:webHidden/>
          </w:rPr>
          <w:instrText xml:space="preserve"> PAGEREF _Toc103607810 \h </w:instrText>
        </w:r>
        <w:r w:rsidR="00E25FAA">
          <w:rPr>
            <w:noProof/>
            <w:webHidden/>
          </w:rPr>
        </w:r>
        <w:r w:rsidR="00E25FAA">
          <w:rPr>
            <w:noProof/>
            <w:webHidden/>
          </w:rPr>
          <w:fldChar w:fldCharType="separate"/>
        </w:r>
        <w:r w:rsidR="00E25FAA">
          <w:rPr>
            <w:noProof/>
            <w:webHidden/>
          </w:rPr>
          <w:t>101</w:t>
        </w:r>
        <w:r w:rsidR="00E25FAA">
          <w:rPr>
            <w:noProof/>
            <w:webHidden/>
          </w:rPr>
          <w:fldChar w:fldCharType="end"/>
        </w:r>
      </w:hyperlink>
    </w:p>
    <w:p w14:paraId="21D61EC2" w14:textId="6E5D7A42" w:rsidR="00E25FAA" w:rsidRDefault="0087550A" w:rsidP="00E25FAA">
      <w:pPr>
        <w:pStyle w:val="TableofFigures"/>
        <w:ind w:right="-46"/>
        <w:rPr>
          <w:rFonts w:asciiTheme="minorHAnsi" w:eastAsiaTheme="minorEastAsia" w:hAnsiTheme="minorHAnsi" w:cstheme="minorBidi"/>
          <w:noProof/>
          <w:sz w:val="22"/>
          <w:szCs w:val="22"/>
        </w:rPr>
      </w:pPr>
      <w:hyperlink w:anchor="_Toc103607811" w:history="1">
        <w:r w:rsidR="00E25FAA" w:rsidRPr="000B401F">
          <w:rPr>
            <w:rStyle w:val="Hyperlink"/>
            <w:rFonts w:eastAsiaTheme="majorEastAsia"/>
            <w:noProof/>
          </w:rPr>
          <w:t>Chart 4.6 Market capitalization on the GSE, 2007-21</w:t>
        </w:r>
        <w:r w:rsidR="00E25FAA">
          <w:rPr>
            <w:noProof/>
            <w:webHidden/>
          </w:rPr>
          <w:tab/>
        </w:r>
        <w:r w:rsidR="00E25FAA">
          <w:rPr>
            <w:noProof/>
            <w:webHidden/>
          </w:rPr>
          <w:fldChar w:fldCharType="begin"/>
        </w:r>
        <w:r w:rsidR="00E25FAA">
          <w:rPr>
            <w:noProof/>
            <w:webHidden/>
          </w:rPr>
          <w:instrText xml:space="preserve"> PAGEREF _Toc103607811 \h </w:instrText>
        </w:r>
        <w:r w:rsidR="00E25FAA">
          <w:rPr>
            <w:noProof/>
            <w:webHidden/>
          </w:rPr>
        </w:r>
        <w:r w:rsidR="00E25FAA">
          <w:rPr>
            <w:noProof/>
            <w:webHidden/>
          </w:rPr>
          <w:fldChar w:fldCharType="separate"/>
        </w:r>
        <w:r w:rsidR="00E25FAA">
          <w:rPr>
            <w:noProof/>
            <w:webHidden/>
          </w:rPr>
          <w:t>103</w:t>
        </w:r>
        <w:r w:rsidR="00E25FAA">
          <w:rPr>
            <w:noProof/>
            <w:webHidden/>
          </w:rPr>
          <w:fldChar w:fldCharType="end"/>
        </w:r>
      </w:hyperlink>
    </w:p>
    <w:p w14:paraId="35B40464" w14:textId="2E66AA01" w:rsidR="00C15F2E" w:rsidRPr="00D96063" w:rsidRDefault="00C15F2E" w:rsidP="004B63B1">
      <w:pPr>
        <w:pStyle w:val="TOC4"/>
      </w:pPr>
      <w:r w:rsidRPr="00D96063">
        <w:rPr>
          <w:b/>
          <w:bCs/>
        </w:rPr>
        <w:fldChar w:fldCharType="end"/>
      </w:r>
    </w:p>
    <w:p w14:paraId="56193DCE" w14:textId="77777777" w:rsidR="00C15F2E" w:rsidRPr="00D96063" w:rsidRDefault="00C15F2E" w:rsidP="00352F58">
      <w:pPr>
        <w:pStyle w:val="TOCHeading"/>
      </w:pPr>
      <w:r w:rsidRPr="00D96063">
        <w:t>TABLES</w:t>
      </w:r>
    </w:p>
    <w:p w14:paraId="2164DAA2" w14:textId="77777777" w:rsidR="00C15F2E" w:rsidRPr="00D96063" w:rsidRDefault="00C15F2E" w:rsidP="00352F58"/>
    <w:p w14:paraId="1D4CFB08" w14:textId="3F350A19" w:rsidR="00E25FAA" w:rsidRDefault="00C15F2E" w:rsidP="00E25FAA">
      <w:pPr>
        <w:pStyle w:val="TableofFigures"/>
        <w:ind w:right="-46"/>
        <w:rPr>
          <w:rFonts w:asciiTheme="minorHAnsi" w:eastAsiaTheme="minorEastAsia" w:hAnsiTheme="minorHAnsi" w:cstheme="minorBidi"/>
          <w:noProof/>
          <w:sz w:val="22"/>
          <w:szCs w:val="22"/>
        </w:rPr>
      </w:pPr>
      <w:r w:rsidRPr="00D96063">
        <w:fldChar w:fldCharType="begin"/>
      </w:r>
      <w:r w:rsidRPr="00D96063">
        <w:instrText xml:space="preserve"> TOC \h \z \c "Table" </w:instrText>
      </w:r>
      <w:r w:rsidRPr="00D96063">
        <w:fldChar w:fldCharType="separate"/>
      </w:r>
      <w:hyperlink w:anchor="_Toc103607876" w:history="1">
        <w:r w:rsidR="00E25FAA" w:rsidRPr="00001E36">
          <w:rPr>
            <w:rStyle w:val="Hyperlink"/>
            <w:rFonts w:eastAsiaTheme="majorEastAsia"/>
            <w:noProof/>
          </w:rPr>
          <w:t>Table 1.1 Selected macroeconomic indicators, 2014-20</w:t>
        </w:r>
        <w:r w:rsidR="00E25FAA">
          <w:rPr>
            <w:noProof/>
            <w:webHidden/>
          </w:rPr>
          <w:tab/>
        </w:r>
        <w:r w:rsidR="00E25FAA">
          <w:rPr>
            <w:noProof/>
            <w:webHidden/>
          </w:rPr>
          <w:fldChar w:fldCharType="begin"/>
        </w:r>
        <w:r w:rsidR="00E25FAA">
          <w:rPr>
            <w:noProof/>
            <w:webHidden/>
          </w:rPr>
          <w:instrText xml:space="preserve"> PAGEREF _Toc103607876 \h </w:instrText>
        </w:r>
        <w:r w:rsidR="00E25FAA">
          <w:rPr>
            <w:noProof/>
            <w:webHidden/>
          </w:rPr>
        </w:r>
        <w:r w:rsidR="00E25FAA">
          <w:rPr>
            <w:noProof/>
            <w:webHidden/>
          </w:rPr>
          <w:fldChar w:fldCharType="separate"/>
        </w:r>
        <w:r w:rsidR="00E25FAA">
          <w:rPr>
            <w:noProof/>
            <w:webHidden/>
          </w:rPr>
          <w:t>10</w:t>
        </w:r>
        <w:r w:rsidR="00E25FAA">
          <w:rPr>
            <w:noProof/>
            <w:webHidden/>
          </w:rPr>
          <w:fldChar w:fldCharType="end"/>
        </w:r>
      </w:hyperlink>
    </w:p>
    <w:p w14:paraId="2D47177B" w14:textId="7E8C755C" w:rsidR="00E25FAA" w:rsidRDefault="0087550A" w:rsidP="00E25FAA">
      <w:pPr>
        <w:pStyle w:val="TableofFigures"/>
        <w:ind w:right="-46"/>
        <w:rPr>
          <w:rFonts w:asciiTheme="minorHAnsi" w:eastAsiaTheme="minorEastAsia" w:hAnsiTheme="minorHAnsi" w:cstheme="minorBidi"/>
          <w:noProof/>
          <w:sz w:val="22"/>
          <w:szCs w:val="22"/>
        </w:rPr>
      </w:pPr>
      <w:hyperlink w:anchor="_Toc103607877" w:history="1">
        <w:r w:rsidR="00E25FAA" w:rsidRPr="00001E36">
          <w:rPr>
            <w:rStyle w:val="Hyperlink"/>
            <w:rFonts w:eastAsiaTheme="majorEastAsia"/>
            <w:noProof/>
          </w:rPr>
          <w:t>Table 1.2 Balance of payments, 2014-20</w:t>
        </w:r>
        <w:r w:rsidR="00E25FAA">
          <w:rPr>
            <w:noProof/>
            <w:webHidden/>
          </w:rPr>
          <w:tab/>
        </w:r>
        <w:r w:rsidR="00E25FAA">
          <w:rPr>
            <w:noProof/>
            <w:webHidden/>
          </w:rPr>
          <w:fldChar w:fldCharType="begin"/>
        </w:r>
        <w:r w:rsidR="00E25FAA">
          <w:rPr>
            <w:noProof/>
            <w:webHidden/>
          </w:rPr>
          <w:instrText xml:space="preserve"> PAGEREF _Toc103607877 \h </w:instrText>
        </w:r>
        <w:r w:rsidR="00E25FAA">
          <w:rPr>
            <w:noProof/>
            <w:webHidden/>
          </w:rPr>
        </w:r>
        <w:r w:rsidR="00E25FAA">
          <w:rPr>
            <w:noProof/>
            <w:webHidden/>
          </w:rPr>
          <w:fldChar w:fldCharType="separate"/>
        </w:r>
        <w:r w:rsidR="00E25FAA">
          <w:rPr>
            <w:noProof/>
            <w:webHidden/>
          </w:rPr>
          <w:t>15</w:t>
        </w:r>
        <w:r w:rsidR="00E25FAA">
          <w:rPr>
            <w:noProof/>
            <w:webHidden/>
          </w:rPr>
          <w:fldChar w:fldCharType="end"/>
        </w:r>
      </w:hyperlink>
    </w:p>
    <w:p w14:paraId="1B5C9EA8" w14:textId="74F77841" w:rsidR="00E25FAA" w:rsidRDefault="0087550A" w:rsidP="00E25FAA">
      <w:pPr>
        <w:pStyle w:val="TableofFigures"/>
        <w:ind w:right="-46"/>
        <w:rPr>
          <w:rFonts w:asciiTheme="minorHAnsi" w:eastAsiaTheme="minorEastAsia" w:hAnsiTheme="minorHAnsi" w:cstheme="minorBidi"/>
          <w:noProof/>
          <w:sz w:val="22"/>
          <w:szCs w:val="22"/>
        </w:rPr>
      </w:pPr>
      <w:hyperlink w:anchor="_Toc103607878" w:history="1">
        <w:r w:rsidR="00E25FAA" w:rsidRPr="00001E36">
          <w:rPr>
            <w:rStyle w:val="Hyperlink"/>
            <w:rFonts w:eastAsiaTheme="majorEastAsia"/>
            <w:noProof/>
          </w:rPr>
          <w:t>Table 2.1 Selected trade-related laws and regulations adopted since 2014</w:t>
        </w:r>
        <w:r w:rsidR="00E25FAA">
          <w:rPr>
            <w:noProof/>
            <w:webHidden/>
          </w:rPr>
          <w:tab/>
        </w:r>
        <w:r w:rsidR="00E25FAA">
          <w:rPr>
            <w:noProof/>
            <w:webHidden/>
          </w:rPr>
          <w:fldChar w:fldCharType="begin"/>
        </w:r>
        <w:r w:rsidR="00E25FAA">
          <w:rPr>
            <w:noProof/>
            <w:webHidden/>
          </w:rPr>
          <w:instrText xml:space="preserve"> PAGEREF _Toc103607878 \h </w:instrText>
        </w:r>
        <w:r w:rsidR="00E25FAA">
          <w:rPr>
            <w:noProof/>
            <w:webHidden/>
          </w:rPr>
        </w:r>
        <w:r w:rsidR="00E25FAA">
          <w:rPr>
            <w:noProof/>
            <w:webHidden/>
          </w:rPr>
          <w:fldChar w:fldCharType="separate"/>
        </w:r>
        <w:r w:rsidR="00E25FAA">
          <w:rPr>
            <w:noProof/>
            <w:webHidden/>
          </w:rPr>
          <w:t>21</w:t>
        </w:r>
        <w:r w:rsidR="00E25FAA">
          <w:rPr>
            <w:noProof/>
            <w:webHidden/>
          </w:rPr>
          <w:fldChar w:fldCharType="end"/>
        </w:r>
      </w:hyperlink>
    </w:p>
    <w:p w14:paraId="4B3F45C2" w14:textId="562440F9" w:rsidR="00E25FAA" w:rsidRDefault="0087550A" w:rsidP="00E25FAA">
      <w:pPr>
        <w:pStyle w:val="TableofFigures"/>
        <w:ind w:right="-46"/>
        <w:rPr>
          <w:rFonts w:asciiTheme="minorHAnsi" w:eastAsiaTheme="minorEastAsia" w:hAnsiTheme="minorHAnsi" w:cstheme="minorBidi"/>
          <w:noProof/>
          <w:sz w:val="22"/>
          <w:szCs w:val="22"/>
        </w:rPr>
      </w:pPr>
      <w:hyperlink w:anchor="_Toc103607879" w:history="1">
        <w:r w:rsidR="00E25FAA" w:rsidRPr="00001E36">
          <w:rPr>
            <w:rStyle w:val="Hyperlink"/>
            <w:rFonts w:eastAsiaTheme="majorEastAsia"/>
            <w:noProof/>
          </w:rPr>
          <w:t>Table 2.2 WTO notifications by Ghana, 2014-22 (31 March)</w:t>
        </w:r>
        <w:r w:rsidR="00E25FAA">
          <w:rPr>
            <w:noProof/>
            <w:webHidden/>
          </w:rPr>
          <w:tab/>
        </w:r>
        <w:r w:rsidR="00E25FAA">
          <w:rPr>
            <w:noProof/>
            <w:webHidden/>
          </w:rPr>
          <w:fldChar w:fldCharType="begin"/>
        </w:r>
        <w:r w:rsidR="00E25FAA">
          <w:rPr>
            <w:noProof/>
            <w:webHidden/>
          </w:rPr>
          <w:instrText xml:space="preserve"> PAGEREF _Toc103607879 \h </w:instrText>
        </w:r>
        <w:r w:rsidR="00E25FAA">
          <w:rPr>
            <w:noProof/>
            <w:webHidden/>
          </w:rPr>
        </w:r>
        <w:r w:rsidR="00E25FAA">
          <w:rPr>
            <w:noProof/>
            <w:webHidden/>
          </w:rPr>
          <w:fldChar w:fldCharType="separate"/>
        </w:r>
        <w:r w:rsidR="00E25FAA">
          <w:rPr>
            <w:noProof/>
            <w:webHidden/>
          </w:rPr>
          <w:t>22</w:t>
        </w:r>
        <w:r w:rsidR="00E25FAA">
          <w:rPr>
            <w:noProof/>
            <w:webHidden/>
          </w:rPr>
          <w:fldChar w:fldCharType="end"/>
        </w:r>
      </w:hyperlink>
    </w:p>
    <w:p w14:paraId="5563FC31" w14:textId="09F3F941" w:rsidR="00E25FAA" w:rsidRDefault="0087550A" w:rsidP="00E25FAA">
      <w:pPr>
        <w:pStyle w:val="TableofFigures"/>
        <w:ind w:right="-46"/>
        <w:rPr>
          <w:rFonts w:asciiTheme="minorHAnsi" w:eastAsiaTheme="minorEastAsia" w:hAnsiTheme="minorHAnsi" w:cstheme="minorBidi"/>
          <w:noProof/>
          <w:sz w:val="22"/>
          <w:szCs w:val="22"/>
        </w:rPr>
      </w:pPr>
      <w:hyperlink w:anchor="_Toc103607880" w:history="1">
        <w:r w:rsidR="00E25FAA" w:rsidRPr="00001E36">
          <w:rPr>
            <w:rStyle w:val="Hyperlink"/>
            <w:rFonts w:eastAsiaTheme="majorEastAsia"/>
            <w:noProof/>
          </w:rPr>
          <w:t>Table 2.3 Regional macroeconomic convergence criteria</w:t>
        </w:r>
        <w:r w:rsidR="00E25FAA">
          <w:rPr>
            <w:noProof/>
            <w:webHidden/>
          </w:rPr>
          <w:tab/>
        </w:r>
        <w:r w:rsidR="00E25FAA">
          <w:rPr>
            <w:noProof/>
            <w:webHidden/>
          </w:rPr>
          <w:fldChar w:fldCharType="begin"/>
        </w:r>
        <w:r w:rsidR="00E25FAA">
          <w:rPr>
            <w:noProof/>
            <w:webHidden/>
          </w:rPr>
          <w:instrText xml:space="preserve"> PAGEREF _Toc103607880 \h </w:instrText>
        </w:r>
        <w:r w:rsidR="00E25FAA">
          <w:rPr>
            <w:noProof/>
            <w:webHidden/>
          </w:rPr>
        </w:r>
        <w:r w:rsidR="00E25FAA">
          <w:rPr>
            <w:noProof/>
            <w:webHidden/>
          </w:rPr>
          <w:fldChar w:fldCharType="separate"/>
        </w:r>
        <w:r w:rsidR="00E25FAA">
          <w:rPr>
            <w:noProof/>
            <w:webHidden/>
          </w:rPr>
          <w:t>24</w:t>
        </w:r>
        <w:r w:rsidR="00E25FAA">
          <w:rPr>
            <w:noProof/>
            <w:webHidden/>
          </w:rPr>
          <w:fldChar w:fldCharType="end"/>
        </w:r>
      </w:hyperlink>
    </w:p>
    <w:p w14:paraId="77CEC009" w14:textId="61F2D362" w:rsidR="00E25FAA" w:rsidRDefault="0087550A" w:rsidP="00E25FAA">
      <w:pPr>
        <w:pStyle w:val="TableofFigures"/>
        <w:ind w:right="-46"/>
        <w:rPr>
          <w:rFonts w:asciiTheme="minorHAnsi" w:eastAsiaTheme="minorEastAsia" w:hAnsiTheme="minorHAnsi" w:cstheme="minorBidi"/>
          <w:noProof/>
          <w:sz w:val="22"/>
          <w:szCs w:val="22"/>
        </w:rPr>
      </w:pPr>
      <w:hyperlink w:anchor="_Toc103607881" w:history="1">
        <w:r w:rsidR="00E25FAA" w:rsidRPr="00001E36">
          <w:rPr>
            <w:rStyle w:val="Hyperlink"/>
            <w:rFonts w:eastAsiaTheme="majorEastAsia"/>
            <w:noProof/>
          </w:rPr>
          <w:t>Table 2.4 Minimum foreign investment requirements, 2022</w:t>
        </w:r>
        <w:r w:rsidR="00E25FAA">
          <w:rPr>
            <w:noProof/>
            <w:webHidden/>
          </w:rPr>
          <w:tab/>
        </w:r>
        <w:r w:rsidR="00E25FAA">
          <w:rPr>
            <w:noProof/>
            <w:webHidden/>
          </w:rPr>
          <w:fldChar w:fldCharType="begin"/>
        </w:r>
        <w:r w:rsidR="00E25FAA">
          <w:rPr>
            <w:noProof/>
            <w:webHidden/>
          </w:rPr>
          <w:instrText xml:space="preserve"> PAGEREF _Toc103607881 \h </w:instrText>
        </w:r>
        <w:r w:rsidR="00E25FAA">
          <w:rPr>
            <w:noProof/>
            <w:webHidden/>
          </w:rPr>
        </w:r>
        <w:r w:rsidR="00E25FAA">
          <w:rPr>
            <w:noProof/>
            <w:webHidden/>
          </w:rPr>
          <w:fldChar w:fldCharType="separate"/>
        </w:r>
        <w:r w:rsidR="00E25FAA">
          <w:rPr>
            <w:noProof/>
            <w:webHidden/>
          </w:rPr>
          <w:t>27</w:t>
        </w:r>
        <w:r w:rsidR="00E25FAA">
          <w:rPr>
            <w:noProof/>
            <w:webHidden/>
          </w:rPr>
          <w:fldChar w:fldCharType="end"/>
        </w:r>
      </w:hyperlink>
    </w:p>
    <w:p w14:paraId="51AA0A1C" w14:textId="24F9F47B" w:rsidR="00E25FAA" w:rsidRDefault="0087550A" w:rsidP="00E25FAA">
      <w:pPr>
        <w:pStyle w:val="TableofFigures"/>
        <w:ind w:right="-46"/>
        <w:rPr>
          <w:rFonts w:asciiTheme="minorHAnsi" w:eastAsiaTheme="minorEastAsia" w:hAnsiTheme="minorHAnsi" w:cstheme="minorBidi"/>
          <w:noProof/>
          <w:sz w:val="22"/>
          <w:szCs w:val="22"/>
        </w:rPr>
      </w:pPr>
      <w:hyperlink w:anchor="_Toc103607882" w:history="1">
        <w:r w:rsidR="00E25FAA" w:rsidRPr="00001E36">
          <w:rPr>
            <w:rStyle w:val="Hyperlink"/>
            <w:rFonts w:eastAsiaTheme="majorEastAsia"/>
            <w:noProof/>
          </w:rPr>
          <w:t>Table 3.1 Notification status of TFA measures, March 2022</w:t>
        </w:r>
        <w:r w:rsidR="00E25FAA">
          <w:rPr>
            <w:noProof/>
            <w:webHidden/>
          </w:rPr>
          <w:tab/>
        </w:r>
        <w:r w:rsidR="00E25FAA">
          <w:rPr>
            <w:noProof/>
            <w:webHidden/>
          </w:rPr>
          <w:fldChar w:fldCharType="begin"/>
        </w:r>
        <w:r w:rsidR="00E25FAA">
          <w:rPr>
            <w:noProof/>
            <w:webHidden/>
          </w:rPr>
          <w:instrText xml:space="preserve"> PAGEREF _Toc103607882 \h </w:instrText>
        </w:r>
        <w:r w:rsidR="00E25FAA">
          <w:rPr>
            <w:noProof/>
            <w:webHidden/>
          </w:rPr>
        </w:r>
        <w:r w:rsidR="00E25FAA">
          <w:rPr>
            <w:noProof/>
            <w:webHidden/>
          </w:rPr>
          <w:fldChar w:fldCharType="separate"/>
        </w:r>
        <w:r w:rsidR="00E25FAA">
          <w:rPr>
            <w:noProof/>
            <w:webHidden/>
          </w:rPr>
          <w:t>29</w:t>
        </w:r>
        <w:r w:rsidR="00E25FAA">
          <w:rPr>
            <w:noProof/>
            <w:webHidden/>
          </w:rPr>
          <w:fldChar w:fldCharType="end"/>
        </w:r>
      </w:hyperlink>
    </w:p>
    <w:p w14:paraId="0352C34B" w14:textId="401B283B" w:rsidR="00E25FAA" w:rsidRDefault="0087550A" w:rsidP="00E25FAA">
      <w:pPr>
        <w:pStyle w:val="TableofFigures"/>
        <w:ind w:right="-46"/>
        <w:rPr>
          <w:rFonts w:asciiTheme="minorHAnsi" w:eastAsiaTheme="minorEastAsia" w:hAnsiTheme="minorHAnsi" w:cstheme="minorBidi"/>
          <w:noProof/>
          <w:sz w:val="22"/>
          <w:szCs w:val="22"/>
        </w:rPr>
      </w:pPr>
      <w:hyperlink w:anchor="_Toc103607883" w:history="1">
        <w:r w:rsidR="00E25FAA" w:rsidRPr="00001E36">
          <w:rPr>
            <w:rStyle w:val="Hyperlink"/>
            <w:rFonts w:eastAsiaTheme="majorEastAsia"/>
            <w:noProof/>
          </w:rPr>
          <w:t>Table 3.2 Fiscal revenue, 2014-20</w:t>
        </w:r>
        <w:r w:rsidR="00E25FAA">
          <w:rPr>
            <w:noProof/>
            <w:webHidden/>
          </w:rPr>
          <w:tab/>
        </w:r>
        <w:r w:rsidR="00E25FAA">
          <w:rPr>
            <w:noProof/>
            <w:webHidden/>
          </w:rPr>
          <w:fldChar w:fldCharType="begin"/>
        </w:r>
        <w:r w:rsidR="00E25FAA">
          <w:rPr>
            <w:noProof/>
            <w:webHidden/>
          </w:rPr>
          <w:instrText xml:space="preserve"> PAGEREF _Toc103607883 \h </w:instrText>
        </w:r>
        <w:r w:rsidR="00E25FAA">
          <w:rPr>
            <w:noProof/>
            <w:webHidden/>
          </w:rPr>
        </w:r>
        <w:r w:rsidR="00E25FAA">
          <w:rPr>
            <w:noProof/>
            <w:webHidden/>
          </w:rPr>
          <w:fldChar w:fldCharType="separate"/>
        </w:r>
        <w:r w:rsidR="00E25FAA">
          <w:rPr>
            <w:noProof/>
            <w:webHidden/>
          </w:rPr>
          <w:t>33</w:t>
        </w:r>
        <w:r w:rsidR="00E25FAA">
          <w:rPr>
            <w:noProof/>
            <w:webHidden/>
          </w:rPr>
          <w:fldChar w:fldCharType="end"/>
        </w:r>
      </w:hyperlink>
    </w:p>
    <w:p w14:paraId="191AD609" w14:textId="1784FEB8" w:rsidR="00E25FAA" w:rsidRDefault="0087550A" w:rsidP="00E25FAA">
      <w:pPr>
        <w:pStyle w:val="TableofFigures"/>
        <w:ind w:right="-46"/>
        <w:rPr>
          <w:rFonts w:asciiTheme="minorHAnsi" w:eastAsiaTheme="minorEastAsia" w:hAnsiTheme="minorHAnsi" w:cstheme="minorBidi"/>
          <w:noProof/>
          <w:sz w:val="22"/>
          <w:szCs w:val="22"/>
        </w:rPr>
      </w:pPr>
      <w:hyperlink w:anchor="_Toc103607884" w:history="1">
        <w:r w:rsidR="00E25FAA" w:rsidRPr="00001E36">
          <w:rPr>
            <w:rStyle w:val="Hyperlink"/>
            <w:rFonts w:eastAsiaTheme="majorEastAsia"/>
            <w:noProof/>
          </w:rPr>
          <w:t>Table 3.3 Structure of MFN tariffs, 2013 and 2022</w:t>
        </w:r>
        <w:r w:rsidR="00E25FAA">
          <w:rPr>
            <w:noProof/>
            <w:webHidden/>
          </w:rPr>
          <w:tab/>
        </w:r>
        <w:r w:rsidR="00E25FAA">
          <w:rPr>
            <w:noProof/>
            <w:webHidden/>
          </w:rPr>
          <w:fldChar w:fldCharType="begin"/>
        </w:r>
        <w:r w:rsidR="00E25FAA">
          <w:rPr>
            <w:noProof/>
            <w:webHidden/>
          </w:rPr>
          <w:instrText xml:space="preserve"> PAGEREF _Toc103607884 \h </w:instrText>
        </w:r>
        <w:r w:rsidR="00E25FAA">
          <w:rPr>
            <w:noProof/>
            <w:webHidden/>
          </w:rPr>
        </w:r>
        <w:r w:rsidR="00E25FAA">
          <w:rPr>
            <w:noProof/>
            <w:webHidden/>
          </w:rPr>
          <w:fldChar w:fldCharType="separate"/>
        </w:r>
        <w:r w:rsidR="00E25FAA">
          <w:rPr>
            <w:noProof/>
            <w:webHidden/>
          </w:rPr>
          <w:t>34</w:t>
        </w:r>
        <w:r w:rsidR="00E25FAA">
          <w:rPr>
            <w:noProof/>
            <w:webHidden/>
          </w:rPr>
          <w:fldChar w:fldCharType="end"/>
        </w:r>
      </w:hyperlink>
    </w:p>
    <w:p w14:paraId="3591DD2E" w14:textId="6D928B9D" w:rsidR="00E25FAA" w:rsidRDefault="0087550A" w:rsidP="00E25FAA">
      <w:pPr>
        <w:pStyle w:val="TableofFigures"/>
        <w:ind w:right="-46"/>
        <w:rPr>
          <w:rFonts w:asciiTheme="minorHAnsi" w:eastAsiaTheme="minorEastAsia" w:hAnsiTheme="minorHAnsi" w:cstheme="minorBidi"/>
          <w:noProof/>
          <w:sz w:val="22"/>
          <w:szCs w:val="22"/>
        </w:rPr>
      </w:pPr>
      <w:hyperlink w:anchor="_Toc103607885" w:history="1">
        <w:r w:rsidR="00E25FAA" w:rsidRPr="00001E36">
          <w:rPr>
            <w:rStyle w:val="Hyperlink"/>
            <w:rFonts w:eastAsiaTheme="majorEastAsia"/>
            <w:noProof/>
          </w:rPr>
          <w:t>Table 3.4 Comparative analysis of Ghana's applied MFN tariff, 2007, 2013, and 2022</w:t>
        </w:r>
        <w:r w:rsidR="00E25FAA">
          <w:rPr>
            <w:noProof/>
            <w:webHidden/>
          </w:rPr>
          <w:tab/>
        </w:r>
        <w:r w:rsidR="00E25FAA">
          <w:rPr>
            <w:noProof/>
            <w:webHidden/>
          </w:rPr>
          <w:fldChar w:fldCharType="begin"/>
        </w:r>
        <w:r w:rsidR="00E25FAA">
          <w:rPr>
            <w:noProof/>
            <w:webHidden/>
          </w:rPr>
          <w:instrText xml:space="preserve"> PAGEREF _Toc103607885 \h </w:instrText>
        </w:r>
        <w:r w:rsidR="00E25FAA">
          <w:rPr>
            <w:noProof/>
            <w:webHidden/>
          </w:rPr>
        </w:r>
        <w:r w:rsidR="00E25FAA">
          <w:rPr>
            <w:noProof/>
            <w:webHidden/>
          </w:rPr>
          <w:fldChar w:fldCharType="separate"/>
        </w:r>
        <w:r w:rsidR="00E25FAA">
          <w:rPr>
            <w:noProof/>
            <w:webHidden/>
          </w:rPr>
          <w:t>35</w:t>
        </w:r>
        <w:r w:rsidR="00E25FAA">
          <w:rPr>
            <w:noProof/>
            <w:webHidden/>
          </w:rPr>
          <w:fldChar w:fldCharType="end"/>
        </w:r>
      </w:hyperlink>
    </w:p>
    <w:p w14:paraId="37DF0A40" w14:textId="7CAE0B9F" w:rsidR="00E25FAA" w:rsidRDefault="0087550A" w:rsidP="00E25FAA">
      <w:pPr>
        <w:pStyle w:val="TableofFigures"/>
        <w:ind w:right="-46"/>
        <w:rPr>
          <w:rFonts w:asciiTheme="minorHAnsi" w:eastAsiaTheme="minorEastAsia" w:hAnsiTheme="minorHAnsi" w:cstheme="minorBidi"/>
          <w:noProof/>
          <w:sz w:val="22"/>
          <w:szCs w:val="22"/>
        </w:rPr>
      </w:pPr>
      <w:hyperlink w:anchor="_Toc103607886" w:history="1">
        <w:r w:rsidR="00E25FAA" w:rsidRPr="00001E36">
          <w:rPr>
            <w:rStyle w:val="Hyperlink"/>
            <w:rFonts w:eastAsiaTheme="majorEastAsia"/>
            <w:noProof/>
          </w:rPr>
          <w:t>Table 3.5 Tariff exemption schemes, 2022</w:t>
        </w:r>
        <w:r w:rsidR="00E25FAA">
          <w:rPr>
            <w:noProof/>
            <w:webHidden/>
          </w:rPr>
          <w:tab/>
        </w:r>
        <w:r w:rsidR="00E25FAA">
          <w:rPr>
            <w:noProof/>
            <w:webHidden/>
          </w:rPr>
          <w:fldChar w:fldCharType="begin"/>
        </w:r>
        <w:r w:rsidR="00E25FAA">
          <w:rPr>
            <w:noProof/>
            <w:webHidden/>
          </w:rPr>
          <w:instrText xml:space="preserve"> PAGEREF _Toc103607886 \h </w:instrText>
        </w:r>
        <w:r w:rsidR="00E25FAA">
          <w:rPr>
            <w:noProof/>
            <w:webHidden/>
          </w:rPr>
        </w:r>
        <w:r w:rsidR="00E25FAA">
          <w:rPr>
            <w:noProof/>
            <w:webHidden/>
          </w:rPr>
          <w:fldChar w:fldCharType="separate"/>
        </w:r>
        <w:r w:rsidR="00E25FAA">
          <w:rPr>
            <w:noProof/>
            <w:webHidden/>
          </w:rPr>
          <w:t>37</w:t>
        </w:r>
        <w:r w:rsidR="00E25FAA">
          <w:rPr>
            <w:noProof/>
            <w:webHidden/>
          </w:rPr>
          <w:fldChar w:fldCharType="end"/>
        </w:r>
      </w:hyperlink>
    </w:p>
    <w:p w14:paraId="0298F93E" w14:textId="4D953654" w:rsidR="00E25FAA" w:rsidRDefault="0087550A" w:rsidP="00E25FAA">
      <w:pPr>
        <w:pStyle w:val="TableofFigures"/>
        <w:ind w:right="-46"/>
        <w:rPr>
          <w:rFonts w:asciiTheme="minorHAnsi" w:eastAsiaTheme="minorEastAsia" w:hAnsiTheme="minorHAnsi" w:cstheme="minorBidi"/>
          <w:noProof/>
          <w:sz w:val="22"/>
          <w:szCs w:val="22"/>
        </w:rPr>
      </w:pPr>
      <w:hyperlink w:anchor="_Toc103607887" w:history="1">
        <w:r w:rsidR="00E25FAA" w:rsidRPr="00001E36">
          <w:rPr>
            <w:rStyle w:val="Hyperlink"/>
            <w:rFonts w:eastAsiaTheme="majorEastAsia"/>
            <w:noProof/>
          </w:rPr>
          <w:t>Table 3.6 Excise duties, 2022</w:t>
        </w:r>
        <w:r w:rsidR="00E25FAA">
          <w:rPr>
            <w:noProof/>
            <w:webHidden/>
          </w:rPr>
          <w:tab/>
        </w:r>
        <w:r w:rsidR="00E25FAA">
          <w:rPr>
            <w:noProof/>
            <w:webHidden/>
          </w:rPr>
          <w:fldChar w:fldCharType="begin"/>
        </w:r>
        <w:r w:rsidR="00E25FAA">
          <w:rPr>
            <w:noProof/>
            <w:webHidden/>
          </w:rPr>
          <w:instrText xml:space="preserve"> PAGEREF _Toc103607887 \h </w:instrText>
        </w:r>
        <w:r w:rsidR="00E25FAA">
          <w:rPr>
            <w:noProof/>
            <w:webHidden/>
          </w:rPr>
        </w:r>
        <w:r w:rsidR="00E25FAA">
          <w:rPr>
            <w:noProof/>
            <w:webHidden/>
          </w:rPr>
          <w:fldChar w:fldCharType="separate"/>
        </w:r>
        <w:r w:rsidR="00E25FAA">
          <w:rPr>
            <w:noProof/>
            <w:webHidden/>
          </w:rPr>
          <w:t>39</w:t>
        </w:r>
        <w:r w:rsidR="00E25FAA">
          <w:rPr>
            <w:noProof/>
            <w:webHidden/>
          </w:rPr>
          <w:fldChar w:fldCharType="end"/>
        </w:r>
      </w:hyperlink>
    </w:p>
    <w:p w14:paraId="419E77A5" w14:textId="3F6A4C24" w:rsidR="00E25FAA" w:rsidRDefault="0087550A" w:rsidP="00E25FAA">
      <w:pPr>
        <w:pStyle w:val="TableofFigures"/>
        <w:ind w:right="-46"/>
        <w:rPr>
          <w:rFonts w:asciiTheme="minorHAnsi" w:eastAsiaTheme="minorEastAsia" w:hAnsiTheme="minorHAnsi" w:cstheme="minorBidi"/>
          <w:noProof/>
          <w:sz w:val="22"/>
          <w:szCs w:val="22"/>
        </w:rPr>
      </w:pPr>
      <w:hyperlink w:anchor="_Toc103607888" w:history="1">
        <w:r w:rsidR="00E25FAA" w:rsidRPr="00001E36">
          <w:rPr>
            <w:rStyle w:val="Hyperlink"/>
            <w:rFonts w:eastAsiaTheme="majorEastAsia"/>
            <w:noProof/>
          </w:rPr>
          <w:t>Table 3.7 Taxes, levies, and charges applied to imported goods</w:t>
        </w:r>
        <w:r w:rsidR="00E25FAA">
          <w:rPr>
            <w:noProof/>
            <w:webHidden/>
          </w:rPr>
          <w:tab/>
        </w:r>
        <w:r w:rsidR="00E25FAA">
          <w:rPr>
            <w:noProof/>
            <w:webHidden/>
          </w:rPr>
          <w:fldChar w:fldCharType="begin"/>
        </w:r>
        <w:r w:rsidR="00E25FAA">
          <w:rPr>
            <w:noProof/>
            <w:webHidden/>
          </w:rPr>
          <w:instrText xml:space="preserve"> PAGEREF _Toc103607888 \h </w:instrText>
        </w:r>
        <w:r w:rsidR="00E25FAA">
          <w:rPr>
            <w:noProof/>
            <w:webHidden/>
          </w:rPr>
        </w:r>
        <w:r w:rsidR="00E25FAA">
          <w:rPr>
            <w:noProof/>
            <w:webHidden/>
          </w:rPr>
          <w:fldChar w:fldCharType="separate"/>
        </w:r>
        <w:r w:rsidR="00E25FAA">
          <w:rPr>
            <w:noProof/>
            <w:webHidden/>
          </w:rPr>
          <w:t>39</w:t>
        </w:r>
        <w:r w:rsidR="00E25FAA">
          <w:rPr>
            <w:noProof/>
            <w:webHidden/>
          </w:rPr>
          <w:fldChar w:fldCharType="end"/>
        </w:r>
      </w:hyperlink>
    </w:p>
    <w:p w14:paraId="7760D0A7" w14:textId="01CD6450" w:rsidR="00E25FAA" w:rsidRDefault="0087550A" w:rsidP="00E25FAA">
      <w:pPr>
        <w:pStyle w:val="TableofFigures"/>
        <w:ind w:right="-46"/>
        <w:rPr>
          <w:rFonts w:asciiTheme="minorHAnsi" w:eastAsiaTheme="minorEastAsia" w:hAnsiTheme="minorHAnsi" w:cstheme="minorBidi"/>
          <w:noProof/>
          <w:sz w:val="22"/>
          <w:szCs w:val="22"/>
        </w:rPr>
      </w:pPr>
      <w:hyperlink w:anchor="_Toc103607889" w:history="1">
        <w:r w:rsidR="00E25FAA" w:rsidRPr="00001E36">
          <w:rPr>
            <w:rStyle w:val="Hyperlink"/>
            <w:rFonts w:eastAsiaTheme="majorEastAsia"/>
            <w:noProof/>
          </w:rPr>
          <w:t>Table 3.8 Ghana's Export Procedures, 2022</w:t>
        </w:r>
        <w:r w:rsidR="00E25FAA">
          <w:rPr>
            <w:noProof/>
            <w:webHidden/>
          </w:rPr>
          <w:tab/>
        </w:r>
        <w:r w:rsidR="00E25FAA">
          <w:rPr>
            <w:noProof/>
            <w:webHidden/>
          </w:rPr>
          <w:fldChar w:fldCharType="begin"/>
        </w:r>
        <w:r w:rsidR="00E25FAA">
          <w:rPr>
            <w:noProof/>
            <w:webHidden/>
          </w:rPr>
          <w:instrText xml:space="preserve"> PAGEREF _Toc103607889 \h </w:instrText>
        </w:r>
        <w:r w:rsidR="00E25FAA">
          <w:rPr>
            <w:noProof/>
            <w:webHidden/>
          </w:rPr>
        </w:r>
        <w:r w:rsidR="00E25FAA">
          <w:rPr>
            <w:noProof/>
            <w:webHidden/>
          </w:rPr>
          <w:fldChar w:fldCharType="separate"/>
        </w:r>
        <w:r w:rsidR="00E25FAA">
          <w:rPr>
            <w:noProof/>
            <w:webHidden/>
          </w:rPr>
          <w:t>45</w:t>
        </w:r>
        <w:r w:rsidR="00E25FAA">
          <w:rPr>
            <w:noProof/>
            <w:webHidden/>
          </w:rPr>
          <w:fldChar w:fldCharType="end"/>
        </w:r>
      </w:hyperlink>
    </w:p>
    <w:p w14:paraId="58319419" w14:textId="594ED293" w:rsidR="00E25FAA" w:rsidRDefault="0087550A" w:rsidP="00E25FAA">
      <w:pPr>
        <w:pStyle w:val="TableofFigures"/>
        <w:ind w:right="-46"/>
        <w:rPr>
          <w:rFonts w:asciiTheme="minorHAnsi" w:eastAsiaTheme="minorEastAsia" w:hAnsiTheme="minorHAnsi" w:cstheme="minorBidi"/>
          <w:noProof/>
          <w:sz w:val="22"/>
          <w:szCs w:val="22"/>
        </w:rPr>
      </w:pPr>
      <w:hyperlink w:anchor="_Toc103607890" w:history="1">
        <w:r w:rsidR="00E25FAA" w:rsidRPr="00001E36">
          <w:rPr>
            <w:rStyle w:val="Hyperlink"/>
            <w:rFonts w:eastAsiaTheme="majorEastAsia"/>
            <w:noProof/>
          </w:rPr>
          <w:t>Table 3.9 Export permits</w:t>
        </w:r>
        <w:r w:rsidR="00E25FAA">
          <w:rPr>
            <w:noProof/>
            <w:webHidden/>
          </w:rPr>
          <w:tab/>
        </w:r>
        <w:r w:rsidR="00E25FAA">
          <w:rPr>
            <w:noProof/>
            <w:webHidden/>
          </w:rPr>
          <w:fldChar w:fldCharType="begin"/>
        </w:r>
        <w:r w:rsidR="00E25FAA">
          <w:rPr>
            <w:noProof/>
            <w:webHidden/>
          </w:rPr>
          <w:instrText xml:space="preserve"> PAGEREF _Toc103607890 \h </w:instrText>
        </w:r>
        <w:r w:rsidR="00E25FAA">
          <w:rPr>
            <w:noProof/>
            <w:webHidden/>
          </w:rPr>
        </w:r>
        <w:r w:rsidR="00E25FAA">
          <w:rPr>
            <w:noProof/>
            <w:webHidden/>
          </w:rPr>
          <w:fldChar w:fldCharType="separate"/>
        </w:r>
        <w:r w:rsidR="00E25FAA">
          <w:rPr>
            <w:noProof/>
            <w:webHidden/>
          </w:rPr>
          <w:t>46</w:t>
        </w:r>
        <w:r w:rsidR="00E25FAA">
          <w:rPr>
            <w:noProof/>
            <w:webHidden/>
          </w:rPr>
          <w:fldChar w:fldCharType="end"/>
        </w:r>
      </w:hyperlink>
    </w:p>
    <w:p w14:paraId="010B5F9F" w14:textId="1BCCCBA2" w:rsidR="00E25FAA" w:rsidRDefault="0087550A" w:rsidP="00E25FAA">
      <w:pPr>
        <w:pStyle w:val="TableofFigures"/>
        <w:ind w:right="-46"/>
        <w:rPr>
          <w:rFonts w:asciiTheme="minorHAnsi" w:eastAsiaTheme="minorEastAsia" w:hAnsiTheme="minorHAnsi" w:cstheme="minorBidi"/>
          <w:noProof/>
          <w:sz w:val="22"/>
          <w:szCs w:val="22"/>
        </w:rPr>
      </w:pPr>
      <w:hyperlink w:anchor="_Toc103607891" w:history="1">
        <w:r w:rsidR="00E25FAA" w:rsidRPr="00001E36">
          <w:rPr>
            <w:rStyle w:val="Hyperlink"/>
            <w:rFonts w:eastAsiaTheme="majorEastAsia"/>
            <w:noProof/>
          </w:rPr>
          <w:t>Table 3.10 Selected tax incentives, 2022</w:t>
        </w:r>
        <w:r w:rsidR="00E25FAA">
          <w:rPr>
            <w:noProof/>
            <w:webHidden/>
          </w:rPr>
          <w:tab/>
        </w:r>
        <w:r w:rsidR="00E25FAA">
          <w:rPr>
            <w:noProof/>
            <w:webHidden/>
          </w:rPr>
          <w:fldChar w:fldCharType="begin"/>
        </w:r>
        <w:r w:rsidR="00E25FAA">
          <w:rPr>
            <w:noProof/>
            <w:webHidden/>
          </w:rPr>
          <w:instrText xml:space="preserve"> PAGEREF _Toc103607891 \h </w:instrText>
        </w:r>
        <w:r w:rsidR="00E25FAA">
          <w:rPr>
            <w:noProof/>
            <w:webHidden/>
          </w:rPr>
        </w:r>
        <w:r w:rsidR="00E25FAA">
          <w:rPr>
            <w:noProof/>
            <w:webHidden/>
          </w:rPr>
          <w:fldChar w:fldCharType="separate"/>
        </w:r>
        <w:r w:rsidR="00E25FAA">
          <w:rPr>
            <w:noProof/>
            <w:webHidden/>
          </w:rPr>
          <w:t>50</w:t>
        </w:r>
        <w:r w:rsidR="00E25FAA">
          <w:rPr>
            <w:noProof/>
            <w:webHidden/>
          </w:rPr>
          <w:fldChar w:fldCharType="end"/>
        </w:r>
      </w:hyperlink>
    </w:p>
    <w:p w14:paraId="2C6016C1" w14:textId="37936A09" w:rsidR="00E25FAA" w:rsidRDefault="0087550A" w:rsidP="00E25FAA">
      <w:pPr>
        <w:pStyle w:val="TableofFigures"/>
        <w:ind w:right="-46"/>
        <w:rPr>
          <w:rFonts w:asciiTheme="minorHAnsi" w:eastAsiaTheme="minorEastAsia" w:hAnsiTheme="minorHAnsi" w:cstheme="minorBidi"/>
          <w:noProof/>
          <w:sz w:val="22"/>
          <w:szCs w:val="22"/>
        </w:rPr>
      </w:pPr>
      <w:hyperlink w:anchor="_Toc103607892" w:history="1">
        <w:r w:rsidR="00E25FAA" w:rsidRPr="00001E36">
          <w:rPr>
            <w:rStyle w:val="Hyperlink"/>
            <w:rFonts w:eastAsiaTheme="majorEastAsia"/>
            <w:noProof/>
          </w:rPr>
          <w:t>Table 3.11 Imports subject to prior authorization or conformity assessment procedures</w:t>
        </w:r>
        <w:r w:rsidR="00E25FAA">
          <w:rPr>
            <w:noProof/>
            <w:webHidden/>
          </w:rPr>
          <w:tab/>
        </w:r>
        <w:r w:rsidR="00E25FAA">
          <w:rPr>
            <w:noProof/>
            <w:webHidden/>
          </w:rPr>
          <w:fldChar w:fldCharType="begin"/>
        </w:r>
        <w:r w:rsidR="00E25FAA">
          <w:rPr>
            <w:noProof/>
            <w:webHidden/>
          </w:rPr>
          <w:instrText xml:space="preserve"> PAGEREF _Toc103607892 \h </w:instrText>
        </w:r>
        <w:r w:rsidR="00E25FAA">
          <w:rPr>
            <w:noProof/>
            <w:webHidden/>
          </w:rPr>
        </w:r>
        <w:r w:rsidR="00E25FAA">
          <w:rPr>
            <w:noProof/>
            <w:webHidden/>
          </w:rPr>
          <w:fldChar w:fldCharType="separate"/>
        </w:r>
        <w:r w:rsidR="00E25FAA">
          <w:rPr>
            <w:noProof/>
            <w:webHidden/>
          </w:rPr>
          <w:t>52</w:t>
        </w:r>
        <w:r w:rsidR="00E25FAA">
          <w:rPr>
            <w:noProof/>
            <w:webHidden/>
          </w:rPr>
          <w:fldChar w:fldCharType="end"/>
        </w:r>
      </w:hyperlink>
    </w:p>
    <w:p w14:paraId="7D55A23B" w14:textId="35689A31" w:rsidR="00E25FAA" w:rsidRDefault="0087550A" w:rsidP="00E25FAA">
      <w:pPr>
        <w:pStyle w:val="TableofFigures"/>
        <w:ind w:right="-46"/>
        <w:rPr>
          <w:rFonts w:asciiTheme="minorHAnsi" w:eastAsiaTheme="minorEastAsia" w:hAnsiTheme="minorHAnsi" w:cstheme="minorBidi"/>
          <w:noProof/>
          <w:sz w:val="22"/>
          <w:szCs w:val="22"/>
        </w:rPr>
      </w:pPr>
      <w:hyperlink w:anchor="_Toc103607893" w:history="1">
        <w:r w:rsidR="00E25FAA" w:rsidRPr="00001E36">
          <w:rPr>
            <w:rStyle w:val="Hyperlink"/>
            <w:rFonts w:eastAsiaTheme="majorEastAsia"/>
            <w:noProof/>
          </w:rPr>
          <w:t>Table 3.12 Selected SOEs, statutory corporations, and agencies, 2019</w:t>
        </w:r>
        <w:r w:rsidR="00E25FAA">
          <w:rPr>
            <w:noProof/>
            <w:webHidden/>
          </w:rPr>
          <w:tab/>
        </w:r>
        <w:r w:rsidR="00E25FAA">
          <w:rPr>
            <w:noProof/>
            <w:webHidden/>
          </w:rPr>
          <w:fldChar w:fldCharType="begin"/>
        </w:r>
        <w:r w:rsidR="00E25FAA">
          <w:rPr>
            <w:noProof/>
            <w:webHidden/>
          </w:rPr>
          <w:instrText xml:space="preserve"> PAGEREF _Toc103607893 \h </w:instrText>
        </w:r>
        <w:r w:rsidR="00E25FAA">
          <w:rPr>
            <w:noProof/>
            <w:webHidden/>
          </w:rPr>
        </w:r>
        <w:r w:rsidR="00E25FAA">
          <w:rPr>
            <w:noProof/>
            <w:webHidden/>
          </w:rPr>
          <w:fldChar w:fldCharType="separate"/>
        </w:r>
        <w:r w:rsidR="00E25FAA">
          <w:rPr>
            <w:noProof/>
            <w:webHidden/>
          </w:rPr>
          <w:t>56</w:t>
        </w:r>
        <w:r w:rsidR="00E25FAA">
          <w:rPr>
            <w:noProof/>
            <w:webHidden/>
          </w:rPr>
          <w:fldChar w:fldCharType="end"/>
        </w:r>
      </w:hyperlink>
    </w:p>
    <w:p w14:paraId="593DBF02" w14:textId="2525221D" w:rsidR="00E25FAA" w:rsidRDefault="0087550A" w:rsidP="00E25FAA">
      <w:pPr>
        <w:pStyle w:val="TableofFigures"/>
        <w:ind w:right="-46"/>
        <w:rPr>
          <w:rFonts w:asciiTheme="minorHAnsi" w:eastAsiaTheme="minorEastAsia" w:hAnsiTheme="minorHAnsi" w:cstheme="minorBidi"/>
          <w:noProof/>
          <w:sz w:val="22"/>
          <w:szCs w:val="22"/>
        </w:rPr>
      </w:pPr>
      <w:hyperlink w:anchor="_Toc103607894" w:history="1">
        <w:r w:rsidR="00E25FAA" w:rsidRPr="00001E36">
          <w:rPr>
            <w:rStyle w:val="Hyperlink"/>
            <w:rFonts w:eastAsiaTheme="majorEastAsia"/>
            <w:noProof/>
          </w:rPr>
          <w:t>Table 3.13 Government procurement by type of procurement method, 2011-19</w:t>
        </w:r>
        <w:r w:rsidR="00E25FAA">
          <w:rPr>
            <w:noProof/>
            <w:webHidden/>
          </w:rPr>
          <w:tab/>
        </w:r>
        <w:r w:rsidR="00E25FAA">
          <w:rPr>
            <w:noProof/>
            <w:webHidden/>
          </w:rPr>
          <w:fldChar w:fldCharType="begin"/>
        </w:r>
        <w:r w:rsidR="00E25FAA">
          <w:rPr>
            <w:noProof/>
            <w:webHidden/>
          </w:rPr>
          <w:instrText xml:space="preserve"> PAGEREF _Toc103607894 \h </w:instrText>
        </w:r>
        <w:r w:rsidR="00E25FAA">
          <w:rPr>
            <w:noProof/>
            <w:webHidden/>
          </w:rPr>
        </w:r>
        <w:r w:rsidR="00E25FAA">
          <w:rPr>
            <w:noProof/>
            <w:webHidden/>
          </w:rPr>
          <w:fldChar w:fldCharType="separate"/>
        </w:r>
        <w:r w:rsidR="00E25FAA">
          <w:rPr>
            <w:noProof/>
            <w:webHidden/>
          </w:rPr>
          <w:t>57</w:t>
        </w:r>
        <w:r w:rsidR="00E25FAA">
          <w:rPr>
            <w:noProof/>
            <w:webHidden/>
          </w:rPr>
          <w:fldChar w:fldCharType="end"/>
        </w:r>
      </w:hyperlink>
    </w:p>
    <w:p w14:paraId="30D5A4D7" w14:textId="05FEA8C6" w:rsidR="00E25FAA" w:rsidRDefault="0087550A" w:rsidP="00E25FAA">
      <w:pPr>
        <w:pStyle w:val="TableofFigures"/>
        <w:ind w:right="-46"/>
        <w:rPr>
          <w:rFonts w:asciiTheme="minorHAnsi" w:eastAsiaTheme="minorEastAsia" w:hAnsiTheme="minorHAnsi" w:cstheme="minorBidi"/>
          <w:noProof/>
          <w:sz w:val="22"/>
          <w:szCs w:val="22"/>
        </w:rPr>
      </w:pPr>
      <w:hyperlink w:anchor="_Toc103607895" w:history="1">
        <w:r w:rsidR="00E25FAA" w:rsidRPr="00001E36">
          <w:rPr>
            <w:rStyle w:val="Hyperlink"/>
            <w:rFonts w:eastAsiaTheme="majorEastAsia"/>
            <w:noProof/>
          </w:rPr>
          <w:t>Table 3.14 Membership in IPR treaties, 2022</w:t>
        </w:r>
        <w:r w:rsidR="00E25FAA">
          <w:rPr>
            <w:noProof/>
            <w:webHidden/>
          </w:rPr>
          <w:tab/>
        </w:r>
        <w:r w:rsidR="00E25FAA">
          <w:rPr>
            <w:noProof/>
            <w:webHidden/>
          </w:rPr>
          <w:fldChar w:fldCharType="begin"/>
        </w:r>
        <w:r w:rsidR="00E25FAA">
          <w:rPr>
            <w:noProof/>
            <w:webHidden/>
          </w:rPr>
          <w:instrText xml:space="preserve"> PAGEREF _Toc103607895 \h </w:instrText>
        </w:r>
        <w:r w:rsidR="00E25FAA">
          <w:rPr>
            <w:noProof/>
            <w:webHidden/>
          </w:rPr>
        </w:r>
        <w:r w:rsidR="00E25FAA">
          <w:rPr>
            <w:noProof/>
            <w:webHidden/>
          </w:rPr>
          <w:fldChar w:fldCharType="separate"/>
        </w:r>
        <w:r w:rsidR="00E25FAA">
          <w:rPr>
            <w:noProof/>
            <w:webHidden/>
          </w:rPr>
          <w:t>60</w:t>
        </w:r>
        <w:r w:rsidR="00E25FAA">
          <w:rPr>
            <w:noProof/>
            <w:webHidden/>
          </w:rPr>
          <w:fldChar w:fldCharType="end"/>
        </w:r>
      </w:hyperlink>
    </w:p>
    <w:p w14:paraId="0F21A247" w14:textId="7F1FCF2D" w:rsidR="00E25FAA" w:rsidRDefault="0087550A" w:rsidP="00E25FAA">
      <w:pPr>
        <w:pStyle w:val="TableofFigures"/>
        <w:ind w:right="-46"/>
        <w:rPr>
          <w:rFonts w:asciiTheme="minorHAnsi" w:eastAsiaTheme="minorEastAsia" w:hAnsiTheme="minorHAnsi" w:cstheme="minorBidi"/>
          <w:noProof/>
          <w:sz w:val="22"/>
          <w:szCs w:val="22"/>
        </w:rPr>
      </w:pPr>
      <w:hyperlink w:anchor="_Toc103607896" w:history="1">
        <w:r w:rsidR="00E25FAA" w:rsidRPr="00001E36">
          <w:rPr>
            <w:rStyle w:val="Hyperlink"/>
            <w:rFonts w:eastAsiaTheme="majorEastAsia"/>
            <w:noProof/>
          </w:rPr>
          <w:t>Table 3.15 Overview of IPR protection, 2022</w:t>
        </w:r>
        <w:r w:rsidR="00E25FAA">
          <w:rPr>
            <w:noProof/>
            <w:webHidden/>
          </w:rPr>
          <w:tab/>
        </w:r>
        <w:r w:rsidR="00E25FAA">
          <w:rPr>
            <w:noProof/>
            <w:webHidden/>
          </w:rPr>
          <w:fldChar w:fldCharType="begin"/>
        </w:r>
        <w:r w:rsidR="00E25FAA">
          <w:rPr>
            <w:noProof/>
            <w:webHidden/>
          </w:rPr>
          <w:instrText xml:space="preserve"> PAGEREF _Toc103607896 \h </w:instrText>
        </w:r>
        <w:r w:rsidR="00E25FAA">
          <w:rPr>
            <w:noProof/>
            <w:webHidden/>
          </w:rPr>
        </w:r>
        <w:r w:rsidR="00E25FAA">
          <w:rPr>
            <w:noProof/>
            <w:webHidden/>
          </w:rPr>
          <w:fldChar w:fldCharType="separate"/>
        </w:r>
        <w:r w:rsidR="00E25FAA">
          <w:rPr>
            <w:noProof/>
            <w:webHidden/>
          </w:rPr>
          <w:t>62</w:t>
        </w:r>
        <w:r w:rsidR="00E25FAA">
          <w:rPr>
            <w:noProof/>
            <w:webHidden/>
          </w:rPr>
          <w:fldChar w:fldCharType="end"/>
        </w:r>
      </w:hyperlink>
    </w:p>
    <w:p w14:paraId="185B2CED" w14:textId="7075FD84" w:rsidR="00E25FAA" w:rsidRDefault="0087550A" w:rsidP="00E25FAA">
      <w:pPr>
        <w:pStyle w:val="TableofFigures"/>
        <w:ind w:right="-46"/>
        <w:rPr>
          <w:rFonts w:asciiTheme="minorHAnsi" w:eastAsiaTheme="minorEastAsia" w:hAnsiTheme="minorHAnsi" w:cstheme="minorBidi"/>
          <w:noProof/>
          <w:sz w:val="22"/>
          <w:szCs w:val="22"/>
        </w:rPr>
      </w:pPr>
      <w:hyperlink w:anchor="_Toc103607897" w:history="1">
        <w:r w:rsidR="00E25FAA" w:rsidRPr="00001E36">
          <w:rPr>
            <w:rStyle w:val="Hyperlink"/>
            <w:rFonts w:eastAsiaTheme="majorEastAsia"/>
            <w:noProof/>
          </w:rPr>
          <w:t>Table 4.1 Production of the main agricultural crops, 2014-20</w:t>
        </w:r>
        <w:r w:rsidR="00E25FAA">
          <w:rPr>
            <w:noProof/>
            <w:webHidden/>
          </w:rPr>
          <w:tab/>
        </w:r>
        <w:r w:rsidR="00E25FAA">
          <w:rPr>
            <w:noProof/>
            <w:webHidden/>
          </w:rPr>
          <w:fldChar w:fldCharType="begin"/>
        </w:r>
        <w:r w:rsidR="00E25FAA">
          <w:rPr>
            <w:noProof/>
            <w:webHidden/>
          </w:rPr>
          <w:instrText xml:space="preserve"> PAGEREF _Toc103607897 \h </w:instrText>
        </w:r>
        <w:r w:rsidR="00E25FAA">
          <w:rPr>
            <w:noProof/>
            <w:webHidden/>
          </w:rPr>
        </w:r>
        <w:r w:rsidR="00E25FAA">
          <w:rPr>
            <w:noProof/>
            <w:webHidden/>
          </w:rPr>
          <w:fldChar w:fldCharType="separate"/>
        </w:r>
        <w:r w:rsidR="00E25FAA">
          <w:rPr>
            <w:noProof/>
            <w:webHidden/>
          </w:rPr>
          <w:t>65</w:t>
        </w:r>
        <w:r w:rsidR="00E25FAA">
          <w:rPr>
            <w:noProof/>
            <w:webHidden/>
          </w:rPr>
          <w:fldChar w:fldCharType="end"/>
        </w:r>
      </w:hyperlink>
    </w:p>
    <w:p w14:paraId="7CD73D3C" w14:textId="092B68AD" w:rsidR="00E25FAA" w:rsidRDefault="0087550A" w:rsidP="00E25FAA">
      <w:pPr>
        <w:pStyle w:val="TableofFigures"/>
        <w:ind w:right="-46"/>
        <w:rPr>
          <w:rFonts w:asciiTheme="minorHAnsi" w:eastAsiaTheme="minorEastAsia" w:hAnsiTheme="minorHAnsi" w:cstheme="minorBidi"/>
          <w:noProof/>
          <w:sz w:val="22"/>
          <w:szCs w:val="22"/>
        </w:rPr>
      </w:pPr>
      <w:hyperlink w:anchor="_Toc103607898" w:history="1">
        <w:r w:rsidR="00E25FAA" w:rsidRPr="00001E36">
          <w:rPr>
            <w:rStyle w:val="Hyperlink"/>
            <w:rFonts w:eastAsiaTheme="majorEastAsia"/>
            <w:noProof/>
          </w:rPr>
          <w:t>Table 4.2 Deliveries of subsidized fertilizers and seeds, 2016-20</w:t>
        </w:r>
        <w:r w:rsidR="00E25FAA">
          <w:rPr>
            <w:noProof/>
            <w:webHidden/>
          </w:rPr>
          <w:tab/>
        </w:r>
        <w:r w:rsidR="00E25FAA">
          <w:rPr>
            <w:noProof/>
            <w:webHidden/>
          </w:rPr>
          <w:fldChar w:fldCharType="begin"/>
        </w:r>
        <w:r w:rsidR="00E25FAA">
          <w:rPr>
            <w:noProof/>
            <w:webHidden/>
          </w:rPr>
          <w:instrText xml:space="preserve"> PAGEREF _Toc103607898 \h </w:instrText>
        </w:r>
        <w:r w:rsidR="00E25FAA">
          <w:rPr>
            <w:noProof/>
            <w:webHidden/>
          </w:rPr>
        </w:r>
        <w:r w:rsidR="00E25FAA">
          <w:rPr>
            <w:noProof/>
            <w:webHidden/>
          </w:rPr>
          <w:fldChar w:fldCharType="separate"/>
        </w:r>
        <w:r w:rsidR="00E25FAA">
          <w:rPr>
            <w:noProof/>
            <w:webHidden/>
          </w:rPr>
          <w:t>67</w:t>
        </w:r>
        <w:r w:rsidR="00E25FAA">
          <w:rPr>
            <w:noProof/>
            <w:webHidden/>
          </w:rPr>
          <w:fldChar w:fldCharType="end"/>
        </w:r>
      </w:hyperlink>
    </w:p>
    <w:p w14:paraId="68552F64" w14:textId="62EDE770" w:rsidR="00E25FAA" w:rsidRDefault="0087550A" w:rsidP="00E25FAA">
      <w:pPr>
        <w:pStyle w:val="TableofFigures"/>
        <w:ind w:right="-46"/>
        <w:rPr>
          <w:rFonts w:asciiTheme="minorHAnsi" w:eastAsiaTheme="minorEastAsia" w:hAnsiTheme="minorHAnsi" w:cstheme="minorBidi"/>
          <w:noProof/>
          <w:sz w:val="22"/>
          <w:szCs w:val="22"/>
        </w:rPr>
      </w:pPr>
      <w:hyperlink w:anchor="_Toc103607899" w:history="1">
        <w:r w:rsidR="00E25FAA" w:rsidRPr="00001E36">
          <w:rPr>
            <w:rStyle w:val="Hyperlink"/>
            <w:rFonts w:eastAsiaTheme="majorEastAsia"/>
            <w:noProof/>
          </w:rPr>
          <w:t>Table 4.3 Market interventions by the National Food and Buffer Stock Company, 2019-20</w:t>
        </w:r>
        <w:r w:rsidR="00E25FAA">
          <w:rPr>
            <w:noProof/>
            <w:webHidden/>
          </w:rPr>
          <w:tab/>
        </w:r>
        <w:r w:rsidR="00E25FAA">
          <w:rPr>
            <w:noProof/>
            <w:webHidden/>
          </w:rPr>
          <w:fldChar w:fldCharType="begin"/>
        </w:r>
        <w:r w:rsidR="00E25FAA">
          <w:rPr>
            <w:noProof/>
            <w:webHidden/>
          </w:rPr>
          <w:instrText xml:space="preserve"> PAGEREF _Toc103607899 \h </w:instrText>
        </w:r>
        <w:r w:rsidR="00E25FAA">
          <w:rPr>
            <w:noProof/>
            <w:webHidden/>
          </w:rPr>
        </w:r>
        <w:r w:rsidR="00E25FAA">
          <w:rPr>
            <w:noProof/>
            <w:webHidden/>
          </w:rPr>
          <w:fldChar w:fldCharType="separate"/>
        </w:r>
        <w:r w:rsidR="00E25FAA">
          <w:rPr>
            <w:noProof/>
            <w:webHidden/>
          </w:rPr>
          <w:t>68</w:t>
        </w:r>
        <w:r w:rsidR="00E25FAA">
          <w:rPr>
            <w:noProof/>
            <w:webHidden/>
          </w:rPr>
          <w:fldChar w:fldCharType="end"/>
        </w:r>
      </w:hyperlink>
    </w:p>
    <w:p w14:paraId="2707EE44" w14:textId="5FE23323" w:rsidR="00E25FAA" w:rsidRDefault="0087550A" w:rsidP="00E25FAA">
      <w:pPr>
        <w:pStyle w:val="TableofFigures"/>
        <w:ind w:right="-46"/>
        <w:rPr>
          <w:rFonts w:asciiTheme="minorHAnsi" w:eastAsiaTheme="minorEastAsia" w:hAnsiTheme="minorHAnsi" w:cstheme="minorBidi"/>
          <w:noProof/>
          <w:sz w:val="22"/>
          <w:szCs w:val="22"/>
        </w:rPr>
      </w:pPr>
      <w:hyperlink w:anchor="_Toc103607900" w:history="1">
        <w:r w:rsidR="00E25FAA" w:rsidRPr="00001E36">
          <w:rPr>
            <w:rStyle w:val="Hyperlink"/>
            <w:rFonts w:eastAsiaTheme="majorEastAsia"/>
            <w:noProof/>
          </w:rPr>
          <w:t>Table 4.4 Production and exports of cocoa beans, 2014-21</w:t>
        </w:r>
        <w:r w:rsidR="00E25FAA">
          <w:rPr>
            <w:noProof/>
            <w:webHidden/>
          </w:rPr>
          <w:tab/>
        </w:r>
        <w:r w:rsidR="00E25FAA">
          <w:rPr>
            <w:noProof/>
            <w:webHidden/>
          </w:rPr>
          <w:fldChar w:fldCharType="begin"/>
        </w:r>
        <w:r w:rsidR="00E25FAA">
          <w:rPr>
            <w:noProof/>
            <w:webHidden/>
          </w:rPr>
          <w:instrText xml:space="preserve"> PAGEREF _Toc103607900 \h </w:instrText>
        </w:r>
        <w:r w:rsidR="00E25FAA">
          <w:rPr>
            <w:noProof/>
            <w:webHidden/>
          </w:rPr>
        </w:r>
        <w:r w:rsidR="00E25FAA">
          <w:rPr>
            <w:noProof/>
            <w:webHidden/>
          </w:rPr>
          <w:fldChar w:fldCharType="separate"/>
        </w:r>
        <w:r w:rsidR="00E25FAA">
          <w:rPr>
            <w:noProof/>
            <w:webHidden/>
          </w:rPr>
          <w:t>70</w:t>
        </w:r>
        <w:r w:rsidR="00E25FAA">
          <w:rPr>
            <w:noProof/>
            <w:webHidden/>
          </w:rPr>
          <w:fldChar w:fldCharType="end"/>
        </w:r>
      </w:hyperlink>
    </w:p>
    <w:p w14:paraId="764C5F7F" w14:textId="02766F5B" w:rsidR="00E25FAA" w:rsidRDefault="0087550A" w:rsidP="00E25FAA">
      <w:pPr>
        <w:pStyle w:val="TableofFigures"/>
        <w:ind w:right="-46"/>
        <w:rPr>
          <w:rFonts w:asciiTheme="minorHAnsi" w:eastAsiaTheme="minorEastAsia" w:hAnsiTheme="minorHAnsi" w:cstheme="minorBidi"/>
          <w:noProof/>
          <w:sz w:val="22"/>
          <w:szCs w:val="22"/>
        </w:rPr>
      </w:pPr>
      <w:hyperlink w:anchor="_Toc103607901" w:history="1">
        <w:r w:rsidR="00E25FAA" w:rsidRPr="00001E36">
          <w:rPr>
            <w:rStyle w:val="Hyperlink"/>
            <w:rFonts w:eastAsiaTheme="majorEastAsia"/>
            <w:noProof/>
          </w:rPr>
          <w:t>Table 4.5 Timber production and trade, 2014-20</w:t>
        </w:r>
        <w:r w:rsidR="00E25FAA">
          <w:rPr>
            <w:noProof/>
            <w:webHidden/>
          </w:rPr>
          <w:tab/>
        </w:r>
        <w:r w:rsidR="00E25FAA">
          <w:rPr>
            <w:noProof/>
            <w:webHidden/>
          </w:rPr>
          <w:fldChar w:fldCharType="begin"/>
        </w:r>
        <w:r w:rsidR="00E25FAA">
          <w:rPr>
            <w:noProof/>
            <w:webHidden/>
          </w:rPr>
          <w:instrText xml:space="preserve"> PAGEREF _Toc103607901 \h </w:instrText>
        </w:r>
        <w:r w:rsidR="00E25FAA">
          <w:rPr>
            <w:noProof/>
            <w:webHidden/>
          </w:rPr>
        </w:r>
        <w:r w:rsidR="00E25FAA">
          <w:rPr>
            <w:noProof/>
            <w:webHidden/>
          </w:rPr>
          <w:fldChar w:fldCharType="separate"/>
        </w:r>
        <w:r w:rsidR="00E25FAA">
          <w:rPr>
            <w:noProof/>
            <w:webHidden/>
          </w:rPr>
          <w:t>71</w:t>
        </w:r>
        <w:r w:rsidR="00E25FAA">
          <w:rPr>
            <w:noProof/>
            <w:webHidden/>
          </w:rPr>
          <w:fldChar w:fldCharType="end"/>
        </w:r>
      </w:hyperlink>
    </w:p>
    <w:p w14:paraId="6AF87F33" w14:textId="67928CF1" w:rsidR="00E25FAA" w:rsidRDefault="0087550A" w:rsidP="00E25FAA">
      <w:pPr>
        <w:pStyle w:val="TableofFigures"/>
        <w:ind w:right="-46"/>
        <w:rPr>
          <w:rFonts w:asciiTheme="minorHAnsi" w:eastAsiaTheme="minorEastAsia" w:hAnsiTheme="minorHAnsi" w:cstheme="minorBidi"/>
          <w:noProof/>
          <w:sz w:val="22"/>
          <w:szCs w:val="22"/>
        </w:rPr>
      </w:pPr>
      <w:hyperlink w:anchor="_Toc103607902" w:history="1">
        <w:r w:rsidR="00E25FAA" w:rsidRPr="00001E36">
          <w:rPr>
            <w:rStyle w:val="Hyperlink"/>
            <w:rFonts w:eastAsiaTheme="majorEastAsia"/>
            <w:noProof/>
          </w:rPr>
          <w:t>Table 4.6 Ghana's fishing fleet, 2014-20</w:t>
        </w:r>
        <w:r w:rsidR="00E25FAA">
          <w:rPr>
            <w:noProof/>
            <w:webHidden/>
          </w:rPr>
          <w:tab/>
        </w:r>
        <w:r w:rsidR="00E25FAA">
          <w:rPr>
            <w:noProof/>
            <w:webHidden/>
          </w:rPr>
          <w:fldChar w:fldCharType="begin"/>
        </w:r>
        <w:r w:rsidR="00E25FAA">
          <w:rPr>
            <w:noProof/>
            <w:webHidden/>
          </w:rPr>
          <w:instrText xml:space="preserve"> PAGEREF _Toc103607902 \h </w:instrText>
        </w:r>
        <w:r w:rsidR="00E25FAA">
          <w:rPr>
            <w:noProof/>
            <w:webHidden/>
          </w:rPr>
        </w:r>
        <w:r w:rsidR="00E25FAA">
          <w:rPr>
            <w:noProof/>
            <w:webHidden/>
          </w:rPr>
          <w:fldChar w:fldCharType="separate"/>
        </w:r>
        <w:r w:rsidR="00E25FAA">
          <w:rPr>
            <w:noProof/>
            <w:webHidden/>
          </w:rPr>
          <w:t>75</w:t>
        </w:r>
        <w:r w:rsidR="00E25FAA">
          <w:rPr>
            <w:noProof/>
            <w:webHidden/>
          </w:rPr>
          <w:fldChar w:fldCharType="end"/>
        </w:r>
      </w:hyperlink>
    </w:p>
    <w:p w14:paraId="5A34AF4D" w14:textId="593CEFF6" w:rsidR="00E25FAA" w:rsidRDefault="0087550A" w:rsidP="00E25FAA">
      <w:pPr>
        <w:pStyle w:val="TableofFigures"/>
        <w:ind w:right="-46"/>
        <w:rPr>
          <w:rFonts w:asciiTheme="minorHAnsi" w:eastAsiaTheme="minorEastAsia" w:hAnsiTheme="minorHAnsi" w:cstheme="minorBidi"/>
          <w:noProof/>
          <w:sz w:val="22"/>
          <w:szCs w:val="22"/>
        </w:rPr>
      </w:pPr>
      <w:hyperlink w:anchor="_Toc103607903" w:history="1">
        <w:r w:rsidR="00E25FAA" w:rsidRPr="00001E36">
          <w:rPr>
            <w:rStyle w:val="Hyperlink"/>
            <w:rFonts w:eastAsiaTheme="majorEastAsia"/>
            <w:noProof/>
          </w:rPr>
          <w:t>Table 4.7 Royalty regime in the oil and gas sectors, 2022</w:t>
        </w:r>
        <w:r w:rsidR="00E25FAA">
          <w:rPr>
            <w:noProof/>
            <w:webHidden/>
          </w:rPr>
          <w:tab/>
        </w:r>
        <w:r w:rsidR="00E25FAA">
          <w:rPr>
            <w:noProof/>
            <w:webHidden/>
          </w:rPr>
          <w:fldChar w:fldCharType="begin"/>
        </w:r>
        <w:r w:rsidR="00E25FAA">
          <w:rPr>
            <w:noProof/>
            <w:webHidden/>
          </w:rPr>
          <w:instrText xml:space="preserve"> PAGEREF _Toc103607903 \h </w:instrText>
        </w:r>
        <w:r w:rsidR="00E25FAA">
          <w:rPr>
            <w:noProof/>
            <w:webHidden/>
          </w:rPr>
        </w:r>
        <w:r w:rsidR="00E25FAA">
          <w:rPr>
            <w:noProof/>
            <w:webHidden/>
          </w:rPr>
          <w:fldChar w:fldCharType="separate"/>
        </w:r>
        <w:r w:rsidR="00E25FAA">
          <w:rPr>
            <w:noProof/>
            <w:webHidden/>
          </w:rPr>
          <w:t>77</w:t>
        </w:r>
        <w:r w:rsidR="00E25FAA">
          <w:rPr>
            <w:noProof/>
            <w:webHidden/>
          </w:rPr>
          <w:fldChar w:fldCharType="end"/>
        </w:r>
      </w:hyperlink>
    </w:p>
    <w:p w14:paraId="32360CD7" w14:textId="4426ACCD" w:rsidR="00E25FAA" w:rsidRDefault="0087550A" w:rsidP="00E25FAA">
      <w:pPr>
        <w:pStyle w:val="TableofFigures"/>
        <w:ind w:right="-46"/>
        <w:rPr>
          <w:rFonts w:asciiTheme="minorHAnsi" w:eastAsiaTheme="minorEastAsia" w:hAnsiTheme="minorHAnsi" w:cstheme="minorBidi"/>
          <w:noProof/>
          <w:sz w:val="22"/>
          <w:szCs w:val="22"/>
        </w:rPr>
      </w:pPr>
      <w:hyperlink w:anchor="_Toc103607904" w:history="1">
        <w:r w:rsidR="00E25FAA" w:rsidRPr="00001E36">
          <w:rPr>
            <w:rStyle w:val="Hyperlink"/>
            <w:rFonts w:eastAsiaTheme="majorEastAsia"/>
            <w:noProof/>
          </w:rPr>
          <w:t>Table 4.8 Distribution of oil export proceeds, 2018-21</w:t>
        </w:r>
        <w:r w:rsidR="00E25FAA">
          <w:rPr>
            <w:noProof/>
            <w:webHidden/>
          </w:rPr>
          <w:tab/>
        </w:r>
        <w:r w:rsidR="00E25FAA">
          <w:rPr>
            <w:noProof/>
            <w:webHidden/>
          </w:rPr>
          <w:fldChar w:fldCharType="begin"/>
        </w:r>
        <w:r w:rsidR="00E25FAA">
          <w:rPr>
            <w:noProof/>
            <w:webHidden/>
          </w:rPr>
          <w:instrText xml:space="preserve"> PAGEREF _Toc103607904 \h </w:instrText>
        </w:r>
        <w:r w:rsidR="00E25FAA">
          <w:rPr>
            <w:noProof/>
            <w:webHidden/>
          </w:rPr>
        </w:r>
        <w:r w:rsidR="00E25FAA">
          <w:rPr>
            <w:noProof/>
            <w:webHidden/>
          </w:rPr>
          <w:fldChar w:fldCharType="separate"/>
        </w:r>
        <w:r w:rsidR="00E25FAA">
          <w:rPr>
            <w:noProof/>
            <w:webHidden/>
          </w:rPr>
          <w:t>78</w:t>
        </w:r>
        <w:r w:rsidR="00E25FAA">
          <w:rPr>
            <w:noProof/>
            <w:webHidden/>
          </w:rPr>
          <w:fldChar w:fldCharType="end"/>
        </w:r>
      </w:hyperlink>
    </w:p>
    <w:p w14:paraId="5E977536" w14:textId="66B68EBC" w:rsidR="00E25FAA" w:rsidRDefault="0087550A" w:rsidP="00E25FAA">
      <w:pPr>
        <w:pStyle w:val="TableofFigures"/>
        <w:ind w:right="-46"/>
        <w:rPr>
          <w:rFonts w:asciiTheme="minorHAnsi" w:eastAsiaTheme="minorEastAsia" w:hAnsiTheme="minorHAnsi" w:cstheme="minorBidi"/>
          <w:noProof/>
          <w:sz w:val="22"/>
          <w:szCs w:val="22"/>
        </w:rPr>
      </w:pPr>
      <w:hyperlink w:anchor="_Toc103607905" w:history="1">
        <w:r w:rsidR="00E25FAA" w:rsidRPr="00001E36">
          <w:rPr>
            <w:rStyle w:val="Hyperlink"/>
            <w:rFonts w:eastAsiaTheme="majorEastAsia"/>
            <w:noProof/>
          </w:rPr>
          <w:t>Table 4.9 Natural gas production and imports, 2014-20</w:t>
        </w:r>
        <w:r w:rsidR="00E25FAA">
          <w:rPr>
            <w:noProof/>
            <w:webHidden/>
          </w:rPr>
          <w:tab/>
        </w:r>
        <w:r w:rsidR="00E25FAA">
          <w:rPr>
            <w:noProof/>
            <w:webHidden/>
          </w:rPr>
          <w:fldChar w:fldCharType="begin"/>
        </w:r>
        <w:r w:rsidR="00E25FAA">
          <w:rPr>
            <w:noProof/>
            <w:webHidden/>
          </w:rPr>
          <w:instrText xml:space="preserve"> PAGEREF _Toc103607905 \h </w:instrText>
        </w:r>
        <w:r w:rsidR="00E25FAA">
          <w:rPr>
            <w:noProof/>
            <w:webHidden/>
          </w:rPr>
        </w:r>
        <w:r w:rsidR="00E25FAA">
          <w:rPr>
            <w:noProof/>
            <w:webHidden/>
          </w:rPr>
          <w:fldChar w:fldCharType="separate"/>
        </w:r>
        <w:r w:rsidR="00E25FAA">
          <w:rPr>
            <w:noProof/>
            <w:webHidden/>
          </w:rPr>
          <w:t>79</w:t>
        </w:r>
        <w:r w:rsidR="00E25FAA">
          <w:rPr>
            <w:noProof/>
            <w:webHidden/>
          </w:rPr>
          <w:fldChar w:fldCharType="end"/>
        </w:r>
      </w:hyperlink>
    </w:p>
    <w:p w14:paraId="7378820A" w14:textId="5CADE0D4" w:rsidR="00E25FAA" w:rsidRDefault="0087550A" w:rsidP="00E25FAA">
      <w:pPr>
        <w:pStyle w:val="TableofFigures"/>
        <w:ind w:right="-46"/>
        <w:rPr>
          <w:rFonts w:asciiTheme="minorHAnsi" w:eastAsiaTheme="minorEastAsia" w:hAnsiTheme="minorHAnsi" w:cstheme="minorBidi"/>
          <w:noProof/>
          <w:sz w:val="22"/>
          <w:szCs w:val="22"/>
        </w:rPr>
      </w:pPr>
      <w:hyperlink w:anchor="_Toc103607906" w:history="1">
        <w:r w:rsidR="00E25FAA" w:rsidRPr="00001E36">
          <w:rPr>
            <w:rStyle w:val="Hyperlink"/>
            <w:rFonts w:eastAsiaTheme="majorEastAsia"/>
            <w:noProof/>
          </w:rPr>
          <w:t>Table 4.10 Electricity generation capacity, 2014-20</w:t>
        </w:r>
        <w:r w:rsidR="00E25FAA">
          <w:rPr>
            <w:noProof/>
            <w:webHidden/>
          </w:rPr>
          <w:tab/>
        </w:r>
        <w:r w:rsidR="00E25FAA">
          <w:rPr>
            <w:noProof/>
            <w:webHidden/>
          </w:rPr>
          <w:fldChar w:fldCharType="begin"/>
        </w:r>
        <w:r w:rsidR="00E25FAA">
          <w:rPr>
            <w:noProof/>
            <w:webHidden/>
          </w:rPr>
          <w:instrText xml:space="preserve"> PAGEREF _Toc103607906 \h </w:instrText>
        </w:r>
        <w:r w:rsidR="00E25FAA">
          <w:rPr>
            <w:noProof/>
            <w:webHidden/>
          </w:rPr>
        </w:r>
        <w:r w:rsidR="00E25FAA">
          <w:rPr>
            <w:noProof/>
            <w:webHidden/>
          </w:rPr>
          <w:fldChar w:fldCharType="separate"/>
        </w:r>
        <w:r w:rsidR="00E25FAA">
          <w:rPr>
            <w:noProof/>
            <w:webHidden/>
          </w:rPr>
          <w:t>80</w:t>
        </w:r>
        <w:r w:rsidR="00E25FAA">
          <w:rPr>
            <w:noProof/>
            <w:webHidden/>
          </w:rPr>
          <w:fldChar w:fldCharType="end"/>
        </w:r>
      </w:hyperlink>
    </w:p>
    <w:p w14:paraId="7121A946" w14:textId="747B138A" w:rsidR="00E25FAA" w:rsidRDefault="0087550A" w:rsidP="00E25FAA">
      <w:pPr>
        <w:pStyle w:val="TableofFigures"/>
        <w:ind w:right="-46"/>
        <w:rPr>
          <w:rFonts w:asciiTheme="minorHAnsi" w:eastAsiaTheme="minorEastAsia" w:hAnsiTheme="minorHAnsi" w:cstheme="minorBidi"/>
          <w:noProof/>
          <w:sz w:val="22"/>
          <w:szCs w:val="22"/>
        </w:rPr>
      </w:pPr>
      <w:hyperlink w:anchor="_Toc103607907" w:history="1">
        <w:r w:rsidR="00E25FAA" w:rsidRPr="00001E36">
          <w:rPr>
            <w:rStyle w:val="Hyperlink"/>
            <w:rFonts w:eastAsiaTheme="majorEastAsia"/>
            <w:noProof/>
          </w:rPr>
          <w:t>Table 4.11 Electricity generation and trade, 2014-20</w:t>
        </w:r>
        <w:r w:rsidR="00E25FAA">
          <w:rPr>
            <w:noProof/>
            <w:webHidden/>
          </w:rPr>
          <w:tab/>
        </w:r>
        <w:r w:rsidR="00E25FAA">
          <w:rPr>
            <w:noProof/>
            <w:webHidden/>
          </w:rPr>
          <w:fldChar w:fldCharType="begin"/>
        </w:r>
        <w:r w:rsidR="00E25FAA">
          <w:rPr>
            <w:noProof/>
            <w:webHidden/>
          </w:rPr>
          <w:instrText xml:space="preserve"> PAGEREF _Toc103607907 \h </w:instrText>
        </w:r>
        <w:r w:rsidR="00E25FAA">
          <w:rPr>
            <w:noProof/>
            <w:webHidden/>
          </w:rPr>
        </w:r>
        <w:r w:rsidR="00E25FAA">
          <w:rPr>
            <w:noProof/>
            <w:webHidden/>
          </w:rPr>
          <w:fldChar w:fldCharType="separate"/>
        </w:r>
        <w:r w:rsidR="00E25FAA">
          <w:rPr>
            <w:noProof/>
            <w:webHidden/>
          </w:rPr>
          <w:t>81</w:t>
        </w:r>
        <w:r w:rsidR="00E25FAA">
          <w:rPr>
            <w:noProof/>
            <w:webHidden/>
          </w:rPr>
          <w:fldChar w:fldCharType="end"/>
        </w:r>
      </w:hyperlink>
    </w:p>
    <w:p w14:paraId="3367D525" w14:textId="50D016E9" w:rsidR="00E25FAA" w:rsidRDefault="0087550A" w:rsidP="00E25FAA">
      <w:pPr>
        <w:pStyle w:val="TableofFigures"/>
        <w:ind w:right="-46"/>
        <w:rPr>
          <w:rFonts w:asciiTheme="minorHAnsi" w:eastAsiaTheme="minorEastAsia" w:hAnsiTheme="minorHAnsi" w:cstheme="minorBidi"/>
          <w:noProof/>
          <w:sz w:val="22"/>
          <w:szCs w:val="22"/>
        </w:rPr>
      </w:pPr>
      <w:hyperlink w:anchor="_Toc103607908" w:history="1">
        <w:r w:rsidR="00E25FAA" w:rsidRPr="00001E36">
          <w:rPr>
            <w:rStyle w:val="Hyperlink"/>
            <w:rFonts w:eastAsiaTheme="majorEastAsia"/>
            <w:noProof/>
          </w:rPr>
          <w:t>Table 4.12 Local participation requirements in the electricity sector</w:t>
        </w:r>
        <w:r w:rsidR="00E25FAA">
          <w:rPr>
            <w:noProof/>
            <w:webHidden/>
          </w:rPr>
          <w:tab/>
        </w:r>
        <w:r w:rsidR="00E25FAA">
          <w:rPr>
            <w:noProof/>
            <w:webHidden/>
          </w:rPr>
          <w:fldChar w:fldCharType="begin"/>
        </w:r>
        <w:r w:rsidR="00E25FAA">
          <w:rPr>
            <w:noProof/>
            <w:webHidden/>
          </w:rPr>
          <w:instrText xml:space="preserve"> PAGEREF _Toc103607908 \h </w:instrText>
        </w:r>
        <w:r w:rsidR="00E25FAA">
          <w:rPr>
            <w:noProof/>
            <w:webHidden/>
          </w:rPr>
        </w:r>
        <w:r w:rsidR="00E25FAA">
          <w:rPr>
            <w:noProof/>
            <w:webHidden/>
          </w:rPr>
          <w:fldChar w:fldCharType="separate"/>
        </w:r>
        <w:r w:rsidR="00E25FAA">
          <w:rPr>
            <w:noProof/>
            <w:webHidden/>
          </w:rPr>
          <w:t>82</w:t>
        </w:r>
        <w:r w:rsidR="00E25FAA">
          <w:rPr>
            <w:noProof/>
            <w:webHidden/>
          </w:rPr>
          <w:fldChar w:fldCharType="end"/>
        </w:r>
      </w:hyperlink>
    </w:p>
    <w:p w14:paraId="3168C9E1" w14:textId="34E3D18D" w:rsidR="00E25FAA" w:rsidRDefault="0087550A" w:rsidP="00E25FAA">
      <w:pPr>
        <w:pStyle w:val="TableofFigures"/>
        <w:ind w:right="-46"/>
        <w:rPr>
          <w:rFonts w:asciiTheme="minorHAnsi" w:eastAsiaTheme="minorEastAsia" w:hAnsiTheme="minorHAnsi" w:cstheme="minorBidi"/>
          <w:noProof/>
          <w:sz w:val="22"/>
          <w:szCs w:val="22"/>
        </w:rPr>
      </w:pPr>
      <w:hyperlink w:anchor="_Toc103607909" w:history="1">
        <w:r w:rsidR="00E25FAA" w:rsidRPr="00001E36">
          <w:rPr>
            <w:rStyle w:val="Hyperlink"/>
            <w:rFonts w:eastAsiaTheme="majorEastAsia"/>
            <w:noProof/>
          </w:rPr>
          <w:t>Table 4.13 Mineral production, 2014-21</w:t>
        </w:r>
        <w:r w:rsidR="00E25FAA">
          <w:rPr>
            <w:noProof/>
            <w:webHidden/>
          </w:rPr>
          <w:tab/>
        </w:r>
        <w:r w:rsidR="00E25FAA">
          <w:rPr>
            <w:noProof/>
            <w:webHidden/>
          </w:rPr>
          <w:fldChar w:fldCharType="begin"/>
        </w:r>
        <w:r w:rsidR="00E25FAA">
          <w:rPr>
            <w:noProof/>
            <w:webHidden/>
          </w:rPr>
          <w:instrText xml:space="preserve"> PAGEREF _Toc103607909 \h </w:instrText>
        </w:r>
        <w:r w:rsidR="00E25FAA">
          <w:rPr>
            <w:noProof/>
            <w:webHidden/>
          </w:rPr>
        </w:r>
        <w:r w:rsidR="00E25FAA">
          <w:rPr>
            <w:noProof/>
            <w:webHidden/>
          </w:rPr>
          <w:fldChar w:fldCharType="separate"/>
        </w:r>
        <w:r w:rsidR="00E25FAA">
          <w:rPr>
            <w:noProof/>
            <w:webHidden/>
          </w:rPr>
          <w:t>83</w:t>
        </w:r>
        <w:r w:rsidR="00E25FAA">
          <w:rPr>
            <w:noProof/>
            <w:webHidden/>
          </w:rPr>
          <w:fldChar w:fldCharType="end"/>
        </w:r>
      </w:hyperlink>
    </w:p>
    <w:p w14:paraId="1C15839F" w14:textId="6C9D09A6" w:rsidR="00E25FAA" w:rsidRDefault="0087550A" w:rsidP="00E25FAA">
      <w:pPr>
        <w:pStyle w:val="TableofFigures"/>
        <w:ind w:right="-46"/>
        <w:rPr>
          <w:rFonts w:asciiTheme="minorHAnsi" w:eastAsiaTheme="minorEastAsia" w:hAnsiTheme="minorHAnsi" w:cstheme="minorBidi"/>
          <w:noProof/>
          <w:sz w:val="22"/>
          <w:szCs w:val="22"/>
        </w:rPr>
      </w:pPr>
      <w:hyperlink w:anchor="_Toc103607910" w:history="1">
        <w:r w:rsidR="00E25FAA" w:rsidRPr="00001E36">
          <w:rPr>
            <w:rStyle w:val="Hyperlink"/>
            <w:rFonts w:eastAsiaTheme="majorEastAsia"/>
            <w:noProof/>
          </w:rPr>
          <w:t>Table 4.14 Exports of minerals, 2014-21</w:t>
        </w:r>
        <w:r w:rsidR="00E25FAA">
          <w:rPr>
            <w:noProof/>
            <w:webHidden/>
          </w:rPr>
          <w:tab/>
        </w:r>
        <w:r w:rsidR="00E25FAA">
          <w:rPr>
            <w:noProof/>
            <w:webHidden/>
          </w:rPr>
          <w:fldChar w:fldCharType="begin"/>
        </w:r>
        <w:r w:rsidR="00E25FAA">
          <w:rPr>
            <w:noProof/>
            <w:webHidden/>
          </w:rPr>
          <w:instrText xml:space="preserve"> PAGEREF _Toc103607910 \h </w:instrText>
        </w:r>
        <w:r w:rsidR="00E25FAA">
          <w:rPr>
            <w:noProof/>
            <w:webHidden/>
          </w:rPr>
        </w:r>
        <w:r w:rsidR="00E25FAA">
          <w:rPr>
            <w:noProof/>
            <w:webHidden/>
          </w:rPr>
          <w:fldChar w:fldCharType="separate"/>
        </w:r>
        <w:r w:rsidR="00E25FAA">
          <w:rPr>
            <w:noProof/>
            <w:webHidden/>
          </w:rPr>
          <w:t>83</w:t>
        </w:r>
        <w:r w:rsidR="00E25FAA">
          <w:rPr>
            <w:noProof/>
            <w:webHidden/>
          </w:rPr>
          <w:fldChar w:fldCharType="end"/>
        </w:r>
      </w:hyperlink>
    </w:p>
    <w:p w14:paraId="00673E29" w14:textId="7DE76318" w:rsidR="00E25FAA" w:rsidRDefault="0087550A" w:rsidP="00E25FAA">
      <w:pPr>
        <w:pStyle w:val="TableofFigures"/>
        <w:ind w:right="-46"/>
        <w:rPr>
          <w:rFonts w:asciiTheme="minorHAnsi" w:eastAsiaTheme="minorEastAsia" w:hAnsiTheme="minorHAnsi" w:cstheme="minorBidi"/>
          <w:noProof/>
          <w:sz w:val="22"/>
          <w:szCs w:val="22"/>
        </w:rPr>
      </w:pPr>
      <w:hyperlink w:anchor="_Toc103607911" w:history="1">
        <w:r w:rsidR="00E25FAA" w:rsidRPr="00001E36">
          <w:rPr>
            <w:rStyle w:val="Hyperlink"/>
            <w:rFonts w:eastAsiaTheme="majorEastAsia"/>
            <w:noProof/>
          </w:rPr>
          <w:t>Table 4.15 Foreign investment in the mining sector, 2014-21</w:t>
        </w:r>
        <w:r w:rsidR="00E25FAA">
          <w:rPr>
            <w:noProof/>
            <w:webHidden/>
          </w:rPr>
          <w:tab/>
        </w:r>
        <w:r w:rsidR="00E25FAA">
          <w:rPr>
            <w:noProof/>
            <w:webHidden/>
          </w:rPr>
          <w:fldChar w:fldCharType="begin"/>
        </w:r>
        <w:r w:rsidR="00E25FAA">
          <w:rPr>
            <w:noProof/>
            <w:webHidden/>
          </w:rPr>
          <w:instrText xml:space="preserve"> PAGEREF _Toc103607911 \h </w:instrText>
        </w:r>
        <w:r w:rsidR="00E25FAA">
          <w:rPr>
            <w:noProof/>
            <w:webHidden/>
          </w:rPr>
        </w:r>
        <w:r w:rsidR="00E25FAA">
          <w:rPr>
            <w:noProof/>
            <w:webHidden/>
          </w:rPr>
          <w:fldChar w:fldCharType="separate"/>
        </w:r>
        <w:r w:rsidR="00E25FAA">
          <w:rPr>
            <w:noProof/>
            <w:webHidden/>
          </w:rPr>
          <w:t>83</w:t>
        </w:r>
        <w:r w:rsidR="00E25FAA">
          <w:rPr>
            <w:noProof/>
            <w:webHidden/>
          </w:rPr>
          <w:fldChar w:fldCharType="end"/>
        </w:r>
      </w:hyperlink>
    </w:p>
    <w:p w14:paraId="13C864BE" w14:textId="75681FD5" w:rsidR="00E25FAA" w:rsidRDefault="0087550A" w:rsidP="00E25FAA">
      <w:pPr>
        <w:pStyle w:val="TableofFigures"/>
        <w:ind w:right="-46"/>
        <w:rPr>
          <w:rFonts w:asciiTheme="minorHAnsi" w:eastAsiaTheme="minorEastAsia" w:hAnsiTheme="minorHAnsi" w:cstheme="minorBidi"/>
          <w:noProof/>
          <w:sz w:val="22"/>
          <w:szCs w:val="22"/>
        </w:rPr>
      </w:pPr>
      <w:hyperlink w:anchor="_Toc103607912" w:history="1">
        <w:r w:rsidR="00E25FAA" w:rsidRPr="00001E36">
          <w:rPr>
            <w:rStyle w:val="Hyperlink"/>
            <w:rFonts w:eastAsiaTheme="majorEastAsia"/>
            <w:noProof/>
          </w:rPr>
          <w:t>Table 4.16 10-Point Industrial Transformation Agenda</w:t>
        </w:r>
        <w:r w:rsidR="00E25FAA">
          <w:rPr>
            <w:noProof/>
            <w:webHidden/>
          </w:rPr>
          <w:tab/>
        </w:r>
        <w:r w:rsidR="00E25FAA">
          <w:rPr>
            <w:noProof/>
            <w:webHidden/>
          </w:rPr>
          <w:fldChar w:fldCharType="begin"/>
        </w:r>
        <w:r w:rsidR="00E25FAA">
          <w:rPr>
            <w:noProof/>
            <w:webHidden/>
          </w:rPr>
          <w:instrText xml:space="preserve"> PAGEREF _Toc103607912 \h </w:instrText>
        </w:r>
        <w:r w:rsidR="00E25FAA">
          <w:rPr>
            <w:noProof/>
            <w:webHidden/>
          </w:rPr>
        </w:r>
        <w:r w:rsidR="00E25FAA">
          <w:rPr>
            <w:noProof/>
            <w:webHidden/>
          </w:rPr>
          <w:fldChar w:fldCharType="separate"/>
        </w:r>
        <w:r w:rsidR="00E25FAA">
          <w:rPr>
            <w:noProof/>
            <w:webHidden/>
          </w:rPr>
          <w:t>86</w:t>
        </w:r>
        <w:r w:rsidR="00E25FAA">
          <w:rPr>
            <w:noProof/>
            <w:webHidden/>
          </w:rPr>
          <w:fldChar w:fldCharType="end"/>
        </w:r>
      </w:hyperlink>
    </w:p>
    <w:p w14:paraId="09CD8932" w14:textId="648C5740" w:rsidR="00E25FAA" w:rsidRDefault="0087550A" w:rsidP="00E25FAA">
      <w:pPr>
        <w:pStyle w:val="TableofFigures"/>
        <w:ind w:right="-46"/>
        <w:rPr>
          <w:rFonts w:asciiTheme="minorHAnsi" w:eastAsiaTheme="minorEastAsia" w:hAnsiTheme="minorHAnsi" w:cstheme="minorBidi"/>
          <w:noProof/>
          <w:sz w:val="22"/>
          <w:szCs w:val="22"/>
        </w:rPr>
      </w:pPr>
      <w:hyperlink w:anchor="_Toc103607913" w:history="1">
        <w:r w:rsidR="00E25FAA" w:rsidRPr="00001E36">
          <w:rPr>
            <w:rStyle w:val="Hyperlink"/>
            <w:rFonts w:eastAsiaTheme="majorEastAsia"/>
            <w:noProof/>
          </w:rPr>
          <w:t>Table 4.17 Selected telecom indicators, 2014-20</w:t>
        </w:r>
        <w:r w:rsidR="00E25FAA">
          <w:rPr>
            <w:noProof/>
            <w:webHidden/>
          </w:rPr>
          <w:tab/>
        </w:r>
        <w:r w:rsidR="00E25FAA">
          <w:rPr>
            <w:noProof/>
            <w:webHidden/>
          </w:rPr>
          <w:fldChar w:fldCharType="begin"/>
        </w:r>
        <w:r w:rsidR="00E25FAA">
          <w:rPr>
            <w:noProof/>
            <w:webHidden/>
          </w:rPr>
          <w:instrText xml:space="preserve"> PAGEREF _Toc103607913 \h </w:instrText>
        </w:r>
        <w:r w:rsidR="00E25FAA">
          <w:rPr>
            <w:noProof/>
            <w:webHidden/>
          </w:rPr>
        </w:r>
        <w:r w:rsidR="00E25FAA">
          <w:rPr>
            <w:noProof/>
            <w:webHidden/>
          </w:rPr>
          <w:fldChar w:fldCharType="separate"/>
        </w:r>
        <w:r w:rsidR="00E25FAA">
          <w:rPr>
            <w:noProof/>
            <w:webHidden/>
          </w:rPr>
          <w:t>97</w:t>
        </w:r>
        <w:r w:rsidR="00E25FAA">
          <w:rPr>
            <w:noProof/>
            <w:webHidden/>
          </w:rPr>
          <w:fldChar w:fldCharType="end"/>
        </w:r>
      </w:hyperlink>
    </w:p>
    <w:p w14:paraId="2D14FF8A" w14:textId="587B90C3" w:rsidR="00E25FAA" w:rsidRDefault="0087550A" w:rsidP="00E25FAA">
      <w:pPr>
        <w:pStyle w:val="TableofFigures"/>
        <w:ind w:right="-46"/>
        <w:rPr>
          <w:rFonts w:asciiTheme="minorHAnsi" w:eastAsiaTheme="minorEastAsia" w:hAnsiTheme="minorHAnsi" w:cstheme="minorBidi"/>
          <w:noProof/>
          <w:sz w:val="22"/>
          <w:szCs w:val="22"/>
        </w:rPr>
      </w:pPr>
      <w:hyperlink w:anchor="_Toc103607914" w:history="1">
        <w:r w:rsidR="00E25FAA" w:rsidRPr="00001E36">
          <w:rPr>
            <w:rStyle w:val="Hyperlink"/>
            <w:rFonts w:eastAsiaTheme="majorEastAsia"/>
            <w:noProof/>
          </w:rPr>
          <w:t>Table 4.18 Selected provisions of the Insurance Act, 2021</w:t>
        </w:r>
        <w:r w:rsidR="00E25FAA">
          <w:rPr>
            <w:noProof/>
            <w:webHidden/>
          </w:rPr>
          <w:tab/>
        </w:r>
        <w:r w:rsidR="00E25FAA">
          <w:rPr>
            <w:noProof/>
            <w:webHidden/>
          </w:rPr>
          <w:fldChar w:fldCharType="begin"/>
        </w:r>
        <w:r w:rsidR="00E25FAA">
          <w:rPr>
            <w:noProof/>
            <w:webHidden/>
          </w:rPr>
          <w:instrText xml:space="preserve"> PAGEREF _Toc103607914 \h </w:instrText>
        </w:r>
        <w:r w:rsidR="00E25FAA">
          <w:rPr>
            <w:noProof/>
            <w:webHidden/>
          </w:rPr>
        </w:r>
        <w:r w:rsidR="00E25FAA">
          <w:rPr>
            <w:noProof/>
            <w:webHidden/>
          </w:rPr>
          <w:fldChar w:fldCharType="separate"/>
        </w:r>
        <w:r w:rsidR="00E25FAA">
          <w:rPr>
            <w:noProof/>
            <w:webHidden/>
          </w:rPr>
          <w:t>102</w:t>
        </w:r>
        <w:r w:rsidR="00E25FAA">
          <w:rPr>
            <w:noProof/>
            <w:webHidden/>
          </w:rPr>
          <w:fldChar w:fldCharType="end"/>
        </w:r>
      </w:hyperlink>
    </w:p>
    <w:p w14:paraId="199C1BE5" w14:textId="3AC76B97" w:rsidR="00E25FAA" w:rsidRDefault="0087550A" w:rsidP="00E25FAA">
      <w:pPr>
        <w:pStyle w:val="TableofFigures"/>
        <w:ind w:right="-46"/>
        <w:rPr>
          <w:rFonts w:asciiTheme="minorHAnsi" w:eastAsiaTheme="minorEastAsia" w:hAnsiTheme="minorHAnsi" w:cstheme="minorBidi"/>
          <w:noProof/>
          <w:sz w:val="22"/>
          <w:szCs w:val="22"/>
        </w:rPr>
      </w:pPr>
      <w:hyperlink w:anchor="_Toc103607915" w:history="1">
        <w:r w:rsidR="00E25FAA" w:rsidRPr="00001E36">
          <w:rPr>
            <w:rStyle w:val="Hyperlink"/>
            <w:rFonts w:eastAsiaTheme="majorEastAsia"/>
            <w:noProof/>
          </w:rPr>
          <w:t>Table 4.19 Selected regulated professions in Ghana, 2021</w:t>
        </w:r>
        <w:r w:rsidR="00E25FAA">
          <w:rPr>
            <w:noProof/>
            <w:webHidden/>
          </w:rPr>
          <w:tab/>
        </w:r>
        <w:r w:rsidR="00E25FAA">
          <w:rPr>
            <w:noProof/>
            <w:webHidden/>
          </w:rPr>
          <w:fldChar w:fldCharType="begin"/>
        </w:r>
        <w:r w:rsidR="00E25FAA">
          <w:rPr>
            <w:noProof/>
            <w:webHidden/>
          </w:rPr>
          <w:instrText xml:space="preserve"> PAGEREF _Toc103607915 \h </w:instrText>
        </w:r>
        <w:r w:rsidR="00E25FAA">
          <w:rPr>
            <w:noProof/>
            <w:webHidden/>
          </w:rPr>
        </w:r>
        <w:r w:rsidR="00E25FAA">
          <w:rPr>
            <w:noProof/>
            <w:webHidden/>
          </w:rPr>
          <w:fldChar w:fldCharType="separate"/>
        </w:r>
        <w:r w:rsidR="00E25FAA">
          <w:rPr>
            <w:noProof/>
            <w:webHidden/>
          </w:rPr>
          <w:t>104</w:t>
        </w:r>
        <w:r w:rsidR="00E25FAA">
          <w:rPr>
            <w:noProof/>
            <w:webHidden/>
          </w:rPr>
          <w:fldChar w:fldCharType="end"/>
        </w:r>
      </w:hyperlink>
    </w:p>
    <w:p w14:paraId="14E6E62D" w14:textId="4AA4E1D4" w:rsidR="00E25FAA" w:rsidRDefault="0087550A" w:rsidP="00E25FAA">
      <w:pPr>
        <w:pStyle w:val="TableofFigures"/>
        <w:ind w:right="-46"/>
        <w:rPr>
          <w:rFonts w:asciiTheme="minorHAnsi" w:eastAsiaTheme="minorEastAsia" w:hAnsiTheme="minorHAnsi" w:cstheme="minorBidi"/>
          <w:noProof/>
          <w:sz w:val="22"/>
          <w:szCs w:val="22"/>
        </w:rPr>
      </w:pPr>
      <w:hyperlink w:anchor="_Toc103607916" w:history="1">
        <w:r w:rsidR="00E25FAA" w:rsidRPr="00001E36">
          <w:rPr>
            <w:rStyle w:val="Hyperlink"/>
            <w:rFonts w:eastAsiaTheme="majorEastAsia"/>
            <w:noProof/>
          </w:rPr>
          <w:t>Table 4.20 Tourism indicators, 2010-20</w:t>
        </w:r>
        <w:r w:rsidR="00E25FAA">
          <w:rPr>
            <w:noProof/>
            <w:webHidden/>
          </w:rPr>
          <w:tab/>
        </w:r>
        <w:r w:rsidR="00E25FAA">
          <w:rPr>
            <w:noProof/>
            <w:webHidden/>
          </w:rPr>
          <w:fldChar w:fldCharType="begin"/>
        </w:r>
        <w:r w:rsidR="00E25FAA">
          <w:rPr>
            <w:noProof/>
            <w:webHidden/>
          </w:rPr>
          <w:instrText xml:space="preserve"> PAGEREF _Toc103607916 \h </w:instrText>
        </w:r>
        <w:r w:rsidR="00E25FAA">
          <w:rPr>
            <w:noProof/>
            <w:webHidden/>
          </w:rPr>
        </w:r>
        <w:r w:rsidR="00E25FAA">
          <w:rPr>
            <w:noProof/>
            <w:webHidden/>
          </w:rPr>
          <w:fldChar w:fldCharType="separate"/>
        </w:r>
        <w:r w:rsidR="00E25FAA">
          <w:rPr>
            <w:noProof/>
            <w:webHidden/>
          </w:rPr>
          <w:t>105</w:t>
        </w:r>
        <w:r w:rsidR="00E25FAA">
          <w:rPr>
            <w:noProof/>
            <w:webHidden/>
          </w:rPr>
          <w:fldChar w:fldCharType="end"/>
        </w:r>
      </w:hyperlink>
    </w:p>
    <w:p w14:paraId="352447AD" w14:textId="791918D9" w:rsidR="00C15F2E" w:rsidRPr="00D96063" w:rsidRDefault="00C15F2E" w:rsidP="00E25FAA">
      <w:pPr>
        <w:pStyle w:val="TOC4"/>
        <w:ind w:right="-46"/>
      </w:pPr>
      <w:r w:rsidRPr="00D96063">
        <w:rPr>
          <w:b/>
          <w:bCs/>
        </w:rPr>
        <w:fldChar w:fldCharType="end"/>
      </w:r>
    </w:p>
    <w:p w14:paraId="4BDE94FC" w14:textId="77777777" w:rsidR="00C15F2E" w:rsidRPr="00D96063" w:rsidRDefault="00C15F2E" w:rsidP="00C6228A">
      <w:pPr>
        <w:pStyle w:val="TOCHeading"/>
      </w:pPr>
      <w:r w:rsidRPr="00D96063">
        <w:t>BOXES</w:t>
      </w:r>
    </w:p>
    <w:p w14:paraId="350658EC" w14:textId="77777777" w:rsidR="00C15F2E" w:rsidRPr="00D96063" w:rsidRDefault="00C15F2E" w:rsidP="00352F58"/>
    <w:p w14:paraId="45DC1D55" w14:textId="78A2A9C3" w:rsidR="00E25FAA" w:rsidRDefault="00C15F2E" w:rsidP="00E25FAA">
      <w:pPr>
        <w:pStyle w:val="TableofFigures"/>
        <w:ind w:right="-46"/>
        <w:rPr>
          <w:rFonts w:asciiTheme="minorHAnsi" w:eastAsiaTheme="minorEastAsia" w:hAnsiTheme="minorHAnsi" w:cstheme="minorBidi"/>
          <w:noProof/>
          <w:sz w:val="22"/>
          <w:szCs w:val="22"/>
        </w:rPr>
      </w:pPr>
      <w:r w:rsidRPr="00D96063">
        <w:rPr>
          <w:rFonts w:eastAsia="Calibri"/>
          <w:szCs w:val="18"/>
        </w:rPr>
        <w:fldChar w:fldCharType="begin"/>
      </w:r>
      <w:r w:rsidRPr="00D96063">
        <w:instrText xml:space="preserve"> TOC \h \z \c "Box" </w:instrText>
      </w:r>
      <w:r w:rsidRPr="00D96063">
        <w:rPr>
          <w:rFonts w:eastAsia="Calibri"/>
          <w:szCs w:val="18"/>
        </w:rPr>
        <w:fldChar w:fldCharType="separate"/>
      </w:r>
      <w:hyperlink w:anchor="_Toc103607969" w:history="1">
        <w:r w:rsidR="00E25FAA" w:rsidRPr="002C3CDD">
          <w:rPr>
            <w:rStyle w:val="Hyperlink"/>
            <w:rFonts w:eastAsiaTheme="majorEastAsia"/>
            <w:noProof/>
          </w:rPr>
          <w:t>Box 3.1 Procedures to import goods into Ghana</w:t>
        </w:r>
        <w:r w:rsidR="00E25FAA">
          <w:rPr>
            <w:noProof/>
            <w:webHidden/>
          </w:rPr>
          <w:tab/>
        </w:r>
        <w:r w:rsidR="00E25FAA">
          <w:rPr>
            <w:noProof/>
            <w:webHidden/>
          </w:rPr>
          <w:fldChar w:fldCharType="begin"/>
        </w:r>
        <w:r w:rsidR="00E25FAA">
          <w:rPr>
            <w:noProof/>
            <w:webHidden/>
          </w:rPr>
          <w:instrText xml:space="preserve"> PAGEREF _Toc103607969 \h </w:instrText>
        </w:r>
        <w:r w:rsidR="00E25FAA">
          <w:rPr>
            <w:noProof/>
            <w:webHidden/>
          </w:rPr>
        </w:r>
        <w:r w:rsidR="00E25FAA">
          <w:rPr>
            <w:noProof/>
            <w:webHidden/>
          </w:rPr>
          <w:fldChar w:fldCharType="separate"/>
        </w:r>
        <w:r w:rsidR="00E25FAA">
          <w:rPr>
            <w:noProof/>
            <w:webHidden/>
          </w:rPr>
          <w:t>30</w:t>
        </w:r>
        <w:r w:rsidR="00E25FAA">
          <w:rPr>
            <w:noProof/>
            <w:webHidden/>
          </w:rPr>
          <w:fldChar w:fldCharType="end"/>
        </w:r>
      </w:hyperlink>
    </w:p>
    <w:p w14:paraId="285E2005" w14:textId="29842713" w:rsidR="00E25FAA" w:rsidRDefault="0087550A" w:rsidP="00E25FAA">
      <w:pPr>
        <w:pStyle w:val="TableofFigures"/>
        <w:ind w:right="-46"/>
        <w:rPr>
          <w:rFonts w:asciiTheme="minorHAnsi" w:eastAsiaTheme="minorEastAsia" w:hAnsiTheme="minorHAnsi" w:cstheme="minorBidi"/>
          <w:noProof/>
          <w:sz w:val="22"/>
          <w:szCs w:val="22"/>
        </w:rPr>
      </w:pPr>
      <w:hyperlink w:anchor="_Toc103607970" w:history="1">
        <w:r w:rsidR="00E25FAA" w:rsidRPr="002C3CDD">
          <w:rPr>
            <w:rStyle w:val="Hyperlink"/>
            <w:rFonts w:eastAsiaTheme="majorEastAsia"/>
            <w:noProof/>
          </w:rPr>
          <w:t>Box 3.2 Computing VAT payable under the VFRS</w:t>
        </w:r>
        <w:r w:rsidR="00E25FAA">
          <w:rPr>
            <w:noProof/>
            <w:webHidden/>
          </w:rPr>
          <w:tab/>
        </w:r>
        <w:r w:rsidR="00E25FAA">
          <w:rPr>
            <w:noProof/>
            <w:webHidden/>
          </w:rPr>
          <w:fldChar w:fldCharType="begin"/>
        </w:r>
        <w:r w:rsidR="00E25FAA">
          <w:rPr>
            <w:noProof/>
            <w:webHidden/>
          </w:rPr>
          <w:instrText xml:space="preserve"> PAGEREF _Toc103607970 \h </w:instrText>
        </w:r>
        <w:r w:rsidR="00E25FAA">
          <w:rPr>
            <w:noProof/>
            <w:webHidden/>
          </w:rPr>
        </w:r>
        <w:r w:rsidR="00E25FAA">
          <w:rPr>
            <w:noProof/>
            <w:webHidden/>
          </w:rPr>
          <w:fldChar w:fldCharType="separate"/>
        </w:r>
        <w:r w:rsidR="00E25FAA">
          <w:rPr>
            <w:noProof/>
            <w:webHidden/>
          </w:rPr>
          <w:t>38</w:t>
        </w:r>
        <w:r w:rsidR="00E25FAA">
          <w:rPr>
            <w:noProof/>
            <w:webHidden/>
          </w:rPr>
          <w:fldChar w:fldCharType="end"/>
        </w:r>
      </w:hyperlink>
    </w:p>
    <w:p w14:paraId="3DFF2700" w14:textId="08595EA3" w:rsidR="00E25FAA" w:rsidRDefault="0087550A" w:rsidP="00E25FAA">
      <w:pPr>
        <w:pStyle w:val="TableofFigures"/>
        <w:ind w:right="-46"/>
        <w:rPr>
          <w:rFonts w:asciiTheme="minorHAnsi" w:eastAsiaTheme="minorEastAsia" w:hAnsiTheme="minorHAnsi" w:cstheme="minorBidi"/>
          <w:noProof/>
          <w:sz w:val="22"/>
          <w:szCs w:val="22"/>
        </w:rPr>
      </w:pPr>
      <w:hyperlink w:anchor="_Toc103607971" w:history="1">
        <w:r w:rsidR="00E25FAA" w:rsidRPr="002C3CDD">
          <w:rPr>
            <w:rStyle w:val="Hyperlink"/>
            <w:rFonts w:eastAsiaTheme="majorEastAsia"/>
            <w:noProof/>
          </w:rPr>
          <w:t>Box 3.3 Appeals and complaints cases, 2018-20</w:t>
        </w:r>
        <w:r w:rsidR="00E25FAA">
          <w:rPr>
            <w:noProof/>
            <w:webHidden/>
          </w:rPr>
          <w:tab/>
        </w:r>
        <w:r w:rsidR="00E25FAA">
          <w:rPr>
            <w:noProof/>
            <w:webHidden/>
          </w:rPr>
          <w:fldChar w:fldCharType="begin"/>
        </w:r>
        <w:r w:rsidR="00E25FAA">
          <w:rPr>
            <w:noProof/>
            <w:webHidden/>
          </w:rPr>
          <w:instrText xml:space="preserve"> PAGEREF _Toc103607971 \h </w:instrText>
        </w:r>
        <w:r w:rsidR="00E25FAA">
          <w:rPr>
            <w:noProof/>
            <w:webHidden/>
          </w:rPr>
        </w:r>
        <w:r w:rsidR="00E25FAA">
          <w:rPr>
            <w:noProof/>
            <w:webHidden/>
          </w:rPr>
          <w:fldChar w:fldCharType="separate"/>
        </w:r>
        <w:r w:rsidR="00E25FAA">
          <w:rPr>
            <w:noProof/>
            <w:webHidden/>
          </w:rPr>
          <w:t>59</w:t>
        </w:r>
        <w:r w:rsidR="00E25FAA">
          <w:rPr>
            <w:noProof/>
            <w:webHidden/>
          </w:rPr>
          <w:fldChar w:fldCharType="end"/>
        </w:r>
      </w:hyperlink>
    </w:p>
    <w:p w14:paraId="0087F3E9" w14:textId="5507C9CB" w:rsidR="00E25FAA" w:rsidRDefault="0087550A" w:rsidP="00E25FAA">
      <w:pPr>
        <w:pStyle w:val="TableofFigures"/>
        <w:ind w:right="-46"/>
        <w:rPr>
          <w:rFonts w:asciiTheme="minorHAnsi" w:eastAsiaTheme="minorEastAsia" w:hAnsiTheme="minorHAnsi" w:cstheme="minorBidi"/>
          <w:noProof/>
          <w:sz w:val="22"/>
          <w:szCs w:val="22"/>
        </w:rPr>
      </w:pPr>
      <w:hyperlink w:anchor="_Toc103607972" w:history="1">
        <w:r w:rsidR="00E25FAA" w:rsidRPr="002C3CDD">
          <w:rPr>
            <w:rStyle w:val="Hyperlink"/>
            <w:rFonts w:eastAsiaTheme="majorEastAsia"/>
            <w:noProof/>
          </w:rPr>
          <w:t>Box 4.1 Pharmaceutical products banned for production or import, 2021</w:t>
        </w:r>
        <w:r w:rsidR="00E25FAA">
          <w:rPr>
            <w:noProof/>
            <w:webHidden/>
          </w:rPr>
          <w:tab/>
        </w:r>
        <w:r w:rsidR="00E25FAA">
          <w:rPr>
            <w:noProof/>
            <w:webHidden/>
          </w:rPr>
          <w:fldChar w:fldCharType="begin"/>
        </w:r>
        <w:r w:rsidR="00E25FAA">
          <w:rPr>
            <w:noProof/>
            <w:webHidden/>
          </w:rPr>
          <w:instrText xml:space="preserve"> PAGEREF _Toc103607972 \h </w:instrText>
        </w:r>
        <w:r w:rsidR="00E25FAA">
          <w:rPr>
            <w:noProof/>
            <w:webHidden/>
          </w:rPr>
        </w:r>
        <w:r w:rsidR="00E25FAA">
          <w:rPr>
            <w:noProof/>
            <w:webHidden/>
          </w:rPr>
          <w:fldChar w:fldCharType="separate"/>
        </w:r>
        <w:r w:rsidR="00E25FAA">
          <w:rPr>
            <w:noProof/>
            <w:webHidden/>
          </w:rPr>
          <w:t>88</w:t>
        </w:r>
        <w:r w:rsidR="00E25FAA">
          <w:rPr>
            <w:noProof/>
            <w:webHidden/>
          </w:rPr>
          <w:fldChar w:fldCharType="end"/>
        </w:r>
      </w:hyperlink>
    </w:p>
    <w:p w14:paraId="7AA4DB00" w14:textId="468B9ED8" w:rsidR="00E25FAA" w:rsidRDefault="0087550A" w:rsidP="00E25FAA">
      <w:pPr>
        <w:pStyle w:val="TableofFigures"/>
        <w:ind w:right="-46"/>
        <w:rPr>
          <w:rFonts w:asciiTheme="minorHAnsi" w:eastAsiaTheme="minorEastAsia" w:hAnsiTheme="minorHAnsi" w:cstheme="minorBidi"/>
          <w:noProof/>
          <w:sz w:val="22"/>
          <w:szCs w:val="22"/>
        </w:rPr>
      </w:pPr>
      <w:hyperlink w:anchor="_Toc103607973" w:history="1">
        <w:r w:rsidR="00E25FAA" w:rsidRPr="002C3CDD">
          <w:rPr>
            <w:rStyle w:val="Hyperlink"/>
            <w:rFonts w:eastAsiaTheme="majorEastAsia"/>
            <w:noProof/>
          </w:rPr>
          <w:t>Box 4.2 Developments in Ghana's ports</w:t>
        </w:r>
        <w:r w:rsidR="00E25FAA">
          <w:rPr>
            <w:noProof/>
            <w:webHidden/>
          </w:rPr>
          <w:tab/>
        </w:r>
        <w:r w:rsidR="00E25FAA">
          <w:rPr>
            <w:noProof/>
            <w:webHidden/>
          </w:rPr>
          <w:fldChar w:fldCharType="begin"/>
        </w:r>
        <w:r w:rsidR="00E25FAA">
          <w:rPr>
            <w:noProof/>
            <w:webHidden/>
          </w:rPr>
          <w:instrText xml:space="preserve"> PAGEREF _Toc103607973 \h </w:instrText>
        </w:r>
        <w:r w:rsidR="00E25FAA">
          <w:rPr>
            <w:noProof/>
            <w:webHidden/>
          </w:rPr>
        </w:r>
        <w:r w:rsidR="00E25FAA">
          <w:rPr>
            <w:noProof/>
            <w:webHidden/>
          </w:rPr>
          <w:fldChar w:fldCharType="separate"/>
        </w:r>
        <w:r w:rsidR="00E25FAA">
          <w:rPr>
            <w:noProof/>
            <w:webHidden/>
          </w:rPr>
          <w:t>95</w:t>
        </w:r>
        <w:r w:rsidR="00E25FAA">
          <w:rPr>
            <w:noProof/>
            <w:webHidden/>
          </w:rPr>
          <w:fldChar w:fldCharType="end"/>
        </w:r>
      </w:hyperlink>
    </w:p>
    <w:p w14:paraId="4F8E1340" w14:textId="21729965" w:rsidR="00C15F2E" w:rsidRPr="00D96063" w:rsidRDefault="00C15F2E" w:rsidP="00352F58">
      <w:r w:rsidRPr="00D96063">
        <w:rPr>
          <w:b/>
          <w:bCs/>
        </w:rPr>
        <w:fldChar w:fldCharType="end"/>
      </w:r>
    </w:p>
    <w:p w14:paraId="18855CF6" w14:textId="77777777" w:rsidR="00C15F2E" w:rsidRPr="00D96063" w:rsidRDefault="00C15F2E" w:rsidP="00C6228A">
      <w:pPr>
        <w:pStyle w:val="TOCHeading"/>
      </w:pPr>
      <w:r w:rsidRPr="00D96063">
        <w:t>APPENDIX TABLES</w:t>
      </w:r>
    </w:p>
    <w:p w14:paraId="4F4C139F" w14:textId="77777777" w:rsidR="00C15F2E" w:rsidRPr="00D96063" w:rsidRDefault="00C15F2E" w:rsidP="00352F58"/>
    <w:p w14:paraId="7C2FFAF8" w14:textId="0977A945" w:rsidR="00E25FAA" w:rsidRDefault="00C15F2E" w:rsidP="00E25FAA">
      <w:pPr>
        <w:pStyle w:val="TableofFigures"/>
        <w:ind w:right="-46"/>
        <w:rPr>
          <w:rFonts w:asciiTheme="minorHAnsi" w:eastAsiaTheme="minorEastAsia" w:hAnsiTheme="minorHAnsi" w:cstheme="minorBidi"/>
          <w:noProof/>
          <w:sz w:val="22"/>
          <w:szCs w:val="22"/>
        </w:rPr>
      </w:pPr>
      <w:r w:rsidRPr="00D96063">
        <w:rPr>
          <w:rFonts w:eastAsia="Calibri"/>
          <w:szCs w:val="18"/>
        </w:rPr>
        <w:fldChar w:fldCharType="begin"/>
      </w:r>
      <w:r w:rsidRPr="00D96063">
        <w:instrText xml:space="preserve"> TOC \h \z \c "Table A1." </w:instrText>
      </w:r>
      <w:r w:rsidRPr="00D96063">
        <w:rPr>
          <w:rFonts w:eastAsia="Calibri"/>
          <w:szCs w:val="18"/>
        </w:rPr>
        <w:fldChar w:fldCharType="separate"/>
      </w:r>
      <w:hyperlink w:anchor="_Toc103607997" w:history="1">
        <w:r w:rsidR="00E25FAA" w:rsidRPr="00B80CDE">
          <w:rPr>
            <w:rStyle w:val="Hyperlink"/>
            <w:rFonts w:eastAsiaTheme="majorEastAsia"/>
            <w:noProof/>
          </w:rPr>
          <w:t>Table A1.1 Merchandise exports by HS section and major chapter subheading, 2014-19</w:t>
        </w:r>
        <w:r w:rsidR="00E25FAA">
          <w:rPr>
            <w:noProof/>
            <w:webHidden/>
          </w:rPr>
          <w:tab/>
        </w:r>
        <w:r w:rsidR="00E25FAA">
          <w:rPr>
            <w:noProof/>
            <w:webHidden/>
          </w:rPr>
          <w:fldChar w:fldCharType="begin"/>
        </w:r>
        <w:r w:rsidR="00E25FAA">
          <w:rPr>
            <w:noProof/>
            <w:webHidden/>
          </w:rPr>
          <w:instrText xml:space="preserve"> PAGEREF _Toc103607997 \h </w:instrText>
        </w:r>
        <w:r w:rsidR="00E25FAA">
          <w:rPr>
            <w:noProof/>
            <w:webHidden/>
          </w:rPr>
        </w:r>
        <w:r w:rsidR="00E25FAA">
          <w:rPr>
            <w:noProof/>
            <w:webHidden/>
          </w:rPr>
          <w:fldChar w:fldCharType="separate"/>
        </w:r>
        <w:r w:rsidR="00E25FAA">
          <w:rPr>
            <w:noProof/>
            <w:webHidden/>
          </w:rPr>
          <w:t>106</w:t>
        </w:r>
        <w:r w:rsidR="00E25FAA">
          <w:rPr>
            <w:noProof/>
            <w:webHidden/>
          </w:rPr>
          <w:fldChar w:fldCharType="end"/>
        </w:r>
      </w:hyperlink>
    </w:p>
    <w:p w14:paraId="57BBF028" w14:textId="0B41274B" w:rsidR="00E25FAA" w:rsidRDefault="0087550A" w:rsidP="00E25FAA">
      <w:pPr>
        <w:pStyle w:val="TableofFigures"/>
        <w:ind w:right="-46"/>
        <w:rPr>
          <w:rFonts w:asciiTheme="minorHAnsi" w:eastAsiaTheme="minorEastAsia" w:hAnsiTheme="minorHAnsi" w:cstheme="minorBidi"/>
          <w:noProof/>
          <w:sz w:val="22"/>
          <w:szCs w:val="22"/>
        </w:rPr>
      </w:pPr>
      <w:hyperlink w:anchor="_Toc103607998" w:history="1">
        <w:r w:rsidR="00E25FAA" w:rsidRPr="00B80CDE">
          <w:rPr>
            <w:rStyle w:val="Hyperlink"/>
            <w:rFonts w:eastAsiaTheme="majorEastAsia"/>
            <w:noProof/>
          </w:rPr>
          <w:t>Table A1.2 Merchandise imports by HS section and major chapter subheading, 2014</w:t>
        </w:r>
        <w:r w:rsidR="00E25FAA" w:rsidRPr="00B80CDE">
          <w:rPr>
            <w:rStyle w:val="Hyperlink"/>
            <w:rFonts w:eastAsiaTheme="majorEastAsia"/>
            <w:noProof/>
          </w:rPr>
          <w:noBreakHyphen/>
          <w:t>19</w:t>
        </w:r>
        <w:r w:rsidR="00E25FAA">
          <w:rPr>
            <w:noProof/>
            <w:webHidden/>
          </w:rPr>
          <w:tab/>
        </w:r>
        <w:r w:rsidR="00E25FAA">
          <w:rPr>
            <w:noProof/>
            <w:webHidden/>
          </w:rPr>
          <w:fldChar w:fldCharType="begin"/>
        </w:r>
        <w:r w:rsidR="00E25FAA">
          <w:rPr>
            <w:noProof/>
            <w:webHidden/>
          </w:rPr>
          <w:instrText xml:space="preserve"> PAGEREF _Toc103607998 \h </w:instrText>
        </w:r>
        <w:r w:rsidR="00E25FAA">
          <w:rPr>
            <w:noProof/>
            <w:webHidden/>
          </w:rPr>
        </w:r>
        <w:r w:rsidR="00E25FAA">
          <w:rPr>
            <w:noProof/>
            <w:webHidden/>
          </w:rPr>
          <w:fldChar w:fldCharType="separate"/>
        </w:r>
        <w:r w:rsidR="00E25FAA">
          <w:rPr>
            <w:noProof/>
            <w:webHidden/>
          </w:rPr>
          <w:t>107</w:t>
        </w:r>
        <w:r w:rsidR="00E25FAA">
          <w:rPr>
            <w:noProof/>
            <w:webHidden/>
          </w:rPr>
          <w:fldChar w:fldCharType="end"/>
        </w:r>
      </w:hyperlink>
    </w:p>
    <w:p w14:paraId="5FF9164E" w14:textId="5CCDA10A" w:rsidR="00E25FAA" w:rsidRDefault="0087550A" w:rsidP="00E25FAA">
      <w:pPr>
        <w:pStyle w:val="TableofFigures"/>
        <w:ind w:right="-46"/>
        <w:rPr>
          <w:rFonts w:asciiTheme="minorHAnsi" w:eastAsiaTheme="minorEastAsia" w:hAnsiTheme="minorHAnsi" w:cstheme="minorBidi"/>
          <w:noProof/>
          <w:sz w:val="22"/>
          <w:szCs w:val="22"/>
        </w:rPr>
      </w:pPr>
      <w:hyperlink w:anchor="_Toc103607999" w:history="1">
        <w:r w:rsidR="00E25FAA" w:rsidRPr="00B80CDE">
          <w:rPr>
            <w:rStyle w:val="Hyperlink"/>
            <w:rFonts w:eastAsiaTheme="majorEastAsia"/>
            <w:noProof/>
          </w:rPr>
          <w:t>Table A1.3 Merchandise exports by destination, 2014-19</w:t>
        </w:r>
        <w:r w:rsidR="00E25FAA">
          <w:rPr>
            <w:noProof/>
            <w:webHidden/>
          </w:rPr>
          <w:tab/>
        </w:r>
        <w:r w:rsidR="00E25FAA">
          <w:rPr>
            <w:noProof/>
            <w:webHidden/>
          </w:rPr>
          <w:fldChar w:fldCharType="begin"/>
        </w:r>
        <w:r w:rsidR="00E25FAA">
          <w:rPr>
            <w:noProof/>
            <w:webHidden/>
          </w:rPr>
          <w:instrText xml:space="preserve"> PAGEREF _Toc103607999 \h </w:instrText>
        </w:r>
        <w:r w:rsidR="00E25FAA">
          <w:rPr>
            <w:noProof/>
            <w:webHidden/>
          </w:rPr>
        </w:r>
        <w:r w:rsidR="00E25FAA">
          <w:rPr>
            <w:noProof/>
            <w:webHidden/>
          </w:rPr>
          <w:fldChar w:fldCharType="separate"/>
        </w:r>
        <w:r w:rsidR="00E25FAA">
          <w:rPr>
            <w:noProof/>
            <w:webHidden/>
          </w:rPr>
          <w:t>108</w:t>
        </w:r>
        <w:r w:rsidR="00E25FAA">
          <w:rPr>
            <w:noProof/>
            <w:webHidden/>
          </w:rPr>
          <w:fldChar w:fldCharType="end"/>
        </w:r>
      </w:hyperlink>
    </w:p>
    <w:p w14:paraId="71D99E20" w14:textId="2EB6D131" w:rsidR="00E25FAA" w:rsidRDefault="0087550A" w:rsidP="00E25FAA">
      <w:pPr>
        <w:pStyle w:val="TableofFigures"/>
        <w:ind w:right="-46"/>
        <w:rPr>
          <w:rFonts w:asciiTheme="minorHAnsi" w:eastAsiaTheme="minorEastAsia" w:hAnsiTheme="minorHAnsi" w:cstheme="minorBidi"/>
          <w:noProof/>
          <w:sz w:val="22"/>
          <w:szCs w:val="22"/>
        </w:rPr>
      </w:pPr>
      <w:hyperlink w:anchor="_Toc103608000" w:history="1">
        <w:r w:rsidR="00E25FAA" w:rsidRPr="00B80CDE">
          <w:rPr>
            <w:rStyle w:val="Hyperlink"/>
            <w:rFonts w:eastAsiaTheme="majorEastAsia"/>
            <w:noProof/>
          </w:rPr>
          <w:t>Table A1.4 Merchandise imports by origin, 2014-19</w:t>
        </w:r>
        <w:r w:rsidR="00E25FAA">
          <w:rPr>
            <w:noProof/>
            <w:webHidden/>
          </w:rPr>
          <w:tab/>
        </w:r>
        <w:r w:rsidR="00E25FAA">
          <w:rPr>
            <w:noProof/>
            <w:webHidden/>
          </w:rPr>
          <w:fldChar w:fldCharType="begin"/>
        </w:r>
        <w:r w:rsidR="00E25FAA">
          <w:rPr>
            <w:noProof/>
            <w:webHidden/>
          </w:rPr>
          <w:instrText xml:space="preserve"> PAGEREF _Toc103608000 \h </w:instrText>
        </w:r>
        <w:r w:rsidR="00E25FAA">
          <w:rPr>
            <w:noProof/>
            <w:webHidden/>
          </w:rPr>
        </w:r>
        <w:r w:rsidR="00E25FAA">
          <w:rPr>
            <w:noProof/>
            <w:webHidden/>
          </w:rPr>
          <w:fldChar w:fldCharType="separate"/>
        </w:r>
        <w:r w:rsidR="00E25FAA">
          <w:rPr>
            <w:noProof/>
            <w:webHidden/>
          </w:rPr>
          <w:t>109</w:t>
        </w:r>
        <w:r w:rsidR="00E25FAA">
          <w:rPr>
            <w:noProof/>
            <w:webHidden/>
          </w:rPr>
          <w:fldChar w:fldCharType="end"/>
        </w:r>
      </w:hyperlink>
    </w:p>
    <w:p w14:paraId="349994D4" w14:textId="44943221" w:rsidR="00C15F2E" w:rsidRPr="00D96063" w:rsidRDefault="00C15F2E" w:rsidP="00E25FAA">
      <w:pPr>
        <w:ind w:right="-46"/>
      </w:pPr>
      <w:r w:rsidRPr="00D96063">
        <w:rPr>
          <w:b/>
          <w:bCs/>
        </w:rPr>
        <w:fldChar w:fldCharType="end"/>
      </w:r>
    </w:p>
    <w:p w14:paraId="02EF493C" w14:textId="77777777" w:rsidR="00C15F2E" w:rsidRPr="00D96063" w:rsidRDefault="00C15F2E" w:rsidP="00352F58"/>
    <w:p w14:paraId="6BAAF593" w14:textId="77777777" w:rsidR="00C15F2E" w:rsidRPr="00D96063" w:rsidRDefault="00C15F2E">
      <w:pPr>
        <w:spacing w:after="200" w:line="276" w:lineRule="auto"/>
        <w:jc w:val="left"/>
      </w:pPr>
      <w:r w:rsidRPr="00D96063">
        <w:br w:type="page"/>
      </w:r>
    </w:p>
    <w:p w14:paraId="189BE671" w14:textId="77777777" w:rsidR="00C15F2E" w:rsidRPr="00D96063" w:rsidRDefault="00C15F2E" w:rsidP="00352F58">
      <w:pPr>
        <w:pStyle w:val="SummaryHeader"/>
      </w:pPr>
      <w:bookmarkStart w:id="0" w:name="_Toc103607637"/>
      <w:r w:rsidRPr="00D96063">
        <w:lastRenderedPageBreak/>
        <w:t>SUMMARY</w:t>
      </w:r>
      <w:bookmarkEnd w:id="0"/>
    </w:p>
    <w:p w14:paraId="32F9EF77" w14:textId="6ED56255" w:rsidR="000C45F4" w:rsidRPr="002B0160" w:rsidRDefault="000C45F4" w:rsidP="000C45F4">
      <w:pPr>
        <w:pStyle w:val="SummaryText"/>
      </w:pPr>
      <w:r w:rsidRPr="002B0160">
        <w:t xml:space="preserve">Ghana is a natural resource-based economy. Its strong democratic institutions and good governance have contributed to attracting investment. The resultant economic growth </w:t>
      </w:r>
      <w:r>
        <w:t xml:space="preserve">has </w:t>
      </w:r>
      <w:r w:rsidRPr="002B0160">
        <w:t>improved the per-capita income of its 31 million people to approximately USD 2,200 in 2020, against USD</w:t>
      </w:r>
      <w:r>
        <w:t> 2</w:t>
      </w:r>
      <w:r w:rsidRPr="002B0160">
        <w:t>,</w:t>
      </w:r>
      <w:r>
        <w:t>000</w:t>
      </w:r>
      <w:r w:rsidRPr="002B0160">
        <w:t xml:space="preserve"> at the time of the last Review in 2014. The World Bank ranks Ghana as a lower middle</w:t>
      </w:r>
      <w:r>
        <w:noBreakHyphen/>
      </w:r>
      <w:r w:rsidRPr="002B0160">
        <w:t xml:space="preserve">income country. </w:t>
      </w:r>
    </w:p>
    <w:p w14:paraId="396479FA" w14:textId="77777777" w:rsidR="000C45F4" w:rsidRPr="002B0160" w:rsidRDefault="000C45F4" w:rsidP="000C45F4">
      <w:pPr>
        <w:pStyle w:val="SummaryText"/>
      </w:pPr>
      <w:r w:rsidRPr="002B0160">
        <w:t>Ghana's trade-to-GDP ratio averaged 71% in 2018-20 and indicates that its economy moderately depends on international trade. The country is Africa's second</w:t>
      </w:r>
      <w:r w:rsidRPr="002B0160">
        <w:noBreakHyphen/>
        <w:t xml:space="preserve">largest producer of gold, and is rich in diamonds, oil, and gas. </w:t>
      </w:r>
      <w:r>
        <w:t>G</w:t>
      </w:r>
      <w:r w:rsidRPr="002B0160">
        <w:t>old, crude oil, and cocoa beans (and cocoa paste and cocoa butter in limited quantities) together account for close to 85% of merchandise exports. Ghana's main export destinations are China, the European Union, Switzerland, India, and South Africa, while the European Union and China remain its main import origins.</w:t>
      </w:r>
    </w:p>
    <w:p w14:paraId="5EA84C2D" w14:textId="77777777" w:rsidR="000C45F4" w:rsidRPr="002B0160" w:rsidRDefault="000C45F4" w:rsidP="000C45F4">
      <w:pPr>
        <w:pStyle w:val="SummaryText"/>
      </w:pPr>
      <w:r w:rsidRPr="002B0160">
        <w:t>Over the review period (2014-22), Ghana experienced three phases of modest to strong economic growth; it continues to face challenges to stabilize its economy. In fact, from 2014 to 2016, Ghana witnessed a sharp economic slowdown with an average real GDP growth of 2.8% (down from an average of 6.6% in 2010-13), which was linked to a domestic banking and energy crisis. From 2017 to 2019, following a change in government, macroeconomic performance improved. Real GDP growth rebounded to an annual average of 6.9%, inflation was brought under control, and the Government's budget situation improved, thanks to greater fiscal discipline. In 2020, the economy held up comparatively well with GDP growth of 0.4%, despite the worldwide COVID</w:t>
      </w:r>
      <w:r w:rsidRPr="002B0160">
        <w:noBreakHyphen/>
        <w:t>19</w:t>
      </w:r>
      <w:r w:rsidRPr="002B0160">
        <w:noBreakHyphen/>
        <w:t xml:space="preserve">related lockdowns, and closures of businesses and borders. To help mitigate the impact of the pandemic, the Government adopted the Coronavirus Alleviation Programme aimed at supporting vulnerable households and businesses. It also launched the Ghana CARES ("Obaatan pa") programme (GHS 100 billion, about USD 13 billion) focusing on agriculture, manufacturing, and the ICT/digital economy. </w:t>
      </w:r>
      <w:bookmarkStart w:id="1" w:name="_Hlk102029061"/>
      <w:r w:rsidRPr="002B0160">
        <w:t xml:space="preserve">These mitigation efforts came at the expense of record fiscal deficit and public debt that led the IMF </w:t>
      </w:r>
      <w:r>
        <w:t xml:space="preserve">to </w:t>
      </w:r>
      <w:r w:rsidRPr="002B0160">
        <w:t>warn Ghana last year that it was at high risk of debt distress.</w:t>
      </w:r>
      <w:bookmarkEnd w:id="1"/>
    </w:p>
    <w:p w14:paraId="797F4AD0" w14:textId="77777777" w:rsidR="000C45F4" w:rsidRPr="002B0160" w:rsidRDefault="000C45F4" w:rsidP="000C45F4">
      <w:pPr>
        <w:pStyle w:val="SummaryText"/>
      </w:pPr>
      <w:r w:rsidRPr="002B0160">
        <w:t>Ghana's investment regime is fairly liberal and foreign investment is generally welcome. However, the State continues to have a significant stake in the economy with close to 160 state</w:t>
      </w:r>
      <w:r w:rsidRPr="002B0160">
        <w:noBreakHyphen/>
        <w:t>owned enterprises, agencies, and joint</w:t>
      </w:r>
      <w:r>
        <w:t>-</w:t>
      </w:r>
      <w:r w:rsidRPr="002B0160">
        <w:t xml:space="preserve">ventures, many of which </w:t>
      </w:r>
      <w:r w:rsidRPr="002B0160">
        <w:rPr>
          <w:lang w:eastAsia="fr-CH"/>
        </w:rPr>
        <w:t>continue to make losses.</w:t>
      </w:r>
      <w:r w:rsidRPr="002B0160">
        <w:t xml:space="preserve"> Activities still reserved for Ghanaians range from small-scale mining to forex bureaux. </w:t>
      </w:r>
      <w:r w:rsidRPr="002B0160">
        <w:rPr>
          <w:snapToGrid w:val="0"/>
        </w:rPr>
        <w:t>Joint</w:t>
      </w:r>
      <w:r>
        <w:rPr>
          <w:snapToGrid w:val="0"/>
        </w:rPr>
        <w:t xml:space="preserve"> </w:t>
      </w:r>
      <w:r w:rsidRPr="002B0160">
        <w:rPr>
          <w:snapToGrid w:val="0"/>
        </w:rPr>
        <w:t>ventures by foreign enterprises with Ghanaian partners are subject to a minimum of 10% Ghanaian equity participation. Also, Ghana has introduced new restrictions on foreign investments in the energy and mining sectors through mandatory Ghanaian equity participation and local content.</w:t>
      </w:r>
    </w:p>
    <w:p w14:paraId="2366000E" w14:textId="77777777" w:rsidR="000C45F4" w:rsidRPr="002B0160" w:rsidRDefault="000C45F4" w:rsidP="000C45F4">
      <w:pPr>
        <w:pStyle w:val="SummaryText"/>
      </w:pPr>
      <w:r w:rsidRPr="002B0160">
        <w:t xml:space="preserve">Ghana has submitted over 40 notifications to the WTO since the last Review and indicated that steps </w:t>
      </w:r>
      <w:r>
        <w:t>we</w:t>
      </w:r>
      <w:r w:rsidRPr="002B0160">
        <w:t xml:space="preserve">re </w:t>
      </w:r>
      <w:r>
        <w:t xml:space="preserve">being </w:t>
      </w:r>
      <w:r w:rsidRPr="002B0160">
        <w:t xml:space="preserve">taken to fully meet the requirements in this area. Ghana participates in the Economic Community of </w:t>
      </w:r>
      <w:r w:rsidRPr="002C3398">
        <w:t xml:space="preserve">West African States (ECOWAS) and the African Continental Free Trade Area (AfCFTA), and consults with the other members of these groups on WTO issues. It signed bilateral trade treaties with the European Union (EPA) in 2016 and the United Kingdom in 2021. As an ECOWAS member, Ghana has implemented the Common External Tariff (CET) since 1 February 2016 with national exceptions as per regional provisions. However, Ghana has been slow in domesticating and implementing subsidiary ECOWAS legislation. Ghana has received tariff preferences from the European Union and the United Kingdom </w:t>
      </w:r>
      <w:r w:rsidRPr="002B0160">
        <w:t>since the adoption of its bilateral trade agreements with each of these partners, and it started implementing its own tariff reductions in 2021.</w:t>
      </w:r>
    </w:p>
    <w:p w14:paraId="1B1CE18B" w14:textId="66A681CC" w:rsidR="000C45F4" w:rsidRPr="002B0160" w:rsidRDefault="000C45F4" w:rsidP="000C45F4">
      <w:pPr>
        <w:pStyle w:val="SummaryText"/>
      </w:pPr>
      <w:r w:rsidRPr="002B0160">
        <w:t xml:space="preserve">Ghana's bindings cover 15.1% of its tariff lines. Most agricultural tariffs are bound at a ceiling rate of 99% with some lower bound rates at 40% and 50%. About 1% of the non-agricultural tariffs are bound. Ghana's 2022 applied MFN tariff (unchanged since 2019) is based on the CET and the HS17 classification. The tariff consists of the five CET rates (zero, 5%, 10%, 20%, and 35%). As of March 2022, the average (unweighted) applied MFN tariff rate was 12.2%, down from 12.8% in 2013. The share of duty-free tariff lines was 1.6%, down from 12.2% in 2013, because most of the tariff lines that were duty-free in 2013 now carry a 5% rate under the CET. Some 45% of all tariff lines were subject to rates of 20% or 35% as of March 2022. </w:t>
      </w:r>
    </w:p>
    <w:p w14:paraId="3E055DC6" w14:textId="77777777" w:rsidR="000C45F4" w:rsidRPr="002B0160" w:rsidRDefault="000C45F4" w:rsidP="000C45F4">
      <w:pPr>
        <w:pStyle w:val="SummaryText"/>
      </w:pPr>
      <w:r w:rsidRPr="002B0160">
        <w:t xml:space="preserve">Ghana's standard VAT rate has been 12.5% since 2017. </w:t>
      </w:r>
      <w:r w:rsidRPr="002B0160">
        <w:rPr>
          <w:shd w:val="clear" w:color="auto" w:fill="FFFFFF"/>
        </w:rPr>
        <w:t xml:space="preserve">Excise duties are imposed (on an </w:t>
      </w:r>
      <w:r w:rsidRPr="002B0160">
        <w:rPr>
          <w:i/>
          <w:shd w:val="clear" w:color="auto" w:fill="FFFFFF"/>
        </w:rPr>
        <w:t>ad valorem</w:t>
      </w:r>
      <w:r w:rsidRPr="002B0160">
        <w:rPr>
          <w:shd w:val="clear" w:color="auto" w:fill="FFFFFF"/>
        </w:rPr>
        <w:t xml:space="preserve"> basis) on imports and locally produced alcoholic and non-alcoholic beverages, and tobacco products. </w:t>
      </w:r>
      <w:r w:rsidRPr="002B0160">
        <w:t xml:space="preserve">In addition, Ghana resorts to a host of other taxes and levies on imports, and </w:t>
      </w:r>
      <w:r w:rsidRPr="002B0160">
        <w:lastRenderedPageBreak/>
        <w:t>their number has grown since the last Review. These taxes levied on most imports include the ECOWAS Levy (1%), African Union Levy (0.2%), Environmental Tax (10%), Ghana Export-Import Bank Levy (0.75%), Ghana Education Fund Levy (2.5%), COVID</w:t>
      </w:r>
      <w:r w:rsidRPr="002B0160">
        <w:noBreakHyphen/>
        <w:t>19 Health Recovery Levy (1%), National Health Insurance Levy (3.5% on imports and domestic goods/services), Sanitation and Pollution Levy (specific), and Special Petroleum Tax (specific), as well as four Energy Sector Levies. Combined, all of these levies significantly increase the costs of imports into Ghana.</w:t>
      </w:r>
    </w:p>
    <w:p w14:paraId="6EEB4B52" w14:textId="77777777" w:rsidR="000C45F4" w:rsidRPr="002B0160" w:rsidRDefault="000C45F4" w:rsidP="000C45F4">
      <w:pPr>
        <w:pStyle w:val="SummaryText"/>
      </w:pPr>
      <w:r w:rsidRPr="002B0160">
        <w:t xml:space="preserve">On the other hand, Ghana offers exemptions and concessions, for various purposes, on import tariffs, other duties and charges, and internal taxes. In 2020, the reported "tax refunds" amounted to GHS 2.6 billion (approximately USD 460 million) or 5.8% of total tax revenues. Qualifying imports enter the country under letters granting exemptions from the Ministry of Finance, and initiated by other ministries and agencies, including the Ghana Investment Promotion Agency. </w:t>
      </w:r>
    </w:p>
    <w:p w14:paraId="53B57330" w14:textId="77777777" w:rsidR="000C45F4" w:rsidRPr="002B0160" w:rsidRDefault="000C45F4" w:rsidP="000C45F4">
      <w:pPr>
        <w:pStyle w:val="SummaryText"/>
      </w:pPr>
      <w:r w:rsidRPr="002B0160">
        <w:t xml:space="preserve">Ghana has ratified the Agreement on Trade Facilitation and notified the dates for the implementation of categories B and C commitments; 18 provisions are due for implementation in 2022-23. It has simplified its import procedures by establishing a new single window at the border (Integrated Customs Management System (ICUMS)) and reducing the number of inspecting agencies to three (Customs, Food and Drugs Authority, and Ghana Standards Authority). Destination inspection by Customs is mandatory for all imports of USD 3,000 and above (unless a waiver is granted). Inspection fees are </w:t>
      </w:r>
      <w:r w:rsidRPr="002B0160">
        <w:rPr>
          <w:i/>
        </w:rPr>
        <w:t>ad valorem</w:t>
      </w:r>
      <w:r w:rsidRPr="002B0160">
        <w:t xml:space="preserve"> and do not thus reflect the cost of the service.</w:t>
      </w:r>
    </w:p>
    <w:p w14:paraId="7310CF94" w14:textId="77777777" w:rsidR="000C45F4" w:rsidRPr="002B0160" w:rsidRDefault="000C45F4" w:rsidP="000C45F4">
      <w:pPr>
        <w:pStyle w:val="SummaryText"/>
      </w:pPr>
      <w:r w:rsidRPr="002B0160">
        <w:t xml:space="preserve">Ghana maintains import prohibitions on unprocessed logs and certain pharmaceuticals, as well as prohibitions based on, inter alia, health, safety, SPS and environmental grounds. There are also quantitative restrictions in place on imports of cement and poultry products. The TBT and SPS regimes remain largely unchanged. Ghana primarily adopts international standards; it has adopted 29 ECOWAS standards. Ghana has submitted a number of notifications to the WTO TBT Committee, and one specific trade concern was raised regarding its automotive safety standards. Ghana has also </w:t>
      </w:r>
      <w:r w:rsidRPr="002B0160">
        <w:rPr>
          <w:lang w:eastAsia="fr-CH"/>
        </w:rPr>
        <w:t xml:space="preserve">notified the WTO SPS Committee of its new biosafety and meat inspection rules.  </w:t>
      </w:r>
    </w:p>
    <w:p w14:paraId="66F8441E" w14:textId="77777777" w:rsidR="000C45F4" w:rsidRPr="002B0160" w:rsidRDefault="000C45F4" w:rsidP="000C45F4">
      <w:pPr>
        <w:pStyle w:val="SummaryText"/>
      </w:pPr>
      <w:r w:rsidRPr="002B0160">
        <w:t xml:space="preserve">Since the last Review, Ghana has for the first time adopted trade remedies legislation. It made several notifications to the WTO, which were reviewed in 2020. The newly established Ghana International Trade Commission has recommended the implementation of an anti-dumping measure against aluminium coils and circles originating in, or imported from, China, and several anti-dumping investigations are ongoing. </w:t>
      </w:r>
    </w:p>
    <w:p w14:paraId="5D5A2DB4" w14:textId="77777777" w:rsidR="000C45F4" w:rsidRPr="002B0160" w:rsidRDefault="000C45F4" w:rsidP="000C45F4">
      <w:pPr>
        <w:pStyle w:val="SummaryText"/>
      </w:pPr>
      <w:r w:rsidRPr="002B0160">
        <w:t>Regarding measures affecting exports, Ghana maintains its requirements for foreign exchange repatriation to banks registered in the country. The forex surrender requirements to the Bank of Ghana for cocoa and gold exports were eliminated. Export taxes are currently applied on timber, and certain hydrocarbons sold to airlines. Selected products are subject to special export permits. Two agencies, Ghana Export Promotion Agency and Ghana Export-Import Bank, are responsible for export promotion and export financing. The WTO Committee on Agriculture has yet to receive an up-to-date export subsidy notification from Ghana. The country currently has four free zones, and investors may also obtain free</w:t>
      </w:r>
      <w:r w:rsidRPr="002B0160">
        <w:noBreakHyphen/>
        <w:t xml:space="preserve">point status anywhere in the country. However, Ghana's exports from free zones have been declining. Accordingly, the free zone scheme would benefit from a cost-benefit review </w:t>
      </w:r>
      <w:r>
        <w:t>for its possible</w:t>
      </w:r>
      <w:r w:rsidRPr="002B0160">
        <w:t xml:space="preserve"> reform.</w:t>
      </w:r>
    </w:p>
    <w:p w14:paraId="6798476D" w14:textId="77777777" w:rsidR="000C45F4" w:rsidRPr="002B0160" w:rsidRDefault="000C45F4" w:rsidP="000C45F4">
      <w:pPr>
        <w:pStyle w:val="SummaryText"/>
      </w:pPr>
      <w:r w:rsidRPr="002B0160">
        <w:rPr>
          <w:lang w:eastAsia="fr-CH"/>
        </w:rPr>
        <w:t xml:space="preserve">Ghana is neither a member nor an observer to the WTO plurilateral Agreement on Government Procurement. Its public procurement has increased substantially since 2014, in line with efforts to modernize and develop its national infrastructure. </w:t>
      </w:r>
      <w:r w:rsidRPr="002B0160">
        <w:t xml:space="preserve">The Public Procurement Act was amended in 2016 and an electronic procurement system (GHANEPS) was launched in 2019. </w:t>
      </w:r>
      <w:r w:rsidRPr="002B0160">
        <w:rPr>
          <w:lang w:eastAsia="fr-CH"/>
        </w:rPr>
        <w:t>Government procurement is decentralized with over 1,000 procuring entities.</w:t>
      </w:r>
      <w:r w:rsidRPr="002B0160">
        <w:t xml:space="preserve"> T</w:t>
      </w:r>
      <w:r w:rsidRPr="002B0160">
        <w:rPr>
          <w:lang w:eastAsia="fr-CH"/>
        </w:rPr>
        <w:t xml:space="preserve">he most used procurement methods are restrictive tendering (51% in 2019) and competitive national tendering (31%); international competitive tendering accounted for 1%. </w:t>
      </w:r>
      <w:r w:rsidRPr="002B0160">
        <w:t>Price preferences that vary with the type of good and the level of local content are available to suppliers, irrespective of their nationality.</w:t>
      </w:r>
    </w:p>
    <w:p w14:paraId="57F91629" w14:textId="77777777" w:rsidR="000C45F4" w:rsidRPr="002B0160" w:rsidRDefault="000C45F4" w:rsidP="000C45F4">
      <w:pPr>
        <w:pStyle w:val="SummaryText"/>
      </w:pPr>
      <w:r w:rsidRPr="002B0160">
        <w:t>Ghana has reformed its intellectual property rights regime. The Trademarks Act, the Industrial Designs Act, and the Patent Act were amended, and a new Plant Variety Protection Act was adopted in 2020. Also, Ghana has ratified the UPOV Convention, the WIPO Phonograms Convention, the WIPO Marrakesh VIP Treaty on copyright, and the WIPO Lisbon Agreement for the Protection of Appellations of Origin and their International Registration.</w:t>
      </w:r>
    </w:p>
    <w:p w14:paraId="09D3FC83" w14:textId="77777777" w:rsidR="000C45F4" w:rsidRPr="002B0160" w:rsidRDefault="000C45F4" w:rsidP="000C45F4">
      <w:pPr>
        <w:pStyle w:val="SummaryText"/>
      </w:pPr>
      <w:r w:rsidRPr="002B0160">
        <w:lastRenderedPageBreak/>
        <w:t xml:space="preserve">The agriculture sector contributes about 20% to GDP. Despite its agricultural potential, Ghana is increasingly a net-food importer. Cassava, yams, and plantains are the main staples, together with rice and maize. Agricultural policy is geared towards ensuring food security, while aiming at reducing imports – particularly of rice. Since 2017, Ghana's crop production has improved considerably with the launch of a new agricultural programme ("Planting for Food and Jobs"), which is underpinned by, </w:t>
      </w:r>
      <w:r w:rsidRPr="002B0160">
        <w:rPr>
          <w:i/>
          <w:iCs/>
        </w:rPr>
        <w:t>inter alia</w:t>
      </w:r>
      <w:r w:rsidRPr="002B0160">
        <w:t xml:space="preserve">, fertilizer and seed subsidies. Some limited price support is provided to the major staple crops. The average applied MFN tariff on agriculture products (WTO definition) was 15.5% as of March 2022; tariff protection was highest for live animals and meat at 24.1%. Most meat is imported, particularly poultry meat. Tariffs on poultry meat are set at 35% and imports are subject to licensing (permit) requirements to protect domestic production. </w:t>
      </w:r>
    </w:p>
    <w:p w14:paraId="248AEA5C" w14:textId="77777777" w:rsidR="000C45F4" w:rsidRPr="002B0160" w:rsidRDefault="000C45F4" w:rsidP="000C45F4">
      <w:pPr>
        <w:pStyle w:val="SummaryText"/>
      </w:pPr>
      <w:r w:rsidRPr="002B0160">
        <w:t>Exports of cocoa beans, the main agricultural export commodity, are under monopoly of the state-owned Ghana Cocoa Board (COCOBOD); its activities have not yet been notified to the WTO under Article XVII of the GATT 1994. There are no statutory export taxes on cocoa beans. The world's two leading cocoa exporters, Ghana and Côte d'Ivoire, are working together with the aim to improve their cocoa terms of trade, and thereby raise cocoa farmers' incomes. In 2020, these countries jointly introduced a premium of USD 400 per tonne (the so-called Living Income Differential), which is charged to buyers on top of the terminal market price of cocoa.</w:t>
      </w:r>
    </w:p>
    <w:p w14:paraId="004D8AD1" w14:textId="77777777" w:rsidR="000C45F4" w:rsidRPr="002B0160" w:rsidRDefault="000C45F4" w:rsidP="000C45F4">
      <w:pPr>
        <w:pStyle w:val="SummaryText"/>
      </w:pPr>
      <w:r w:rsidRPr="002B0160">
        <w:t xml:space="preserve"> Ghana has been a crude oil producer and exporter since 2010. Due to the impact of the pandemic on operations, oil production declined to 55 million barrels in 2021 (down from 71 million barrels in 2019). Ghana also started to produce natural gas during the review period and has increased its electricity exports. An Energy Sector Recovery Programme was adopted in 2019 to address budgetary difficulties triggered by an excess of government-contracted electricity and gas supplies.</w:t>
      </w:r>
    </w:p>
    <w:p w14:paraId="39D31AAA" w14:textId="77777777" w:rsidR="000C45F4" w:rsidRPr="002B0160" w:rsidRDefault="000C45F4" w:rsidP="000C45F4">
      <w:pPr>
        <w:pStyle w:val="SummaryText"/>
      </w:pPr>
      <w:r w:rsidRPr="002B0160">
        <w:t>Ghana has introduced a new local participation and local content policy aimed at increasing the share of "indigenous" companies in the oil, gas, and electricity sectors, including renewable energy. Although only about 2% of the electricity comes from renewables other than hydropower, foreign investment in renewables is subject to an indigenous Ghanaian equity participation of 15% at the start of a new project, rising to a mandatory Ghanaian majority stake of 51% after 10 years; ongoing projects are also affected.</w:t>
      </w:r>
    </w:p>
    <w:p w14:paraId="72B2C213" w14:textId="77777777" w:rsidR="000C45F4" w:rsidRPr="002B0160" w:rsidRDefault="000C45F4" w:rsidP="000C45F4">
      <w:pPr>
        <w:pStyle w:val="SummaryText"/>
      </w:pPr>
      <w:r w:rsidRPr="002B0160">
        <w:t xml:space="preserve">Ghana is well endowed with mineral resources. The mining sector contributes about 12% to GDP. Export earnings from the four major minerals (gold, diamonds, manganese, and bauxite) amounted to about USD 5.1 billion in 2021, down from about USD 7.2 billion in 2020. The country's mining policy is aimed at diversification of its mineral production base, </w:t>
      </w:r>
      <w:r w:rsidRPr="00461B90">
        <w:t>beneficiation, measures to stop illegal mining, and good governance. Tariff protection for mineral products (ISIC definition) averaged 5.1% in March 2022.</w:t>
      </w:r>
    </w:p>
    <w:p w14:paraId="4ECC44B8" w14:textId="77777777" w:rsidR="000C45F4" w:rsidRPr="002B0160" w:rsidRDefault="000C45F4" w:rsidP="000C45F4">
      <w:pPr>
        <w:pStyle w:val="SummaryText"/>
      </w:pPr>
      <w:r w:rsidRPr="002B0160">
        <w:t>The manufacturing sector has been in decline and currently contributes about 11% to GDP. The main industries include agricultural and timber processing, breweries, aluminium smelting, cement, oil refining, textiles, electronics, and pharmaceuticals. The average applied MFN tariff on manufactured products (ISIC definition) was 12.3% in March 2022; tariffs are higher on textiles (16.3%) and clothing (20%). Ghana's 10-point Industrial Transformation Agenda ranges from the One District One Factory scheme to automobile assembly and pharmaceutical incentive schemes. Moreover, import prohibitions apply to certain drugs reserved for local production.</w:t>
      </w:r>
    </w:p>
    <w:p w14:paraId="0D751D64" w14:textId="77777777" w:rsidR="000C45F4" w:rsidRPr="002B0160" w:rsidRDefault="000C45F4" w:rsidP="000C45F4">
      <w:pPr>
        <w:pStyle w:val="SummaryText"/>
      </w:pPr>
      <w:r w:rsidRPr="002B0160">
        <w:t xml:space="preserve">The services sector contributes about 48% to GDP (up from 41% in 2014). </w:t>
      </w:r>
      <w:r w:rsidRPr="002B0160">
        <w:rPr>
          <w:snapToGrid w:val="0"/>
        </w:rPr>
        <w:t xml:space="preserve">Ghana has a largely open trade regime on services which, together </w:t>
      </w:r>
      <w:r w:rsidRPr="002B0160">
        <w:t>with large investments in infrastructure, helps e</w:t>
      </w:r>
      <w:r w:rsidRPr="002B0160">
        <w:rPr>
          <w:snapToGrid w:val="0"/>
        </w:rPr>
        <w:t xml:space="preserve">xplain the development of its services sector. The </w:t>
      </w:r>
      <w:r w:rsidRPr="002B0160">
        <w:t xml:space="preserve">services regime remains largely unchanged, apart from a new Insurance Act adopted in 2021. </w:t>
      </w:r>
      <w:r w:rsidRPr="002B0160">
        <w:rPr>
          <w:snapToGrid w:val="0"/>
        </w:rPr>
        <w:t xml:space="preserve">Also, starting in </w:t>
      </w:r>
      <w:r w:rsidRPr="002B0160">
        <w:t xml:space="preserve">2017, the Bank of Ghana proceeded to a major clean-up of the banking sector. According to the IMF, Ghana's financial sector is now more stable, and its banks are better capitalized. </w:t>
      </w:r>
      <w:r w:rsidRPr="002B0160" w:rsidDel="001D7A85">
        <w:rPr>
          <w:snapToGrid w:val="0"/>
        </w:rPr>
        <w:t xml:space="preserve">Ghana </w:t>
      </w:r>
      <w:r w:rsidRPr="002B0160" w:rsidDel="001D7A85">
        <w:t xml:space="preserve">has experienced remarkable growth of its trade in services. Services exports in 2019 (before the pandemic) reached about USD 10 billion (up from about USD 2 billion in 2014) and imports surged to about USD 13.5 billion (up from about USD 4.5 billion). </w:t>
      </w:r>
      <w:r w:rsidRPr="002B0160">
        <w:t>Business services account for most of this trade expansion, as a growing number of multinational companies have chosen their headquarters in Ghana to supply business services to other African countries.</w:t>
      </w:r>
    </w:p>
    <w:p w14:paraId="5FECFF4D" w14:textId="77777777" w:rsidR="00C15F2E" w:rsidRPr="00D96063" w:rsidRDefault="00C15F2E" w:rsidP="00352F58"/>
    <w:p w14:paraId="220B0C0F" w14:textId="77777777" w:rsidR="00C15F2E" w:rsidRPr="00D96063" w:rsidRDefault="00C15F2E" w:rsidP="00352F58">
      <w:pPr>
        <w:sectPr w:rsidR="00C15F2E" w:rsidRPr="00D96063" w:rsidSect="00352F5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14:paraId="1CDA622F" w14:textId="2BD299FB" w:rsidR="00C15F2E" w:rsidRPr="00D96063" w:rsidRDefault="00C15F2E" w:rsidP="00045F7A">
      <w:pPr>
        <w:pStyle w:val="Heading1"/>
      </w:pPr>
      <w:bookmarkStart w:id="7" w:name="_Toc103607638"/>
      <w:r w:rsidRPr="00D96063">
        <w:lastRenderedPageBreak/>
        <w:t xml:space="preserve">ECONOMIC </w:t>
      </w:r>
      <w:r w:rsidRPr="00045F7A">
        <w:t>ENVIRONMENT</w:t>
      </w:r>
      <w:bookmarkEnd w:id="7"/>
    </w:p>
    <w:p w14:paraId="00F56A89" w14:textId="77777777" w:rsidR="00C15F2E" w:rsidRPr="00D96063" w:rsidRDefault="00C15F2E" w:rsidP="003758E5">
      <w:pPr>
        <w:pStyle w:val="Heading2"/>
      </w:pPr>
      <w:bookmarkStart w:id="8" w:name="_Toc103607639"/>
      <w:r w:rsidRPr="00D96063">
        <w:t>Main Features of the Economy</w:t>
      </w:r>
      <w:bookmarkEnd w:id="8"/>
    </w:p>
    <w:p w14:paraId="6204CBDB" w14:textId="77777777" w:rsidR="00C15F2E" w:rsidRPr="00D96063" w:rsidRDefault="00C15F2E" w:rsidP="003758E5">
      <w:pPr>
        <w:pStyle w:val="BodyText"/>
        <w:numPr>
          <w:ilvl w:val="6"/>
          <w:numId w:val="16"/>
        </w:numPr>
      </w:pPr>
      <w:r w:rsidRPr="00D96063">
        <w:t>Ghana is a natural resource-based economy with strong democratic institutions and good governance, which have contributed to attracting foreign investment, driving economic growth, and reducing poverty.</w:t>
      </w:r>
      <w:r w:rsidRPr="00D96063">
        <w:rPr>
          <w:rStyle w:val="FootnoteReference"/>
        </w:rPr>
        <w:footnoteReference w:id="1"/>
      </w:r>
      <w:r w:rsidRPr="00D96063">
        <w:t xml:space="preserve"> The per capita income of Ghana's 31 million people reached approximately USD 2,200 in 2020, an improvement since the previous Review in 2014 as Ghana has so far weathered the economic impact of the COVID-19 pandemic fairly well (Table 1.1). </w:t>
      </w:r>
      <w:bookmarkStart w:id="9" w:name="_Hlk97714141"/>
      <w:r w:rsidRPr="00D96063">
        <w:t>The World Bank ranks Ghana as a lower middle-income country.</w:t>
      </w:r>
      <w:r w:rsidRPr="00D96063">
        <w:rPr>
          <w:rStyle w:val="FootnoteReference"/>
        </w:rPr>
        <w:footnoteReference w:id="2"/>
      </w:r>
      <w:bookmarkEnd w:id="9"/>
    </w:p>
    <w:p w14:paraId="6D0D7257" w14:textId="77777777" w:rsidR="00C15F2E" w:rsidRPr="00D96063" w:rsidRDefault="00C15F2E" w:rsidP="003758E5">
      <w:pPr>
        <w:pStyle w:val="BodyText"/>
        <w:numPr>
          <w:ilvl w:val="6"/>
          <w:numId w:val="16"/>
        </w:numPr>
      </w:pPr>
      <w:r w:rsidRPr="00D96063">
        <w:t>Agriculture and mining remain the main pillars of the economy, contributing about one third to GDP (Table 1.1). Ghana is the world's second-largest cocoa producer, after Côte d'Ivoire. Despite its agricultural potential, Ghana remains a net food importer. The fisheries sector, including its important freshwater fisheries resources, contributed approximately 1% to GDP in 2020, a decline over the review period (Table 1.1). The country has a coastline of 550 km and an Exclusive Economic Zone (EEZ) of 225,000 km</w:t>
      </w:r>
      <w:r w:rsidRPr="00D96063">
        <w:rPr>
          <w:vertAlign w:val="superscript"/>
        </w:rPr>
        <w:t>2</w:t>
      </w:r>
      <w:r w:rsidRPr="00D96063">
        <w:t>. The forestry and logging sector contributed 1.1% to GDP in 2020 and remains an important foreign exchange earner.</w:t>
      </w:r>
    </w:p>
    <w:p w14:paraId="37E85A7C" w14:textId="666CD8BD" w:rsidR="00C15F2E" w:rsidRPr="00B96C5C" w:rsidRDefault="00C15F2E" w:rsidP="003758E5">
      <w:pPr>
        <w:pStyle w:val="BodyText"/>
        <w:numPr>
          <w:ilvl w:val="6"/>
          <w:numId w:val="16"/>
        </w:numPr>
        <w:rPr>
          <w:rFonts w:cs="Times New Roman"/>
        </w:rPr>
      </w:pPr>
      <w:r w:rsidRPr="00D96063">
        <w:t xml:space="preserve">Ghana's manufacturing sector is small (about 11% of GDP) and consists mainly of agricultural and timber processing, breweries, aluminium smelting, cement production, oil refining, textiles, electronics, and pharmaceuticals. </w:t>
      </w:r>
      <w:bookmarkStart w:id="10" w:name="_Hlk97558096"/>
      <w:r w:rsidRPr="00D96063">
        <w:t xml:space="preserve">Ghana is Africa's second-biggest producer of gold, and is rich in diamonds, and oil and gas. Exports of cocoa beans, unwrought gold, and crude oil together account for close to 80% of Ghana's merchandise exports. </w:t>
      </w:r>
      <w:bookmarkEnd w:id="10"/>
      <w:r w:rsidRPr="00D96063">
        <w:t>The economy is thus vulnerable to commodity terms-of-trade shocks (Chart 1.1), although trade in services has grown strong as several multinational companies have chosen Ghana to supply the African continent. Trade in goods and services accounts for 68% of GDP (Table 1.1).</w:t>
      </w:r>
    </w:p>
    <w:p w14:paraId="4AEAD847" w14:textId="77777777" w:rsidR="00B96C5C" w:rsidRPr="00D96063" w:rsidRDefault="00B96C5C" w:rsidP="00B96C5C">
      <w:pPr>
        <w:pStyle w:val="Caption"/>
        <w:rPr>
          <w:b w:val="0"/>
        </w:rPr>
      </w:pPr>
      <w:bookmarkStart w:id="11" w:name="_Toc103607876"/>
      <w:bookmarkStart w:id="12" w:name="_Hlk98747198"/>
      <w:r w:rsidRPr="00D96063">
        <w:t xml:space="preserve">Table </w:t>
      </w:r>
      <w:fldSimple w:instr=" STYLEREF 1 \s ">
        <w:r>
          <w:rPr>
            <w:noProof/>
          </w:rPr>
          <w:t>1</w:t>
        </w:r>
      </w:fldSimple>
      <w:r>
        <w:t>.</w:t>
      </w:r>
      <w:fldSimple w:instr=" SEQ Table \* ARABIC \s 1 ">
        <w:r>
          <w:rPr>
            <w:noProof/>
          </w:rPr>
          <w:t>1</w:t>
        </w:r>
      </w:fldSimple>
      <w:r w:rsidRPr="00D96063">
        <w:t xml:space="preserve"> Selected macroeconomic indicators, 2014-20</w:t>
      </w:r>
      <w:bookmarkEnd w:id="11"/>
    </w:p>
    <w:bookmarkEnd w:id="12"/>
    <w:tbl>
      <w:tblPr>
        <w:tblStyle w:val="WTOTable1"/>
        <w:tblW w:w="5000" w:type="pct"/>
        <w:tblLayout w:type="fixed"/>
        <w:tblLook w:val="04A0" w:firstRow="1" w:lastRow="0" w:firstColumn="1" w:lastColumn="0" w:noHBand="0" w:noVBand="1"/>
      </w:tblPr>
      <w:tblGrid>
        <w:gridCol w:w="3678"/>
        <w:gridCol w:w="757"/>
        <w:gridCol w:w="763"/>
        <w:gridCol w:w="763"/>
        <w:gridCol w:w="763"/>
        <w:gridCol w:w="763"/>
        <w:gridCol w:w="763"/>
        <w:gridCol w:w="766"/>
      </w:tblGrid>
      <w:tr w:rsidR="00B96C5C" w:rsidRPr="00D96063" w14:paraId="17127ED7" w14:textId="77777777" w:rsidTr="00765D22">
        <w:trPr>
          <w:cnfStyle w:val="100000000000" w:firstRow="1" w:lastRow="0" w:firstColumn="0" w:lastColumn="0" w:oddVBand="0" w:evenVBand="0" w:oddHBand="0" w:evenHBand="0" w:firstRowFirstColumn="0" w:firstRowLastColumn="0" w:lastRowFirstColumn="0" w:lastRowLastColumn="0"/>
          <w:trHeight w:val="240"/>
          <w:tblHeader/>
        </w:trPr>
        <w:tc>
          <w:tcPr>
            <w:tcW w:w="2040" w:type="pct"/>
            <w:hideMark/>
          </w:tcPr>
          <w:p w14:paraId="2E77FD47" w14:textId="77777777" w:rsidR="00B96C5C" w:rsidRPr="00D96063" w:rsidRDefault="00B96C5C" w:rsidP="00765D22">
            <w:pPr>
              <w:rPr>
                <w:rFonts w:cs="Calibri"/>
                <w:sz w:val="16"/>
                <w:szCs w:val="16"/>
              </w:rPr>
            </w:pPr>
          </w:p>
        </w:tc>
        <w:tc>
          <w:tcPr>
            <w:tcW w:w="420" w:type="pct"/>
            <w:hideMark/>
          </w:tcPr>
          <w:p w14:paraId="4C3C4C55" w14:textId="77777777" w:rsidR="00B96C5C" w:rsidRPr="00D96063" w:rsidRDefault="00B96C5C" w:rsidP="00765D22">
            <w:pPr>
              <w:rPr>
                <w:rFonts w:cs="Calibri"/>
                <w:sz w:val="16"/>
                <w:szCs w:val="16"/>
              </w:rPr>
            </w:pPr>
            <w:r w:rsidRPr="00D96063">
              <w:rPr>
                <w:rFonts w:cs="Calibri"/>
                <w:sz w:val="16"/>
                <w:szCs w:val="16"/>
              </w:rPr>
              <w:t>2014</w:t>
            </w:r>
          </w:p>
        </w:tc>
        <w:tc>
          <w:tcPr>
            <w:tcW w:w="423" w:type="pct"/>
            <w:hideMark/>
          </w:tcPr>
          <w:p w14:paraId="404933EB" w14:textId="77777777" w:rsidR="00B96C5C" w:rsidRPr="00D96063" w:rsidRDefault="00B96C5C" w:rsidP="00765D22">
            <w:pPr>
              <w:rPr>
                <w:rFonts w:cs="Calibri"/>
                <w:sz w:val="16"/>
                <w:szCs w:val="16"/>
              </w:rPr>
            </w:pPr>
            <w:r w:rsidRPr="00D96063">
              <w:rPr>
                <w:rFonts w:cs="Calibri"/>
                <w:sz w:val="16"/>
                <w:szCs w:val="16"/>
              </w:rPr>
              <w:t>2015</w:t>
            </w:r>
          </w:p>
        </w:tc>
        <w:tc>
          <w:tcPr>
            <w:tcW w:w="423" w:type="pct"/>
            <w:hideMark/>
          </w:tcPr>
          <w:p w14:paraId="53598C72" w14:textId="77777777" w:rsidR="00B96C5C" w:rsidRPr="00D96063" w:rsidRDefault="00B96C5C" w:rsidP="00765D22">
            <w:pPr>
              <w:rPr>
                <w:rFonts w:cs="Calibri"/>
                <w:sz w:val="16"/>
                <w:szCs w:val="16"/>
              </w:rPr>
            </w:pPr>
            <w:r w:rsidRPr="00D96063">
              <w:rPr>
                <w:rFonts w:cs="Calibri"/>
                <w:sz w:val="16"/>
                <w:szCs w:val="16"/>
              </w:rPr>
              <w:t>2016</w:t>
            </w:r>
          </w:p>
        </w:tc>
        <w:tc>
          <w:tcPr>
            <w:tcW w:w="423" w:type="pct"/>
            <w:hideMark/>
          </w:tcPr>
          <w:p w14:paraId="2D6DD598" w14:textId="77777777" w:rsidR="00B96C5C" w:rsidRPr="00D96063" w:rsidRDefault="00B96C5C" w:rsidP="00765D22">
            <w:pPr>
              <w:rPr>
                <w:rFonts w:cs="Calibri"/>
                <w:sz w:val="16"/>
                <w:szCs w:val="16"/>
              </w:rPr>
            </w:pPr>
            <w:r w:rsidRPr="00D96063">
              <w:rPr>
                <w:rFonts w:cs="Calibri"/>
                <w:sz w:val="16"/>
                <w:szCs w:val="16"/>
              </w:rPr>
              <w:t>2017</w:t>
            </w:r>
          </w:p>
        </w:tc>
        <w:tc>
          <w:tcPr>
            <w:tcW w:w="423" w:type="pct"/>
            <w:hideMark/>
          </w:tcPr>
          <w:p w14:paraId="69A7FC70" w14:textId="77777777" w:rsidR="00B96C5C" w:rsidRPr="00D96063" w:rsidRDefault="00B96C5C" w:rsidP="00765D22">
            <w:pPr>
              <w:rPr>
                <w:rFonts w:cs="Calibri"/>
                <w:sz w:val="16"/>
                <w:szCs w:val="16"/>
              </w:rPr>
            </w:pPr>
            <w:r w:rsidRPr="00D96063">
              <w:rPr>
                <w:rFonts w:cs="Calibri"/>
                <w:sz w:val="16"/>
                <w:szCs w:val="16"/>
              </w:rPr>
              <w:t>2018</w:t>
            </w:r>
          </w:p>
        </w:tc>
        <w:tc>
          <w:tcPr>
            <w:tcW w:w="423" w:type="pct"/>
            <w:hideMark/>
          </w:tcPr>
          <w:p w14:paraId="6C8C34D1" w14:textId="77777777" w:rsidR="00B96C5C" w:rsidRPr="00D96063" w:rsidRDefault="00B96C5C" w:rsidP="00765D22">
            <w:pPr>
              <w:rPr>
                <w:rFonts w:cs="Calibri"/>
                <w:sz w:val="16"/>
                <w:szCs w:val="16"/>
              </w:rPr>
            </w:pPr>
            <w:r w:rsidRPr="00D96063">
              <w:rPr>
                <w:rFonts w:cs="Calibri"/>
                <w:sz w:val="16"/>
                <w:szCs w:val="16"/>
              </w:rPr>
              <w:t>2019</w:t>
            </w:r>
          </w:p>
        </w:tc>
        <w:tc>
          <w:tcPr>
            <w:tcW w:w="425" w:type="pct"/>
            <w:hideMark/>
          </w:tcPr>
          <w:p w14:paraId="59D337DA" w14:textId="77777777" w:rsidR="00B96C5C" w:rsidRPr="00D96063" w:rsidRDefault="00B96C5C" w:rsidP="00765D22">
            <w:pPr>
              <w:rPr>
                <w:rFonts w:cs="Calibri"/>
                <w:sz w:val="16"/>
                <w:szCs w:val="16"/>
              </w:rPr>
            </w:pPr>
            <w:r w:rsidRPr="00D96063">
              <w:rPr>
                <w:rFonts w:cs="Calibri"/>
                <w:sz w:val="16"/>
                <w:szCs w:val="16"/>
              </w:rPr>
              <w:t>2020</w:t>
            </w:r>
            <w:r w:rsidRPr="00D96063">
              <w:rPr>
                <w:rFonts w:cs="Calibri"/>
                <w:sz w:val="16"/>
                <w:szCs w:val="16"/>
                <w:vertAlign w:val="superscript"/>
              </w:rPr>
              <w:t>a</w:t>
            </w:r>
          </w:p>
        </w:tc>
      </w:tr>
      <w:tr w:rsidR="00B96C5C" w:rsidRPr="00D96063" w14:paraId="3F3620B4" w14:textId="77777777" w:rsidTr="00765D22">
        <w:trPr>
          <w:trHeight w:val="240"/>
        </w:trPr>
        <w:tc>
          <w:tcPr>
            <w:tcW w:w="2040" w:type="pct"/>
            <w:noWrap/>
            <w:hideMark/>
          </w:tcPr>
          <w:p w14:paraId="3B98AD03" w14:textId="77777777" w:rsidR="00B96C5C" w:rsidRPr="00D96063" w:rsidRDefault="00B96C5C" w:rsidP="00765D22">
            <w:pPr>
              <w:jc w:val="left"/>
              <w:rPr>
                <w:rFonts w:cs="Calibri"/>
                <w:sz w:val="16"/>
                <w:szCs w:val="16"/>
              </w:rPr>
            </w:pPr>
            <w:r w:rsidRPr="00D96063">
              <w:rPr>
                <w:rFonts w:cs="Calibri"/>
                <w:sz w:val="16"/>
                <w:szCs w:val="16"/>
              </w:rPr>
              <w:t>Nominal GDP (GHS billion)</w:t>
            </w:r>
          </w:p>
        </w:tc>
        <w:tc>
          <w:tcPr>
            <w:tcW w:w="420" w:type="pct"/>
            <w:noWrap/>
            <w:hideMark/>
          </w:tcPr>
          <w:p w14:paraId="6B321AB0" w14:textId="77777777" w:rsidR="00B96C5C" w:rsidRPr="00D96063" w:rsidRDefault="00B96C5C" w:rsidP="00765D22">
            <w:pPr>
              <w:jc w:val="right"/>
              <w:rPr>
                <w:rFonts w:cs="Calibri"/>
                <w:sz w:val="16"/>
                <w:szCs w:val="16"/>
              </w:rPr>
            </w:pPr>
            <w:r w:rsidRPr="00D96063">
              <w:rPr>
                <w:rFonts w:cs="Calibri"/>
                <w:sz w:val="16"/>
                <w:szCs w:val="16"/>
              </w:rPr>
              <w:t>158.7</w:t>
            </w:r>
          </w:p>
        </w:tc>
        <w:tc>
          <w:tcPr>
            <w:tcW w:w="423" w:type="pct"/>
            <w:noWrap/>
            <w:hideMark/>
          </w:tcPr>
          <w:p w14:paraId="7C36C087" w14:textId="77777777" w:rsidR="00B96C5C" w:rsidRPr="00D96063" w:rsidRDefault="00B96C5C" w:rsidP="00765D22">
            <w:pPr>
              <w:jc w:val="right"/>
              <w:rPr>
                <w:rFonts w:cs="Calibri"/>
                <w:sz w:val="16"/>
                <w:szCs w:val="16"/>
              </w:rPr>
            </w:pPr>
            <w:r w:rsidRPr="00D96063">
              <w:rPr>
                <w:rFonts w:cs="Calibri"/>
                <w:sz w:val="16"/>
                <w:szCs w:val="16"/>
              </w:rPr>
              <w:t>183.5</w:t>
            </w:r>
          </w:p>
        </w:tc>
        <w:tc>
          <w:tcPr>
            <w:tcW w:w="423" w:type="pct"/>
            <w:noWrap/>
            <w:hideMark/>
          </w:tcPr>
          <w:p w14:paraId="5B84FF24" w14:textId="77777777" w:rsidR="00B96C5C" w:rsidRPr="00D96063" w:rsidRDefault="00B96C5C" w:rsidP="00765D22">
            <w:pPr>
              <w:jc w:val="right"/>
              <w:rPr>
                <w:rFonts w:cs="Calibri"/>
                <w:sz w:val="16"/>
                <w:szCs w:val="16"/>
              </w:rPr>
            </w:pPr>
            <w:r w:rsidRPr="00D96063">
              <w:rPr>
                <w:rFonts w:cs="Calibri"/>
                <w:sz w:val="16"/>
                <w:szCs w:val="16"/>
              </w:rPr>
              <w:t>219.6</w:t>
            </w:r>
          </w:p>
        </w:tc>
        <w:tc>
          <w:tcPr>
            <w:tcW w:w="423" w:type="pct"/>
            <w:noWrap/>
            <w:hideMark/>
          </w:tcPr>
          <w:p w14:paraId="183CEAE9" w14:textId="77777777" w:rsidR="00B96C5C" w:rsidRPr="00D96063" w:rsidRDefault="00B96C5C" w:rsidP="00765D22">
            <w:pPr>
              <w:jc w:val="right"/>
              <w:rPr>
                <w:rFonts w:cs="Calibri"/>
                <w:sz w:val="16"/>
                <w:szCs w:val="16"/>
              </w:rPr>
            </w:pPr>
            <w:r w:rsidRPr="00D96063">
              <w:rPr>
                <w:rFonts w:cs="Calibri"/>
                <w:sz w:val="16"/>
                <w:szCs w:val="16"/>
              </w:rPr>
              <w:t>262.8</w:t>
            </w:r>
          </w:p>
        </w:tc>
        <w:tc>
          <w:tcPr>
            <w:tcW w:w="423" w:type="pct"/>
            <w:noWrap/>
            <w:hideMark/>
          </w:tcPr>
          <w:p w14:paraId="740CB685" w14:textId="77777777" w:rsidR="00B96C5C" w:rsidRPr="00D96063" w:rsidRDefault="00B96C5C" w:rsidP="00765D22">
            <w:pPr>
              <w:jc w:val="right"/>
              <w:rPr>
                <w:rFonts w:cs="Calibri"/>
                <w:sz w:val="16"/>
                <w:szCs w:val="16"/>
              </w:rPr>
            </w:pPr>
            <w:r w:rsidRPr="00D96063">
              <w:rPr>
                <w:rFonts w:cs="Calibri"/>
                <w:sz w:val="16"/>
                <w:szCs w:val="16"/>
              </w:rPr>
              <w:t>308.6</w:t>
            </w:r>
          </w:p>
        </w:tc>
        <w:tc>
          <w:tcPr>
            <w:tcW w:w="423" w:type="pct"/>
            <w:noWrap/>
            <w:hideMark/>
          </w:tcPr>
          <w:p w14:paraId="26C31044" w14:textId="77777777" w:rsidR="00B96C5C" w:rsidRPr="00D96063" w:rsidRDefault="00B96C5C" w:rsidP="00765D22">
            <w:pPr>
              <w:jc w:val="right"/>
              <w:rPr>
                <w:rFonts w:cs="Calibri"/>
                <w:sz w:val="16"/>
                <w:szCs w:val="16"/>
              </w:rPr>
            </w:pPr>
            <w:r w:rsidRPr="00D96063">
              <w:rPr>
                <w:rFonts w:cs="Calibri"/>
                <w:sz w:val="16"/>
                <w:szCs w:val="16"/>
              </w:rPr>
              <w:t>356.5</w:t>
            </w:r>
          </w:p>
        </w:tc>
        <w:tc>
          <w:tcPr>
            <w:tcW w:w="425" w:type="pct"/>
            <w:noWrap/>
            <w:hideMark/>
          </w:tcPr>
          <w:p w14:paraId="2453D599" w14:textId="77777777" w:rsidR="00B96C5C" w:rsidRPr="00D96063" w:rsidRDefault="00B96C5C" w:rsidP="00765D22">
            <w:pPr>
              <w:jc w:val="right"/>
              <w:rPr>
                <w:rFonts w:cs="Calibri"/>
                <w:sz w:val="16"/>
                <w:szCs w:val="16"/>
              </w:rPr>
            </w:pPr>
            <w:r w:rsidRPr="00D96063">
              <w:rPr>
                <w:rFonts w:cs="Calibri"/>
                <w:sz w:val="16"/>
                <w:szCs w:val="16"/>
              </w:rPr>
              <w:t>383.5</w:t>
            </w:r>
          </w:p>
        </w:tc>
      </w:tr>
      <w:tr w:rsidR="00B96C5C" w:rsidRPr="00D96063" w14:paraId="3C51C03A"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1A91763B" w14:textId="77777777" w:rsidR="00B96C5C" w:rsidRPr="00D96063" w:rsidRDefault="00B96C5C" w:rsidP="00765D22">
            <w:pPr>
              <w:jc w:val="left"/>
              <w:rPr>
                <w:rFonts w:cs="Calibri"/>
                <w:sz w:val="16"/>
                <w:szCs w:val="16"/>
              </w:rPr>
            </w:pPr>
            <w:r w:rsidRPr="00D96063">
              <w:rPr>
                <w:rFonts w:cs="Calibri"/>
                <w:sz w:val="16"/>
                <w:szCs w:val="16"/>
              </w:rPr>
              <w:t>Nominal GDP (USD billion)</w:t>
            </w:r>
          </w:p>
        </w:tc>
        <w:tc>
          <w:tcPr>
            <w:tcW w:w="420" w:type="pct"/>
            <w:noWrap/>
            <w:hideMark/>
          </w:tcPr>
          <w:p w14:paraId="59716AEE" w14:textId="77777777" w:rsidR="00B96C5C" w:rsidRPr="00D96063" w:rsidRDefault="00B96C5C" w:rsidP="00765D22">
            <w:pPr>
              <w:jc w:val="right"/>
              <w:rPr>
                <w:rFonts w:cs="Calibri"/>
                <w:sz w:val="16"/>
                <w:szCs w:val="16"/>
              </w:rPr>
            </w:pPr>
            <w:r w:rsidRPr="00D96063">
              <w:rPr>
                <w:rFonts w:cs="Calibri"/>
                <w:sz w:val="16"/>
                <w:szCs w:val="16"/>
              </w:rPr>
              <w:t>54.1</w:t>
            </w:r>
          </w:p>
        </w:tc>
        <w:tc>
          <w:tcPr>
            <w:tcW w:w="423" w:type="pct"/>
            <w:noWrap/>
            <w:hideMark/>
          </w:tcPr>
          <w:p w14:paraId="6F2020D2" w14:textId="77777777" w:rsidR="00B96C5C" w:rsidRPr="00D96063" w:rsidRDefault="00B96C5C" w:rsidP="00765D22">
            <w:pPr>
              <w:jc w:val="right"/>
              <w:rPr>
                <w:rFonts w:cs="Calibri"/>
                <w:sz w:val="16"/>
                <w:szCs w:val="16"/>
              </w:rPr>
            </w:pPr>
            <w:r w:rsidRPr="00D96063">
              <w:rPr>
                <w:rFonts w:cs="Calibri"/>
                <w:sz w:val="16"/>
                <w:szCs w:val="16"/>
              </w:rPr>
              <w:t>48.6</w:t>
            </w:r>
          </w:p>
        </w:tc>
        <w:tc>
          <w:tcPr>
            <w:tcW w:w="423" w:type="pct"/>
            <w:noWrap/>
            <w:hideMark/>
          </w:tcPr>
          <w:p w14:paraId="3E981BDD" w14:textId="77777777" w:rsidR="00B96C5C" w:rsidRPr="00D96063" w:rsidRDefault="00B96C5C" w:rsidP="00765D22">
            <w:pPr>
              <w:jc w:val="right"/>
              <w:rPr>
                <w:rFonts w:cs="Calibri"/>
                <w:sz w:val="16"/>
                <w:szCs w:val="16"/>
              </w:rPr>
            </w:pPr>
            <w:r w:rsidRPr="00D96063">
              <w:rPr>
                <w:rFonts w:cs="Calibri"/>
                <w:sz w:val="16"/>
                <w:szCs w:val="16"/>
              </w:rPr>
              <w:t>56.0</w:t>
            </w:r>
          </w:p>
        </w:tc>
        <w:tc>
          <w:tcPr>
            <w:tcW w:w="423" w:type="pct"/>
            <w:noWrap/>
            <w:hideMark/>
          </w:tcPr>
          <w:p w14:paraId="6C71C5A0" w14:textId="77777777" w:rsidR="00B96C5C" w:rsidRPr="00D96063" w:rsidRDefault="00B96C5C" w:rsidP="00765D22">
            <w:pPr>
              <w:jc w:val="right"/>
              <w:rPr>
                <w:rFonts w:cs="Calibri"/>
                <w:sz w:val="16"/>
                <w:szCs w:val="16"/>
              </w:rPr>
            </w:pPr>
            <w:r w:rsidRPr="00D96063">
              <w:rPr>
                <w:rFonts w:cs="Calibri"/>
                <w:sz w:val="16"/>
                <w:szCs w:val="16"/>
              </w:rPr>
              <w:t>60.3</w:t>
            </w:r>
          </w:p>
        </w:tc>
        <w:tc>
          <w:tcPr>
            <w:tcW w:w="423" w:type="pct"/>
            <w:noWrap/>
            <w:hideMark/>
          </w:tcPr>
          <w:p w14:paraId="63B76AE2" w14:textId="77777777" w:rsidR="00B96C5C" w:rsidRPr="00D96063" w:rsidRDefault="00B96C5C" w:rsidP="00765D22">
            <w:pPr>
              <w:jc w:val="right"/>
              <w:rPr>
                <w:rFonts w:cs="Calibri"/>
                <w:sz w:val="16"/>
                <w:szCs w:val="16"/>
              </w:rPr>
            </w:pPr>
            <w:r w:rsidRPr="00D96063">
              <w:rPr>
                <w:rFonts w:cs="Calibri"/>
                <w:sz w:val="16"/>
                <w:szCs w:val="16"/>
              </w:rPr>
              <w:t>67.3</w:t>
            </w:r>
          </w:p>
        </w:tc>
        <w:tc>
          <w:tcPr>
            <w:tcW w:w="423" w:type="pct"/>
            <w:noWrap/>
            <w:hideMark/>
          </w:tcPr>
          <w:p w14:paraId="0E8C3F57" w14:textId="77777777" w:rsidR="00B96C5C" w:rsidRPr="00D96063" w:rsidRDefault="00B96C5C" w:rsidP="00765D22">
            <w:pPr>
              <w:jc w:val="right"/>
              <w:rPr>
                <w:rFonts w:cs="Calibri"/>
                <w:sz w:val="16"/>
                <w:szCs w:val="16"/>
              </w:rPr>
            </w:pPr>
            <w:r w:rsidRPr="00D96063">
              <w:rPr>
                <w:rFonts w:cs="Calibri"/>
                <w:sz w:val="16"/>
                <w:szCs w:val="16"/>
              </w:rPr>
              <w:t>68.3</w:t>
            </w:r>
          </w:p>
        </w:tc>
        <w:tc>
          <w:tcPr>
            <w:tcW w:w="425" w:type="pct"/>
            <w:noWrap/>
            <w:hideMark/>
          </w:tcPr>
          <w:p w14:paraId="35669AEA" w14:textId="77777777" w:rsidR="00B96C5C" w:rsidRPr="00D96063" w:rsidRDefault="00B96C5C" w:rsidP="00765D22">
            <w:pPr>
              <w:jc w:val="right"/>
              <w:rPr>
                <w:rFonts w:cs="Calibri"/>
                <w:sz w:val="16"/>
                <w:szCs w:val="16"/>
              </w:rPr>
            </w:pPr>
            <w:r w:rsidRPr="00D96063">
              <w:rPr>
                <w:rFonts w:cs="Calibri"/>
                <w:sz w:val="16"/>
                <w:szCs w:val="16"/>
              </w:rPr>
              <w:t>68.5</w:t>
            </w:r>
          </w:p>
        </w:tc>
      </w:tr>
      <w:tr w:rsidR="00B96C5C" w:rsidRPr="00D96063" w14:paraId="1A964EEB" w14:textId="77777777" w:rsidTr="00765D22">
        <w:trPr>
          <w:trHeight w:val="240"/>
        </w:trPr>
        <w:tc>
          <w:tcPr>
            <w:tcW w:w="2040" w:type="pct"/>
            <w:noWrap/>
            <w:hideMark/>
          </w:tcPr>
          <w:p w14:paraId="274833E8" w14:textId="77777777" w:rsidR="00B96C5C" w:rsidRPr="00D96063" w:rsidRDefault="00B96C5C" w:rsidP="00765D22">
            <w:pPr>
              <w:jc w:val="left"/>
              <w:rPr>
                <w:rFonts w:cs="Calibri"/>
                <w:sz w:val="16"/>
                <w:szCs w:val="16"/>
              </w:rPr>
            </w:pPr>
            <w:r w:rsidRPr="00D96063">
              <w:rPr>
                <w:rFonts w:cs="Calibri"/>
                <w:sz w:val="16"/>
                <w:szCs w:val="16"/>
              </w:rPr>
              <w:t>Real GDP percentage change (in constant prices, base year 2013):</w:t>
            </w:r>
          </w:p>
        </w:tc>
        <w:tc>
          <w:tcPr>
            <w:tcW w:w="420" w:type="pct"/>
            <w:noWrap/>
            <w:hideMark/>
          </w:tcPr>
          <w:p w14:paraId="17FC2606" w14:textId="77777777" w:rsidR="00B96C5C" w:rsidRPr="00D96063" w:rsidRDefault="00B96C5C" w:rsidP="00765D22">
            <w:pPr>
              <w:jc w:val="right"/>
              <w:rPr>
                <w:rFonts w:cs="Calibri"/>
                <w:sz w:val="16"/>
                <w:szCs w:val="16"/>
              </w:rPr>
            </w:pPr>
            <w:r w:rsidRPr="00D96063">
              <w:rPr>
                <w:rFonts w:cs="Calibri"/>
                <w:sz w:val="16"/>
                <w:szCs w:val="16"/>
              </w:rPr>
              <w:t>2.9</w:t>
            </w:r>
          </w:p>
        </w:tc>
        <w:tc>
          <w:tcPr>
            <w:tcW w:w="423" w:type="pct"/>
            <w:noWrap/>
            <w:hideMark/>
          </w:tcPr>
          <w:p w14:paraId="3F4B6662" w14:textId="77777777" w:rsidR="00B96C5C" w:rsidRPr="00D96063" w:rsidRDefault="00B96C5C" w:rsidP="00765D22">
            <w:pPr>
              <w:jc w:val="right"/>
              <w:rPr>
                <w:rFonts w:cs="Calibri"/>
                <w:sz w:val="16"/>
                <w:szCs w:val="16"/>
              </w:rPr>
            </w:pPr>
            <w:r w:rsidRPr="00D96063">
              <w:rPr>
                <w:rFonts w:cs="Calibri"/>
                <w:sz w:val="16"/>
                <w:szCs w:val="16"/>
              </w:rPr>
              <w:t>2.1</w:t>
            </w:r>
          </w:p>
        </w:tc>
        <w:tc>
          <w:tcPr>
            <w:tcW w:w="423" w:type="pct"/>
            <w:noWrap/>
            <w:hideMark/>
          </w:tcPr>
          <w:p w14:paraId="4AA38BE7" w14:textId="77777777" w:rsidR="00B96C5C" w:rsidRPr="00D96063" w:rsidRDefault="00B96C5C" w:rsidP="00765D22">
            <w:pPr>
              <w:jc w:val="right"/>
              <w:rPr>
                <w:rFonts w:cs="Calibri"/>
                <w:sz w:val="16"/>
                <w:szCs w:val="16"/>
              </w:rPr>
            </w:pPr>
            <w:r w:rsidRPr="00D96063">
              <w:rPr>
                <w:rFonts w:cs="Calibri"/>
                <w:sz w:val="16"/>
                <w:szCs w:val="16"/>
              </w:rPr>
              <w:t>3.4</w:t>
            </w:r>
          </w:p>
        </w:tc>
        <w:tc>
          <w:tcPr>
            <w:tcW w:w="423" w:type="pct"/>
            <w:noWrap/>
            <w:hideMark/>
          </w:tcPr>
          <w:p w14:paraId="7F3AEFA3" w14:textId="77777777" w:rsidR="00B96C5C" w:rsidRPr="00D96063" w:rsidRDefault="00B96C5C" w:rsidP="00765D22">
            <w:pPr>
              <w:jc w:val="right"/>
              <w:rPr>
                <w:rFonts w:cs="Calibri"/>
                <w:sz w:val="16"/>
                <w:szCs w:val="16"/>
              </w:rPr>
            </w:pPr>
            <w:r w:rsidRPr="00D96063">
              <w:rPr>
                <w:rFonts w:cs="Calibri"/>
                <w:sz w:val="16"/>
                <w:szCs w:val="16"/>
              </w:rPr>
              <w:t>8.1</w:t>
            </w:r>
          </w:p>
        </w:tc>
        <w:tc>
          <w:tcPr>
            <w:tcW w:w="423" w:type="pct"/>
            <w:noWrap/>
            <w:hideMark/>
          </w:tcPr>
          <w:p w14:paraId="13082E70" w14:textId="77777777" w:rsidR="00B96C5C" w:rsidRPr="00D96063" w:rsidRDefault="00B96C5C" w:rsidP="00765D22">
            <w:pPr>
              <w:jc w:val="right"/>
              <w:rPr>
                <w:rFonts w:cs="Calibri"/>
                <w:sz w:val="16"/>
                <w:szCs w:val="16"/>
              </w:rPr>
            </w:pPr>
            <w:r w:rsidRPr="00D96063">
              <w:rPr>
                <w:rFonts w:cs="Calibri"/>
                <w:sz w:val="16"/>
                <w:szCs w:val="16"/>
              </w:rPr>
              <w:t>6.2</w:t>
            </w:r>
          </w:p>
        </w:tc>
        <w:tc>
          <w:tcPr>
            <w:tcW w:w="423" w:type="pct"/>
            <w:noWrap/>
            <w:hideMark/>
          </w:tcPr>
          <w:p w14:paraId="3BEA39A8" w14:textId="77777777" w:rsidR="00B96C5C" w:rsidRPr="00D96063" w:rsidRDefault="00B96C5C" w:rsidP="00765D22">
            <w:pPr>
              <w:jc w:val="right"/>
              <w:rPr>
                <w:rFonts w:cs="Calibri"/>
                <w:sz w:val="16"/>
                <w:szCs w:val="16"/>
              </w:rPr>
            </w:pPr>
            <w:r w:rsidRPr="00D96063">
              <w:rPr>
                <w:rFonts w:cs="Calibri"/>
                <w:sz w:val="16"/>
                <w:szCs w:val="16"/>
              </w:rPr>
              <w:t>6.5</w:t>
            </w:r>
          </w:p>
        </w:tc>
        <w:tc>
          <w:tcPr>
            <w:tcW w:w="425" w:type="pct"/>
            <w:noWrap/>
            <w:hideMark/>
          </w:tcPr>
          <w:p w14:paraId="23B2BA00" w14:textId="77777777" w:rsidR="00B96C5C" w:rsidRPr="00D96063" w:rsidRDefault="00B96C5C" w:rsidP="00765D22">
            <w:pPr>
              <w:jc w:val="right"/>
              <w:rPr>
                <w:rFonts w:cs="Calibri"/>
                <w:sz w:val="16"/>
                <w:szCs w:val="16"/>
              </w:rPr>
            </w:pPr>
            <w:r w:rsidRPr="00D96063">
              <w:rPr>
                <w:rFonts w:cs="Calibri"/>
                <w:sz w:val="16"/>
                <w:szCs w:val="16"/>
              </w:rPr>
              <w:t>0.4</w:t>
            </w:r>
          </w:p>
        </w:tc>
      </w:tr>
      <w:tr w:rsidR="00B96C5C" w:rsidRPr="00D96063" w14:paraId="4AAB5526"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135E5AB3" w14:textId="77777777" w:rsidR="00B96C5C" w:rsidRPr="00D96063" w:rsidRDefault="00B96C5C" w:rsidP="00765D22">
            <w:pPr>
              <w:ind w:left="284" w:hanging="284"/>
              <w:jc w:val="left"/>
              <w:rPr>
                <w:rFonts w:cs="Calibri"/>
                <w:sz w:val="16"/>
                <w:szCs w:val="16"/>
              </w:rPr>
            </w:pPr>
            <w:r w:rsidRPr="00D96063">
              <w:rPr>
                <w:rFonts w:cs="Calibri"/>
                <w:sz w:val="16"/>
                <w:szCs w:val="16"/>
              </w:rPr>
              <w:tab/>
              <w:t xml:space="preserve">Real oil and gas sector GDP  </w:t>
            </w:r>
          </w:p>
        </w:tc>
        <w:tc>
          <w:tcPr>
            <w:tcW w:w="420" w:type="pct"/>
            <w:noWrap/>
            <w:hideMark/>
          </w:tcPr>
          <w:p w14:paraId="25CA49E3" w14:textId="77777777" w:rsidR="00B96C5C" w:rsidRPr="00D96063" w:rsidRDefault="00B96C5C" w:rsidP="00765D22">
            <w:pPr>
              <w:jc w:val="right"/>
              <w:rPr>
                <w:rFonts w:cs="Calibri"/>
                <w:sz w:val="16"/>
                <w:szCs w:val="16"/>
              </w:rPr>
            </w:pPr>
            <w:r w:rsidRPr="00D96063">
              <w:rPr>
                <w:rFonts w:cs="Calibri"/>
                <w:sz w:val="16"/>
                <w:szCs w:val="16"/>
              </w:rPr>
              <w:t>9.3</w:t>
            </w:r>
          </w:p>
        </w:tc>
        <w:tc>
          <w:tcPr>
            <w:tcW w:w="423" w:type="pct"/>
            <w:noWrap/>
            <w:hideMark/>
          </w:tcPr>
          <w:p w14:paraId="5C816088" w14:textId="77777777" w:rsidR="00B96C5C" w:rsidRPr="00D96063" w:rsidRDefault="00B96C5C" w:rsidP="00765D22">
            <w:pPr>
              <w:jc w:val="right"/>
              <w:rPr>
                <w:rFonts w:cs="Calibri"/>
                <w:sz w:val="16"/>
                <w:szCs w:val="16"/>
              </w:rPr>
            </w:pPr>
            <w:r w:rsidRPr="00D96063">
              <w:rPr>
                <w:rFonts w:cs="Calibri"/>
                <w:sz w:val="16"/>
                <w:szCs w:val="16"/>
              </w:rPr>
              <w:t>2.0</w:t>
            </w:r>
          </w:p>
        </w:tc>
        <w:tc>
          <w:tcPr>
            <w:tcW w:w="423" w:type="pct"/>
            <w:noWrap/>
            <w:hideMark/>
          </w:tcPr>
          <w:p w14:paraId="6A611DCA" w14:textId="77777777" w:rsidR="00B96C5C" w:rsidRPr="00D96063" w:rsidRDefault="00B96C5C" w:rsidP="00765D22">
            <w:pPr>
              <w:jc w:val="right"/>
              <w:rPr>
                <w:rFonts w:cs="Calibri"/>
                <w:sz w:val="16"/>
                <w:szCs w:val="16"/>
              </w:rPr>
            </w:pPr>
            <w:r w:rsidRPr="00D96063">
              <w:rPr>
                <w:rFonts w:cs="Calibri"/>
                <w:sz w:val="16"/>
                <w:szCs w:val="16"/>
              </w:rPr>
              <w:t>-15.6</w:t>
            </w:r>
          </w:p>
        </w:tc>
        <w:tc>
          <w:tcPr>
            <w:tcW w:w="423" w:type="pct"/>
            <w:noWrap/>
            <w:hideMark/>
          </w:tcPr>
          <w:p w14:paraId="2AC0CD2A" w14:textId="77777777" w:rsidR="00B96C5C" w:rsidRPr="00D96063" w:rsidRDefault="00B96C5C" w:rsidP="00765D22">
            <w:pPr>
              <w:jc w:val="right"/>
              <w:rPr>
                <w:rFonts w:cs="Calibri"/>
                <w:sz w:val="16"/>
                <w:szCs w:val="16"/>
              </w:rPr>
            </w:pPr>
            <w:r w:rsidRPr="00D96063">
              <w:rPr>
                <w:rFonts w:cs="Calibri"/>
                <w:sz w:val="16"/>
                <w:szCs w:val="16"/>
              </w:rPr>
              <w:t>80.3</w:t>
            </w:r>
          </w:p>
        </w:tc>
        <w:tc>
          <w:tcPr>
            <w:tcW w:w="423" w:type="pct"/>
            <w:noWrap/>
            <w:hideMark/>
          </w:tcPr>
          <w:p w14:paraId="418B849F" w14:textId="77777777" w:rsidR="00B96C5C" w:rsidRPr="00D96063" w:rsidRDefault="00B96C5C" w:rsidP="00765D22">
            <w:pPr>
              <w:jc w:val="right"/>
              <w:rPr>
                <w:rFonts w:cs="Calibri"/>
                <w:sz w:val="16"/>
                <w:szCs w:val="16"/>
              </w:rPr>
            </w:pPr>
            <w:r w:rsidRPr="00D96063">
              <w:rPr>
                <w:rFonts w:cs="Calibri"/>
                <w:sz w:val="16"/>
                <w:szCs w:val="16"/>
              </w:rPr>
              <w:t>7.9</w:t>
            </w:r>
          </w:p>
        </w:tc>
        <w:tc>
          <w:tcPr>
            <w:tcW w:w="423" w:type="pct"/>
            <w:noWrap/>
            <w:hideMark/>
          </w:tcPr>
          <w:p w14:paraId="206BA2BA" w14:textId="77777777" w:rsidR="00B96C5C" w:rsidRPr="00D96063" w:rsidRDefault="00B96C5C" w:rsidP="00765D22">
            <w:pPr>
              <w:jc w:val="right"/>
              <w:rPr>
                <w:rFonts w:cs="Calibri"/>
                <w:sz w:val="16"/>
                <w:szCs w:val="16"/>
              </w:rPr>
            </w:pPr>
            <w:r w:rsidRPr="00D96063">
              <w:rPr>
                <w:rFonts w:cs="Calibri"/>
                <w:sz w:val="16"/>
                <w:szCs w:val="16"/>
              </w:rPr>
              <w:t>14.4</w:t>
            </w:r>
          </w:p>
        </w:tc>
        <w:tc>
          <w:tcPr>
            <w:tcW w:w="425" w:type="pct"/>
            <w:noWrap/>
            <w:hideMark/>
          </w:tcPr>
          <w:p w14:paraId="5C4E80AD" w14:textId="77777777" w:rsidR="00B96C5C" w:rsidRPr="00D96063" w:rsidRDefault="00B96C5C" w:rsidP="00765D22">
            <w:pPr>
              <w:jc w:val="right"/>
              <w:rPr>
                <w:rFonts w:cs="Calibri"/>
                <w:sz w:val="16"/>
                <w:szCs w:val="16"/>
              </w:rPr>
            </w:pPr>
            <w:r w:rsidRPr="00D96063">
              <w:rPr>
                <w:rFonts w:cs="Calibri"/>
                <w:sz w:val="16"/>
                <w:szCs w:val="16"/>
              </w:rPr>
              <w:t>-4.6</w:t>
            </w:r>
          </w:p>
        </w:tc>
      </w:tr>
      <w:tr w:rsidR="00B96C5C" w:rsidRPr="00D96063" w14:paraId="1BFD805F" w14:textId="77777777" w:rsidTr="00765D22">
        <w:trPr>
          <w:trHeight w:val="240"/>
        </w:trPr>
        <w:tc>
          <w:tcPr>
            <w:tcW w:w="2040" w:type="pct"/>
            <w:noWrap/>
            <w:hideMark/>
          </w:tcPr>
          <w:p w14:paraId="29EE66A7" w14:textId="77777777" w:rsidR="00B96C5C" w:rsidRPr="00D96063" w:rsidRDefault="00B96C5C" w:rsidP="00765D22">
            <w:pPr>
              <w:ind w:left="284" w:hanging="284"/>
              <w:jc w:val="left"/>
              <w:rPr>
                <w:rFonts w:cs="Calibri"/>
                <w:sz w:val="16"/>
                <w:szCs w:val="16"/>
              </w:rPr>
            </w:pPr>
            <w:r w:rsidRPr="00D96063">
              <w:rPr>
                <w:rFonts w:cs="Calibri"/>
                <w:sz w:val="16"/>
                <w:szCs w:val="16"/>
              </w:rPr>
              <w:tab/>
              <w:t xml:space="preserve">Real non-oil sector GDP  </w:t>
            </w:r>
          </w:p>
        </w:tc>
        <w:tc>
          <w:tcPr>
            <w:tcW w:w="420" w:type="pct"/>
            <w:noWrap/>
            <w:hideMark/>
          </w:tcPr>
          <w:p w14:paraId="39E4D1F6" w14:textId="77777777" w:rsidR="00B96C5C" w:rsidRPr="00D96063" w:rsidRDefault="00B96C5C" w:rsidP="00765D22">
            <w:pPr>
              <w:jc w:val="right"/>
              <w:rPr>
                <w:rFonts w:cs="Calibri"/>
                <w:sz w:val="16"/>
                <w:szCs w:val="16"/>
              </w:rPr>
            </w:pPr>
            <w:r w:rsidRPr="00D96063">
              <w:rPr>
                <w:rFonts w:cs="Calibri"/>
                <w:sz w:val="16"/>
                <w:szCs w:val="16"/>
              </w:rPr>
              <w:t>2.5</w:t>
            </w:r>
          </w:p>
        </w:tc>
        <w:tc>
          <w:tcPr>
            <w:tcW w:w="423" w:type="pct"/>
            <w:noWrap/>
            <w:hideMark/>
          </w:tcPr>
          <w:p w14:paraId="1A57942D" w14:textId="77777777" w:rsidR="00B96C5C" w:rsidRPr="00D96063" w:rsidRDefault="00B96C5C" w:rsidP="00765D22">
            <w:pPr>
              <w:jc w:val="right"/>
              <w:rPr>
                <w:rFonts w:cs="Calibri"/>
                <w:sz w:val="16"/>
                <w:szCs w:val="16"/>
              </w:rPr>
            </w:pPr>
            <w:r w:rsidRPr="00D96063">
              <w:rPr>
                <w:rFonts w:cs="Calibri"/>
                <w:sz w:val="16"/>
                <w:szCs w:val="16"/>
              </w:rPr>
              <w:t>2.1</w:t>
            </w:r>
          </w:p>
        </w:tc>
        <w:tc>
          <w:tcPr>
            <w:tcW w:w="423" w:type="pct"/>
            <w:noWrap/>
            <w:hideMark/>
          </w:tcPr>
          <w:p w14:paraId="2CDC329A" w14:textId="77777777" w:rsidR="00B96C5C" w:rsidRPr="00D96063" w:rsidRDefault="00B96C5C" w:rsidP="00765D22">
            <w:pPr>
              <w:jc w:val="right"/>
              <w:rPr>
                <w:rFonts w:cs="Calibri"/>
                <w:sz w:val="16"/>
                <w:szCs w:val="16"/>
              </w:rPr>
            </w:pPr>
            <w:r w:rsidRPr="00D96063">
              <w:rPr>
                <w:rFonts w:cs="Calibri"/>
                <w:sz w:val="16"/>
                <w:szCs w:val="16"/>
              </w:rPr>
              <w:t>4.5</w:t>
            </w:r>
          </w:p>
        </w:tc>
        <w:tc>
          <w:tcPr>
            <w:tcW w:w="423" w:type="pct"/>
            <w:noWrap/>
            <w:hideMark/>
          </w:tcPr>
          <w:p w14:paraId="168E16E3" w14:textId="77777777" w:rsidR="00B96C5C" w:rsidRPr="00D96063" w:rsidRDefault="00B96C5C" w:rsidP="00765D22">
            <w:pPr>
              <w:jc w:val="right"/>
              <w:rPr>
                <w:rFonts w:cs="Calibri"/>
                <w:sz w:val="16"/>
                <w:szCs w:val="16"/>
              </w:rPr>
            </w:pPr>
            <w:r w:rsidRPr="00D96063">
              <w:rPr>
                <w:rFonts w:cs="Calibri"/>
                <w:sz w:val="16"/>
                <w:szCs w:val="16"/>
              </w:rPr>
              <w:t>4.6</w:t>
            </w:r>
          </w:p>
        </w:tc>
        <w:tc>
          <w:tcPr>
            <w:tcW w:w="423" w:type="pct"/>
            <w:noWrap/>
            <w:hideMark/>
          </w:tcPr>
          <w:p w14:paraId="6410CD3E" w14:textId="77777777" w:rsidR="00B96C5C" w:rsidRPr="00D96063" w:rsidRDefault="00B96C5C" w:rsidP="00765D22">
            <w:pPr>
              <w:jc w:val="right"/>
              <w:rPr>
                <w:rFonts w:cs="Calibri"/>
                <w:sz w:val="16"/>
                <w:szCs w:val="16"/>
              </w:rPr>
            </w:pPr>
            <w:r w:rsidRPr="00D96063">
              <w:rPr>
                <w:rFonts w:cs="Calibri"/>
                <w:sz w:val="16"/>
                <w:szCs w:val="16"/>
              </w:rPr>
              <w:t>6.1</w:t>
            </w:r>
          </w:p>
        </w:tc>
        <w:tc>
          <w:tcPr>
            <w:tcW w:w="423" w:type="pct"/>
            <w:noWrap/>
            <w:hideMark/>
          </w:tcPr>
          <w:p w14:paraId="739EA800" w14:textId="77777777" w:rsidR="00B96C5C" w:rsidRPr="00D96063" w:rsidRDefault="00B96C5C" w:rsidP="00765D22">
            <w:pPr>
              <w:jc w:val="right"/>
              <w:rPr>
                <w:rFonts w:cs="Calibri"/>
                <w:sz w:val="16"/>
                <w:szCs w:val="16"/>
              </w:rPr>
            </w:pPr>
            <w:r w:rsidRPr="00D96063">
              <w:rPr>
                <w:rFonts w:cs="Calibri"/>
                <w:sz w:val="16"/>
                <w:szCs w:val="16"/>
              </w:rPr>
              <w:t>5.8</w:t>
            </w:r>
          </w:p>
        </w:tc>
        <w:tc>
          <w:tcPr>
            <w:tcW w:w="425" w:type="pct"/>
            <w:noWrap/>
            <w:hideMark/>
          </w:tcPr>
          <w:p w14:paraId="289FF818" w14:textId="77777777" w:rsidR="00B96C5C" w:rsidRPr="00D96063" w:rsidRDefault="00B96C5C" w:rsidP="00765D22">
            <w:pPr>
              <w:jc w:val="right"/>
              <w:rPr>
                <w:rFonts w:cs="Calibri"/>
                <w:sz w:val="16"/>
                <w:szCs w:val="16"/>
              </w:rPr>
            </w:pPr>
            <w:r w:rsidRPr="00D96063">
              <w:rPr>
                <w:rFonts w:cs="Calibri"/>
                <w:sz w:val="16"/>
                <w:szCs w:val="16"/>
              </w:rPr>
              <w:t>0.9</w:t>
            </w:r>
          </w:p>
        </w:tc>
      </w:tr>
      <w:tr w:rsidR="00B96C5C" w:rsidRPr="00D96063" w14:paraId="01B22E04"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67327335" w14:textId="77777777" w:rsidR="00B96C5C" w:rsidRPr="00D96063" w:rsidRDefault="00B96C5C" w:rsidP="00765D22">
            <w:pPr>
              <w:ind w:left="284" w:hanging="284"/>
              <w:jc w:val="left"/>
              <w:rPr>
                <w:rFonts w:cs="Calibri"/>
                <w:sz w:val="16"/>
                <w:szCs w:val="16"/>
              </w:rPr>
            </w:pPr>
            <w:r w:rsidRPr="00D96063">
              <w:rPr>
                <w:rFonts w:cs="Calibri"/>
                <w:sz w:val="16"/>
                <w:szCs w:val="16"/>
              </w:rPr>
              <w:tab/>
              <w:t xml:space="preserve">Real informal GDP   </w:t>
            </w:r>
          </w:p>
        </w:tc>
        <w:tc>
          <w:tcPr>
            <w:tcW w:w="420" w:type="pct"/>
            <w:noWrap/>
            <w:hideMark/>
          </w:tcPr>
          <w:p w14:paraId="157AA906" w14:textId="77777777" w:rsidR="00B96C5C" w:rsidRPr="00D96063" w:rsidRDefault="00B96C5C" w:rsidP="00765D22">
            <w:pPr>
              <w:jc w:val="right"/>
              <w:rPr>
                <w:rFonts w:cs="Calibri"/>
                <w:sz w:val="16"/>
                <w:szCs w:val="16"/>
              </w:rPr>
            </w:pPr>
            <w:r w:rsidRPr="00D96063">
              <w:rPr>
                <w:rFonts w:cs="Calibri"/>
                <w:sz w:val="16"/>
                <w:szCs w:val="16"/>
              </w:rPr>
              <w:t>2.2</w:t>
            </w:r>
          </w:p>
        </w:tc>
        <w:tc>
          <w:tcPr>
            <w:tcW w:w="423" w:type="pct"/>
            <w:noWrap/>
            <w:hideMark/>
          </w:tcPr>
          <w:p w14:paraId="1DB30CD2" w14:textId="77777777" w:rsidR="00B96C5C" w:rsidRPr="00D96063" w:rsidRDefault="00B96C5C" w:rsidP="00765D22">
            <w:pPr>
              <w:jc w:val="right"/>
              <w:rPr>
                <w:rFonts w:cs="Calibri"/>
                <w:sz w:val="16"/>
                <w:szCs w:val="16"/>
              </w:rPr>
            </w:pPr>
            <w:r w:rsidRPr="00D96063">
              <w:rPr>
                <w:rFonts w:cs="Calibri"/>
                <w:sz w:val="16"/>
                <w:szCs w:val="16"/>
              </w:rPr>
              <w:t>2.8</w:t>
            </w:r>
          </w:p>
        </w:tc>
        <w:tc>
          <w:tcPr>
            <w:tcW w:w="423" w:type="pct"/>
            <w:noWrap/>
            <w:hideMark/>
          </w:tcPr>
          <w:p w14:paraId="78FF8C42" w14:textId="77777777" w:rsidR="00B96C5C" w:rsidRPr="00D96063" w:rsidRDefault="00B96C5C" w:rsidP="00765D22">
            <w:pPr>
              <w:jc w:val="right"/>
              <w:rPr>
                <w:rFonts w:cs="Calibri"/>
                <w:sz w:val="16"/>
                <w:szCs w:val="16"/>
              </w:rPr>
            </w:pPr>
            <w:r w:rsidRPr="00D96063">
              <w:rPr>
                <w:rFonts w:cs="Calibri"/>
                <w:sz w:val="16"/>
                <w:szCs w:val="16"/>
              </w:rPr>
              <w:t>2.7</w:t>
            </w:r>
          </w:p>
        </w:tc>
        <w:tc>
          <w:tcPr>
            <w:tcW w:w="423" w:type="pct"/>
            <w:noWrap/>
            <w:hideMark/>
          </w:tcPr>
          <w:p w14:paraId="7EB4B41D" w14:textId="77777777" w:rsidR="00B96C5C" w:rsidRPr="00D96063" w:rsidRDefault="00B96C5C" w:rsidP="00765D22">
            <w:pPr>
              <w:jc w:val="right"/>
              <w:rPr>
                <w:rFonts w:cs="Calibri"/>
                <w:sz w:val="16"/>
                <w:szCs w:val="16"/>
              </w:rPr>
            </w:pPr>
            <w:r w:rsidRPr="00D96063">
              <w:rPr>
                <w:rFonts w:cs="Calibri"/>
                <w:sz w:val="16"/>
                <w:szCs w:val="16"/>
              </w:rPr>
              <w:t>6.1</w:t>
            </w:r>
          </w:p>
        </w:tc>
        <w:tc>
          <w:tcPr>
            <w:tcW w:w="423" w:type="pct"/>
            <w:noWrap/>
            <w:hideMark/>
          </w:tcPr>
          <w:p w14:paraId="756EAB5A" w14:textId="77777777" w:rsidR="00B96C5C" w:rsidRPr="00D96063" w:rsidRDefault="00B96C5C" w:rsidP="00765D22">
            <w:pPr>
              <w:jc w:val="right"/>
              <w:rPr>
                <w:rFonts w:cs="Calibri"/>
                <w:sz w:val="16"/>
                <w:szCs w:val="16"/>
              </w:rPr>
            </w:pPr>
            <w:r w:rsidRPr="00D96063">
              <w:rPr>
                <w:rFonts w:cs="Calibri"/>
                <w:sz w:val="16"/>
                <w:szCs w:val="16"/>
              </w:rPr>
              <w:t>2.6</w:t>
            </w:r>
          </w:p>
        </w:tc>
        <w:tc>
          <w:tcPr>
            <w:tcW w:w="423" w:type="pct"/>
            <w:noWrap/>
            <w:hideMark/>
          </w:tcPr>
          <w:p w14:paraId="31B08E69" w14:textId="77777777" w:rsidR="00B96C5C" w:rsidRPr="00D96063" w:rsidRDefault="00B96C5C" w:rsidP="00765D22">
            <w:pPr>
              <w:jc w:val="right"/>
              <w:rPr>
                <w:rFonts w:cs="Calibri"/>
                <w:sz w:val="16"/>
                <w:szCs w:val="16"/>
              </w:rPr>
            </w:pPr>
            <w:r w:rsidRPr="00D96063">
              <w:rPr>
                <w:rFonts w:cs="Calibri"/>
                <w:sz w:val="16"/>
                <w:szCs w:val="16"/>
              </w:rPr>
              <w:t>5.9</w:t>
            </w:r>
          </w:p>
        </w:tc>
        <w:tc>
          <w:tcPr>
            <w:tcW w:w="425" w:type="pct"/>
            <w:noWrap/>
            <w:hideMark/>
          </w:tcPr>
          <w:p w14:paraId="5D542F94" w14:textId="77777777" w:rsidR="00B96C5C" w:rsidRPr="00D96063" w:rsidRDefault="00B96C5C" w:rsidP="00765D22">
            <w:pPr>
              <w:jc w:val="right"/>
              <w:rPr>
                <w:rFonts w:cs="Calibri"/>
                <w:sz w:val="16"/>
                <w:szCs w:val="16"/>
              </w:rPr>
            </w:pPr>
            <w:r w:rsidRPr="00D96063">
              <w:rPr>
                <w:rFonts w:cs="Calibri"/>
                <w:sz w:val="16"/>
                <w:szCs w:val="16"/>
              </w:rPr>
              <w:t>-0.8</w:t>
            </w:r>
          </w:p>
        </w:tc>
      </w:tr>
      <w:tr w:rsidR="00B96C5C" w:rsidRPr="00D96063" w14:paraId="3F0CA8FC" w14:textId="77777777" w:rsidTr="00765D22">
        <w:trPr>
          <w:trHeight w:val="240"/>
        </w:trPr>
        <w:tc>
          <w:tcPr>
            <w:tcW w:w="2040" w:type="pct"/>
            <w:noWrap/>
            <w:hideMark/>
          </w:tcPr>
          <w:p w14:paraId="2B9BFC7D" w14:textId="77777777" w:rsidR="00B96C5C" w:rsidRPr="00D96063" w:rsidRDefault="00B96C5C" w:rsidP="00765D22">
            <w:pPr>
              <w:jc w:val="left"/>
              <w:rPr>
                <w:rFonts w:cs="Calibri"/>
                <w:sz w:val="16"/>
                <w:szCs w:val="16"/>
              </w:rPr>
            </w:pPr>
            <w:r w:rsidRPr="00D96063">
              <w:rPr>
                <w:rFonts w:cs="Calibri"/>
                <w:sz w:val="16"/>
                <w:szCs w:val="16"/>
              </w:rPr>
              <w:t>Population (million)</w:t>
            </w:r>
          </w:p>
        </w:tc>
        <w:tc>
          <w:tcPr>
            <w:tcW w:w="420" w:type="pct"/>
            <w:noWrap/>
            <w:hideMark/>
          </w:tcPr>
          <w:p w14:paraId="1A320143" w14:textId="77777777" w:rsidR="00B96C5C" w:rsidRPr="00D96063" w:rsidRDefault="00B96C5C" w:rsidP="00765D22">
            <w:pPr>
              <w:jc w:val="right"/>
              <w:rPr>
                <w:rFonts w:cs="Calibri"/>
                <w:sz w:val="16"/>
                <w:szCs w:val="16"/>
              </w:rPr>
            </w:pPr>
            <w:r w:rsidRPr="00D96063">
              <w:rPr>
                <w:rFonts w:cs="Calibri"/>
                <w:sz w:val="16"/>
                <w:szCs w:val="16"/>
              </w:rPr>
              <w:t>27.0</w:t>
            </w:r>
          </w:p>
        </w:tc>
        <w:tc>
          <w:tcPr>
            <w:tcW w:w="423" w:type="pct"/>
            <w:noWrap/>
            <w:hideMark/>
          </w:tcPr>
          <w:p w14:paraId="0B671427" w14:textId="77777777" w:rsidR="00B96C5C" w:rsidRPr="00D96063" w:rsidRDefault="00B96C5C" w:rsidP="00765D22">
            <w:pPr>
              <w:jc w:val="right"/>
              <w:rPr>
                <w:rFonts w:cs="Calibri"/>
                <w:sz w:val="16"/>
                <w:szCs w:val="16"/>
              </w:rPr>
            </w:pPr>
            <w:r w:rsidRPr="00D96063">
              <w:rPr>
                <w:rFonts w:cs="Calibri"/>
                <w:sz w:val="16"/>
                <w:szCs w:val="16"/>
              </w:rPr>
              <w:t>27.7</w:t>
            </w:r>
          </w:p>
        </w:tc>
        <w:tc>
          <w:tcPr>
            <w:tcW w:w="423" w:type="pct"/>
            <w:noWrap/>
            <w:hideMark/>
          </w:tcPr>
          <w:p w14:paraId="0C7CC11C" w14:textId="77777777" w:rsidR="00B96C5C" w:rsidRPr="00D96063" w:rsidRDefault="00B96C5C" w:rsidP="00765D22">
            <w:pPr>
              <w:jc w:val="right"/>
              <w:rPr>
                <w:rFonts w:cs="Calibri"/>
                <w:sz w:val="16"/>
                <w:szCs w:val="16"/>
              </w:rPr>
            </w:pPr>
            <w:r w:rsidRPr="00D96063">
              <w:rPr>
                <w:rFonts w:cs="Calibri"/>
                <w:sz w:val="16"/>
                <w:szCs w:val="16"/>
              </w:rPr>
              <w:t>28.3</w:t>
            </w:r>
          </w:p>
        </w:tc>
        <w:tc>
          <w:tcPr>
            <w:tcW w:w="423" w:type="pct"/>
            <w:noWrap/>
            <w:hideMark/>
          </w:tcPr>
          <w:p w14:paraId="290917B4" w14:textId="77777777" w:rsidR="00B96C5C" w:rsidRPr="00D96063" w:rsidRDefault="00B96C5C" w:rsidP="00765D22">
            <w:pPr>
              <w:jc w:val="right"/>
              <w:rPr>
                <w:rFonts w:cs="Calibri"/>
                <w:sz w:val="16"/>
                <w:szCs w:val="16"/>
              </w:rPr>
            </w:pPr>
            <w:r w:rsidRPr="00D96063">
              <w:rPr>
                <w:rFonts w:cs="Calibri"/>
                <w:sz w:val="16"/>
                <w:szCs w:val="16"/>
              </w:rPr>
              <w:t>29.0</w:t>
            </w:r>
          </w:p>
        </w:tc>
        <w:tc>
          <w:tcPr>
            <w:tcW w:w="423" w:type="pct"/>
            <w:noWrap/>
            <w:hideMark/>
          </w:tcPr>
          <w:p w14:paraId="5CDF27A2" w14:textId="77777777" w:rsidR="00B96C5C" w:rsidRPr="00D96063" w:rsidRDefault="00B96C5C" w:rsidP="00765D22">
            <w:pPr>
              <w:jc w:val="right"/>
              <w:rPr>
                <w:rFonts w:cs="Calibri"/>
                <w:sz w:val="16"/>
                <w:szCs w:val="16"/>
              </w:rPr>
            </w:pPr>
            <w:r w:rsidRPr="00D96063">
              <w:rPr>
                <w:rFonts w:cs="Calibri"/>
                <w:sz w:val="16"/>
                <w:szCs w:val="16"/>
              </w:rPr>
              <w:t>29.6</w:t>
            </w:r>
          </w:p>
        </w:tc>
        <w:tc>
          <w:tcPr>
            <w:tcW w:w="423" w:type="pct"/>
            <w:noWrap/>
            <w:hideMark/>
          </w:tcPr>
          <w:p w14:paraId="78006A7C" w14:textId="77777777" w:rsidR="00B96C5C" w:rsidRPr="00D96063" w:rsidRDefault="00B96C5C" w:rsidP="00765D22">
            <w:pPr>
              <w:jc w:val="right"/>
              <w:rPr>
                <w:rFonts w:cs="Calibri"/>
                <w:sz w:val="16"/>
                <w:szCs w:val="16"/>
              </w:rPr>
            </w:pPr>
            <w:r w:rsidRPr="00D96063">
              <w:rPr>
                <w:rFonts w:cs="Calibri"/>
                <w:sz w:val="16"/>
                <w:szCs w:val="16"/>
              </w:rPr>
              <w:t>30.3</w:t>
            </w:r>
          </w:p>
        </w:tc>
        <w:tc>
          <w:tcPr>
            <w:tcW w:w="425" w:type="pct"/>
            <w:noWrap/>
            <w:hideMark/>
          </w:tcPr>
          <w:p w14:paraId="430201D2" w14:textId="77777777" w:rsidR="00B96C5C" w:rsidRPr="00D96063" w:rsidRDefault="00B96C5C" w:rsidP="00765D22">
            <w:pPr>
              <w:jc w:val="right"/>
              <w:rPr>
                <w:rFonts w:cs="Calibri"/>
                <w:sz w:val="16"/>
                <w:szCs w:val="16"/>
              </w:rPr>
            </w:pPr>
            <w:r w:rsidRPr="00D96063">
              <w:rPr>
                <w:rFonts w:cs="Calibri"/>
                <w:sz w:val="16"/>
                <w:szCs w:val="16"/>
              </w:rPr>
              <w:t>31.0</w:t>
            </w:r>
          </w:p>
        </w:tc>
      </w:tr>
      <w:tr w:rsidR="00B96C5C" w:rsidRPr="00D96063" w14:paraId="3B14B08C"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63BBA143" w14:textId="77777777" w:rsidR="00B96C5C" w:rsidRPr="00D96063" w:rsidRDefault="00B96C5C" w:rsidP="00765D22">
            <w:pPr>
              <w:jc w:val="left"/>
              <w:rPr>
                <w:rFonts w:cs="Calibri"/>
                <w:sz w:val="16"/>
                <w:szCs w:val="16"/>
              </w:rPr>
            </w:pPr>
            <w:r w:rsidRPr="00D96063">
              <w:rPr>
                <w:rFonts w:cs="Calibri"/>
                <w:sz w:val="16"/>
                <w:szCs w:val="16"/>
              </w:rPr>
              <w:t xml:space="preserve">Share of informal GDP (at current prices) </w:t>
            </w:r>
          </w:p>
        </w:tc>
        <w:tc>
          <w:tcPr>
            <w:tcW w:w="420" w:type="pct"/>
            <w:noWrap/>
            <w:hideMark/>
          </w:tcPr>
          <w:p w14:paraId="30267FC0" w14:textId="77777777" w:rsidR="00B96C5C" w:rsidRPr="00D96063" w:rsidRDefault="00B96C5C" w:rsidP="00765D22">
            <w:pPr>
              <w:jc w:val="right"/>
              <w:rPr>
                <w:rFonts w:cs="Calibri"/>
                <w:sz w:val="16"/>
                <w:szCs w:val="16"/>
              </w:rPr>
            </w:pPr>
            <w:r w:rsidRPr="00D96063">
              <w:rPr>
                <w:rFonts w:cs="Calibri"/>
                <w:sz w:val="16"/>
                <w:szCs w:val="16"/>
              </w:rPr>
              <w:t>27.9</w:t>
            </w:r>
          </w:p>
        </w:tc>
        <w:tc>
          <w:tcPr>
            <w:tcW w:w="423" w:type="pct"/>
            <w:noWrap/>
            <w:hideMark/>
          </w:tcPr>
          <w:p w14:paraId="4FFFBE9E" w14:textId="77777777" w:rsidR="00B96C5C" w:rsidRPr="00D96063" w:rsidRDefault="00B96C5C" w:rsidP="00765D22">
            <w:pPr>
              <w:jc w:val="right"/>
              <w:rPr>
                <w:rFonts w:cs="Calibri"/>
                <w:sz w:val="16"/>
                <w:szCs w:val="16"/>
              </w:rPr>
            </w:pPr>
            <w:r w:rsidRPr="00D96063">
              <w:rPr>
                <w:rFonts w:cs="Calibri"/>
                <w:sz w:val="16"/>
                <w:szCs w:val="16"/>
              </w:rPr>
              <w:t>28.3</w:t>
            </w:r>
          </w:p>
        </w:tc>
        <w:tc>
          <w:tcPr>
            <w:tcW w:w="423" w:type="pct"/>
            <w:noWrap/>
            <w:hideMark/>
          </w:tcPr>
          <w:p w14:paraId="21409362" w14:textId="77777777" w:rsidR="00B96C5C" w:rsidRPr="00D96063" w:rsidRDefault="00B96C5C" w:rsidP="00765D22">
            <w:pPr>
              <w:jc w:val="right"/>
              <w:rPr>
                <w:rFonts w:cs="Calibri"/>
                <w:sz w:val="16"/>
                <w:szCs w:val="16"/>
              </w:rPr>
            </w:pPr>
            <w:r w:rsidRPr="00D96063">
              <w:rPr>
                <w:rFonts w:cs="Calibri"/>
                <w:sz w:val="16"/>
                <w:szCs w:val="16"/>
              </w:rPr>
              <w:t>29.6</w:t>
            </w:r>
          </w:p>
        </w:tc>
        <w:tc>
          <w:tcPr>
            <w:tcW w:w="423" w:type="pct"/>
            <w:noWrap/>
            <w:hideMark/>
          </w:tcPr>
          <w:p w14:paraId="4562E43A" w14:textId="77777777" w:rsidR="00B96C5C" w:rsidRPr="00D96063" w:rsidRDefault="00B96C5C" w:rsidP="00765D22">
            <w:pPr>
              <w:jc w:val="right"/>
              <w:rPr>
                <w:rFonts w:cs="Calibri"/>
                <w:sz w:val="16"/>
                <w:szCs w:val="16"/>
              </w:rPr>
            </w:pPr>
            <w:r w:rsidRPr="00D96063">
              <w:rPr>
                <w:rFonts w:cs="Calibri"/>
                <w:sz w:val="16"/>
                <w:szCs w:val="16"/>
              </w:rPr>
              <w:t>28.1</w:t>
            </w:r>
          </w:p>
        </w:tc>
        <w:tc>
          <w:tcPr>
            <w:tcW w:w="423" w:type="pct"/>
            <w:noWrap/>
            <w:hideMark/>
          </w:tcPr>
          <w:p w14:paraId="7DDA65CD" w14:textId="77777777" w:rsidR="00B96C5C" w:rsidRPr="00D96063" w:rsidRDefault="00B96C5C" w:rsidP="00765D22">
            <w:pPr>
              <w:jc w:val="right"/>
              <w:rPr>
                <w:rFonts w:cs="Calibri"/>
                <w:sz w:val="16"/>
                <w:szCs w:val="16"/>
              </w:rPr>
            </w:pPr>
            <w:r w:rsidRPr="00D96063">
              <w:rPr>
                <w:rFonts w:cs="Calibri"/>
                <w:sz w:val="16"/>
                <w:szCs w:val="16"/>
              </w:rPr>
              <w:t>26.5</w:t>
            </w:r>
          </w:p>
        </w:tc>
        <w:tc>
          <w:tcPr>
            <w:tcW w:w="423" w:type="pct"/>
            <w:noWrap/>
            <w:hideMark/>
          </w:tcPr>
          <w:p w14:paraId="3E80566B" w14:textId="77777777" w:rsidR="00B96C5C" w:rsidRPr="00D96063" w:rsidRDefault="00B96C5C" w:rsidP="00765D22">
            <w:pPr>
              <w:jc w:val="right"/>
              <w:rPr>
                <w:rFonts w:cs="Calibri"/>
                <w:sz w:val="16"/>
                <w:szCs w:val="16"/>
              </w:rPr>
            </w:pPr>
            <w:r w:rsidRPr="00D96063">
              <w:rPr>
                <w:rFonts w:cs="Calibri"/>
                <w:sz w:val="16"/>
                <w:szCs w:val="16"/>
              </w:rPr>
              <w:t>25.3</w:t>
            </w:r>
          </w:p>
        </w:tc>
        <w:tc>
          <w:tcPr>
            <w:tcW w:w="425" w:type="pct"/>
            <w:noWrap/>
            <w:hideMark/>
          </w:tcPr>
          <w:p w14:paraId="5C8024E8" w14:textId="77777777" w:rsidR="00B96C5C" w:rsidRPr="00D96063" w:rsidRDefault="00B96C5C" w:rsidP="00765D22">
            <w:pPr>
              <w:jc w:val="right"/>
              <w:rPr>
                <w:rFonts w:cs="Calibri"/>
                <w:sz w:val="16"/>
                <w:szCs w:val="16"/>
              </w:rPr>
            </w:pPr>
            <w:r w:rsidRPr="00D96063">
              <w:rPr>
                <w:rFonts w:cs="Calibri"/>
                <w:sz w:val="16"/>
                <w:szCs w:val="16"/>
              </w:rPr>
              <w:t>26.4</w:t>
            </w:r>
          </w:p>
        </w:tc>
      </w:tr>
      <w:tr w:rsidR="00B96C5C" w:rsidRPr="00D96063" w14:paraId="4DEF32CF" w14:textId="77777777" w:rsidTr="00765D22">
        <w:trPr>
          <w:trHeight w:val="270"/>
        </w:trPr>
        <w:tc>
          <w:tcPr>
            <w:tcW w:w="0" w:type="pct"/>
            <w:noWrap/>
            <w:hideMark/>
          </w:tcPr>
          <w:p w14:paraId="23C5C3A7" w14:textId="77777777" w:rsidR="00B96C5C" w:rsidRPr="00D96063" w:rsidRDefault="00B96C5C" w:rsidP="00765D22">
            <w:pPr>
              <w:jc w:val="left"/>
              <w:rPr>
                <w:rFonts w:cs="Calibri"/>
                <w:sz w:val="16"/>
                <w:szCs w:val="16"/>
              </w:rPr>
            </w:pPr>
            <w:r w:rsidRPr="00D96063">
              <w:rPr>
                <w:rFonts w:cs="Calibri"/>
                <w:sz w:val="16"/>
                <w:szCs w:val="16"/>
              </w:rPr>
              <w:t>Per capita GDP (USD at current prices)</w:t>
            </w:r>
          </w:p>
        </w:tc>
        <w:tc>
          <w:tcPr>
            <w:tcW w:w="0" w:type="pct"/>
            <w:noWrap/>
            <w:hideMark/>
          </w:tcPr>
          <w:p w14:paraId="74EF9A82" w14:textId="77777777" w:rsidR="00B96C5C" w:rsidRPr="00D96063" w:rsidRDefault="00B96C5C" w:rsidP="00765D22">
            <w:pPr>
              <w:ind w:left="-57" w:right="-57"/>
              <w:jc w:val="right"/>
              <w:rPr>
                <w:rFonts w:cs="Calibri"/>
                <w:sz w:val="16"/>
                <w:szCs w:val="16"/>
              </w:rPr>
            </w:pPr>
            <w:r w:rsidRPr="00D96063">
              <w:rPr>
                <w:rFonts w:cs="Calibri"/>
                <w:sz w:val="16"/>
                <w:szCs w:val="16"/>
              </w:rPr>
              <w:t>1,999</w:t>
            </w:r>
          </w:p>
        </w:tc>
        <w:tc>
          <w:tcPr>
            <w:tcW w:w="0" w:type="pct"/>
            <w:noWrap/>
            <w:hideMark/>
          </w:tcPr>
          <w:p w14:paraId="270759F3" w14:textId="77777777" w:rsidR="00B96C5C" w:rsidRPr="00D96063" w:rsidRDefault="00B96C5C" w:rsidP="00765D22">
            <w:pPr>
              <w:ind w:left="-57" w:right="-57"/>
              <w:jc w:val="right"/>
              <w:rPr>
                <w:rFonts w:cs="Calibri"/>
                <w:sz w:val="16"/>
                <w:szCs w:val="16"/>
              </w:rPr>
            </w:pPr>
            <w:r w:rsidRPr="00D96063">
              <w:rPr>
                <w:rFonts w:cs="Calibri"/>
                <w:sz w:val="16"/>
                <w:szCs w:val="16"/>
              </w:rPr>
              <w:t>1,756</w:t>
            </w:r>
          </w:p>
        </w:tc>
        <w:tc>
          <w:tcPr>
            <w:tcW w:w="0" w:type="pct"/>
            <w:noWrap/>
            <w:hideMark/>
          </w:tcPr>
          <w:p w14:paraId="60128855" w14:textId="77777777" w:rsidR="00B96C5C" w:rsidRPr="00D96063" w:rsidRDefault="00B96C5C" w:rsidP="00765D22">
            <w:pPr>
              <w:ind w:left="-57" w:right="-57"/>
              <w:jc w:val="right"/>
              <w:rPr>
                <w:rFonts w:cs="Calibri"/>
                <w:sz w:val="16"/>
                <w:szCs w:val="16"/>
              </w:rPr>
            </w:pPr>
            <w:r w:rsidRPr="00D96063">
              <w:rPr>
                <w:rFonts w:cs="Calibri"/>
                <w:sz w:val="16"/>
                <w:szCs w:val="16"/>
              </w:rPr>
              <w:t>1,979</w:t>
            </w:r>
          </w:p>
        </w:tc>
        <w:tc>
          <w:tcPr>
            <w:tcW w:w="0" w:type="pct"/>
            <w:noWrap/>
            <w:hideMark/>
          </w:tcPr>
          <w:p w14:paraId="4205028A" w14:textId="77777777" w:rsidR="00B96C5C" w:rsidRPr="00D96063" w:rsidRDefault="00B96C5C" w:rsidP="00765D22">
            <w:pPr>
              <w:ind w:left="-57" w:right="-57"/>
              <w:jc w:val="right"/>
              <w:rPr>
                <w:rFonts w:cs="Calibri"/>
                <w:sz w:val="16"/>
                <w:szCs w:val="16"/>
              </w:rPr>
            </w:pPr>
            <w:r w:rsidRPr="00D96063">
              <w:rPr>
                <w:rFonts w:cs="Calibri"/>
                <w:sz w:val="16"/>
                <w:szCs w:val="16"/>
              </w:rPr>
              <w:t>2,083</w:t>
            </w:r>
          </w:p>
        </w:tc>
        <w:tc>
          <w:tcPr>
            <w:tcW w:w="0" w:type="pct"/>
            <w:noWrap/>
            <w:hideMark/>
          </w:tcPr>
          <w:p w14:paraId="553F43EB" w14:textId="77777777" w:rsidR="00B96C5C" w:rsidRPr="00D96063" w:rsidRDefault="00B96C5C" w:rsidP="00765D22">
            <w:pPr>
              <w:ind w:left="-57" w:right="-57"/>
              <w:jc w:val="right"/>
              <w:rPr>
                <w:rFonts w:cs="Calibri"/>
                <w:sz w:val="16"/>
                <w:szCs w:val="16"/>
              </w:rPr>
            </w:pPr>
            <w:r w:rsidRPr="00D96063">
              <w:rPr>
                <w:rFonts w:cs="Calibri"/>
                <w:sz w:val="16"/>
                <w:szCs w:val="16"/>
              </w:rPr>
              <w:t>2,273</w:t>
            </w:r>
          </w:p>
        </w:tc>
        <w:tc>
          <w:tcPr>
            <w:tcW w:w="0" w:type="pct"/>
            <w:noWrap/>
            <w:hideMark/>
          </w:tcPr>
          <w:p w14:paraId="771D7BC3" w14:textId="77777777" w:rsidR="00B96C5C" w:rsidRPr="00D96063" w:rsidRDefault="00B96C5C" w:rsidP="00765D22">
            <w:pPr>
              <w:ind w:left="-57" w:right="-57"/>
              <w:jc w:val="right"/>
              <w:rPr>
                <w:rFonts w:cs="Calibri"/>
                <w:sz w:val="16"/>
                <w:szCs w:val="16"/>
              </w:rPr>
            </w:pPr>
            <w:r w:rsidRPr="00D96063">
              <w:rPr>
                <w:rFonts w:cs="Calibri"/>
                <w:sz w:val="16"/>
                <w:szCs w:val="16"/>
              </w:rPr>
              <w:t>2,257</w:t>
            </w:r>
          </w:p>
        </w:tc>
        <w:tc>
          <w:tcPr>
            <w:tcW w:w="0" w:type="pct"/>
            <w:noWrap/>
            <w:hideMark/>
          </w:tcPr>
          <w:p w14:paraId="4121EF89" w14:textId="77777777" w:rsidR="00B96C5C" w:rsidRPr="00D96063" w:rsidRDefault="00B96C5C" w:rsidP="00765D22">
            <w:pPr>
              <w:ind w:left="-57" w:right="-57"/>
              <w:jc w:val="right"/>
              <w:rPr>
                <w:rFonts w:cs="Calibri"/>
                <w:sz w:val="16"/>
                <w:szCs w:val="16"/>
              </w:rPr>
            </w:pPr>
            <w:r w:rsidRPr="00D96063">
              <w:rPr>
                <w:rFonts w:cs="Calibri"/>
                <w:sz w:val="16"/>
                <w:szCs w:val="16"/>
              </w:rPr>
              <w:t>2,214</w:t>
            </w:r>
          </w:p>
        </w:tc>
      </w:tr>
      <w:tr w:rsidR="00B96C5C" w:rsidRPr="00D96063" w14:paraId="55553997"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6C7D1972" w14:textId="77777777" w:rsidR="00B96C5C" w:rsidRPr="00D96063" w:rsidRDefault="00B96C5C" w:rsidP="00765D22">
            <w:pPr>
              <w:jc w:val="left"/>
              <w:rPr>
                <w:rFonts w:cs="Calibri"/>
                <w:sz w:val="16"/>
                <w:szCs w:val="16"/>
              </w:rPr>
            </w:pPr>
            <w:r w:rsidRPr="00D96063">
              <w:rPr>
                <w:rFonts w:cs="Calibri"/>
                <w:sz w:val="16"/>
                <w:szCs w:val="16"/>
              </w:rPr>
              <w:t>Unemployment rate (%)</w:t>
            </w:r>
          </w:p>
        </w:tc>
        <w:tc>
          <w:tcPr>
            <w:tcW w:w="420" w:type="pct"/>
            <w:noWrap/>
            <w:hideMark/>
          </w:tcPr>
          <w:p w14:paraId="164619FC" w14:textId="77777777" w:rsidR="00B96C5C" w:rsidRPr="00D96063" w:rsidRDefault="00B96C5C" w:rsidP="00765D22">
            <w:pPr>
              <w:jc w:val="right"/>
              <w:rPr>
                <w:rFonts w:cs="Calibri"/>
                <w:sz w:val="16"/>
                <w:szCs w:val="16"/>
              </w:rPr>
            </w:pPr>
            <w:r w:rsidRPr="00D96063">
              <w:rPr>
                <w:rFonts w:cs="Calibri"/>
                <w:sz w:val="16"/>
                <w:szCs w:val="16"/>
              </w:rPr>
              <w:t>5.2</w:t>
            </w:r>
          </w:p>
        </w:tc>
        <w:tc>
          <w:tcPr>
            <w:tcW w:w="423" w:type="pct"/>
            <w:noWrap/>
            <w:hideMark/>
          </w:tcPr>
          <w:p w14:paraId="1A5F9DDC" w14:textId="77777777" w:rsidR="00B96C5C" w:rsidRPr="00D96063" w:rsidRDefault="00B96C5C" w:rsidP="00765D22">
            <w:pPr>
              <w:jc w:val="right"/>
              <w:rPr>
                <w:rFonts w:cs="Calibri"/>
                <w:sz w:val="16"/>
                <w:szCs w:val="16"/>
              </w:rPr>
            </w:pPr>
            <w:r w:rsidRPr="00D96063">
              <w:rPr>
                <w:rFonts w:cs="Calibri"/>
                <w:sz w:val="16"/>
                <w:szCs w:val="16"/>
              </w:rPr>
              <w:t>11.9</w:t>
            </w:r>
          </w:p>
        </w:tc>
        <w:tc>
          <w:tcPr>
            <w:tcW w:w="423" w:type="pct"/>
            <w:noWrap/>
            <w:hideMark/>
          </w:tcPr>
          <w:p w14:paraId="6137B512" w14:textId="77777777" w:rsidR="00B96C5C" w:rsidRPr="00D96063" w:rsidRDefault="00B96C5C" w:rsidP="00765D22">
            <w:pPr>
              <w:jc w:val="right"/>
              <w:rPr>
                <w:rFonts w:cs="Calibri"/>
                <w:sz w:val="16"/>
                <w:szCs w:val="16"/>
              </w:rPr>
            </w:pPr>
            <w:r w:rsidRPr="00D96063">
              <w:rPr>
                <w:rFonts w:cs="Calibri"/>
                <w:sz w:val="16"/>
                <w:szCs w:val="16"/>
              </w:rPr>
              <w:t>..</w:t>
            </w:r>
          </w:p>
        </w:tc>
        <w:tc>
          <w:tcPr>
            <w:tcW w:w="423" w:type="pct"/>
            <w:noWrap/>
            <w:hideMark/>
          </w:tcPr>
          <w:p w14:paraId="312A5D90" w14:textId="77777777" w:rsidR="00B96C5C" w:rsidRPr="00D96063" w:rsidRDefault="00B96C5C" w:rsidP="00765D22">
            <w:pPr>
              <w:jc w:val="right"/>
              <w:rPr>
                <w:rFonts w:cs="Calibri"/>
                <w:sz w:val="16"/>
                <w:szCs w:val="16"/>
              </w:rPr>
            </w:pPr>
            <w:r w:rsidRPr="00D96063">
              <w:rPr>
                <w:rFonts w:cs="Calibri"/>
                <w:sz w:val="16"/>
                <w:szCs w:val="16"/>
              </w:rPr>
              <w:t>6.0</w:t>
            </w:r>
          </w:p>
        </w:tc>
        <w:tc>
          <w:tcPr>
            <w:tcW w:w="423" w:type="pct"/>
            <w:noWrap/>
            <w:hideMark/>
          </w:tcPr>
          <w:p w14:paraId="415437FA" w14:textId="77777777" w:rsidR="00B96C5C" w:rsidRPr="00D96063" w:rsidRDefault="00B96C5C" w:rsidP="00765D22">
            <w:pPr>
              <w:jc w:val="right"/>
              <w:rPr>
                <w:rFonts w:cs="Calibri"/>
                <w:sz w:val="16"/>
                <w:szCs w:val="16"/>
              </w:rPr>
            </w:pPr>
            <w:r w:rsidRPr="00D96063">
              <w:rPr>
                <w:rFonts w:cs="Calibri"/>
                <w:sz w:val="16"/>
                <w:szCs w:val="16"/>
              </w:rPr>
              <w:t>..</w:t>
            </w:r>
          </w:p>
        </w:tc>
        <w:tc>
          <w:tcPr>
            <w:tcW w:w="423" w:type="pct"/>
            <w:noWrap/>
            <w:hideMark/>
          </w:tcPr>
          <w:p w14:paraId="56F4436B" w14:textId="77777777" w:rsidR="00B96C5C" w:rsidRPr="00D96063" w:rsidRDefault="00B96C5C" w:rsidP="00765D22">
            <w:pPr>
              <w:jc w:val="right"/>
              <w:rPr>
                <w:rFonts w:cs="Calibri"/>
                <w:sz w:val="16"/>
                <w:szCs w:val="16"/>
              </w:rPr>
            </w:pPr>
            <w:r w:rsidRPr="00D96063">
              <w:rPr>
                <w:rFonts w:cs="Calibri"/>
                <w:sz w:val="16"/>
                <w:szCs w:val="16"/>
              </w:rPr>
              <w:t>..</w:t>
            </w:r>
          </w:p>
        </w:tc>
        <w:tc>
          <w:tcPr>
            <w:tcW w:w="425" w:type="pct"/>
            <w:noWrap/>
            <w:hideMark/>
          </w:tcPr>
          <w:p w14:paraId="73CB324A" w14:textId="77777777" w:rsidR="00B96C5C" w:rsidRPr="00D96063" w:rsidRDefault="00B96C5C" w:rsidP="00765D22">
            <w:pPr>
              <w:jc w:val="right"/>
              <w:rPr>
                <w:rFonts w:cs="Calibri"/>
                <w:sz w:val="16"/>
                <w:szCs w:val="16"/>
              </w:rPr>
            </w:pPr>
            <w:r w:rsidRPr="00D96063">
              <w:rPr>
                <w:rFonts w:cs="Calibri"/>
                <w:sz w:val="16"/>
                <w:szCs w:val="16"/>
              </w:rPr>
              <w:t>7.8</w:t>
            </w:r>
          </w:p>
        </w:tc>
      </w:tr>
      <w:tr w:rsidR="00B96C5C" w:rsidRPr="00D96063" w14:paraId="30BD67F4" w14:textId="77777777" w:rsidTr="00765D22">
        <w:trPr>
          <w:trHeight w:val="240"/>
        </w:trPr>
        <w:tc>
          <w:tcPr>
            <w:tcW w:w="5000" w:type="pct"/>
            <w:gridSpan w:val="8"/>
            <w:noWrap/>
            <w:hideMark/>
          </w:tcPr>
          <w:p w14:paraId="418F47AC" w14:textId="77777777" w:rsidR="00B96C5C" w:rsidRPr="00D96063" w:rsidRDefault="00B96C5C" w:rsidP="00765D22">
            <w:pPr>
              <w:jc w:val="left"/>
              <w:rPr>
                <w:rFonts w:cs="Calibri"/>
                <w:b/>
                <w:bCs/>
                <w:sz w:val="16"/>
                <w:szCs w:val="16"/>
              </w:rPr>
            </w:pPr>
            <w:r w:rsidRPr="00D96063">
              <w:rPr>
                <w:rFonts w:cs="Calibri"/>
                <w:b/>
                <w:bCs/>
                <w:sz w:val="16"/>
                <w:szCs w:val="16"/>
              </w:rPr>
              <w:t>GDP by economic activity (% of GDP at current basic prices)</w:t>
            </w:r>
          </w:p>
        </w:tc>
      </w:tr>
      <w:tr w:rsidR="00B96C5C" w:rsidRPr="00D96063" w14:paraId="3A8312CF"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6D49C6A4" w14:textId="77777777" w:rsidR="00B96C5C" w:rsidRPr="00D96063" w:rsidRDefault="00B96C5C" w:rsidP="00765D22">
            <w:pPr>
              <w:jc w:val="left"/>
              <w:rPr>
                <w:rFonts w:cs="Calibri"/>
                <w:sz w:val="16"/>
                <w:szCs w:val="16"/>
              </w:rPr>
            </w:pPr>
            <w:r w:rsidRPr="00D96063">
              <w:rPr>
                <w:rFonts w:cs="Calibri"/>
                <w:sz w:val="16"/>
                <w:szCs w:val="16"/>
              </w:rPr>
              <w:t>Agriculture</w:t>
            </w:r>
          </w:p>
        </w:tc>
        <w:tc>
          <w:tcPr>
            <w:tcW w:w="420" w:type="pct"/>
            <w:noWrap/>
            <w:hideMark/>
          </w:tcPr>
          <w:p w14:paraId="42567AF6" w14:textId="77777777" w:rsidR="00B96C5C" w:rsidRPr="00D96063" w:rsidRDefault="00B96C5C" w:rsidP="00765D22">
            <w:pPr>
              <w:jc w:val="right"/>
              <w:rPr>
                <w:rFonts w:cs="Calibri"/>
                <w:sz w:val="16"/>
                <w:szCs w:val="16"/>
              </w:rPr>
            </w:pPr>
            <w:r w:rsidRPr="00D96063">
              <w:rPr>
                <w:rFonts w:cs="Calibri"/>
                <w:sz w:val="16"/>
                <w:szCs w:val="16"/>
              </w:rPr>
              <w:t>21.5</w:t>
            </w:r>
          </w:p>
        </w:tc>
        <w:tc>
          <w:tcPr>
            <w:tcW w:w="423" w:type="pct"/>
            <w:noWrap/>
            <w:hideMark/>
          </w:tcPr>
          <w:p w14:paraId="0AB8131A" w14:textId="77777777" w:rsidR="00B96C5C" w:rsidRPr="00D96063" w:rsidRDefault="00B96C5C" w:rsidP="00765D22">
            <w:pPr>
              <w:jc w:val="right"/>
              <w:rPr>
                <w:rFonts w:cs="Calibri"/>
                <w:sz w:val="16"/>
                <w:szCs w:val="16"/>
              </w:rPr>
            </w:pPr>
            <w:r w:rsidRPr="00D96063">
              <w:rPr>
                <w:rFonts w:cs="Calibri"/>
                <w:sz w:val="16"/>
                <w:szCs w:val="16"/>
              </w:rPr>
              <w:t>21.8</w:t>
            </w:r>
          </w:p>
        </w:tc>
        <w:tc>
          <w:tcPr>
            <w:tcW w:w="423" w:type="pct"/>
            <w:noWrap/>
            <w:hideMark/>
          </w:tcPr>
          <w:p w14:paraId="52C176DB" w14:textId="77777777" w:rsidR="00B96C5C" w:rsidRPr="00D96063" w:rsidRDefault="00B96C5C" w:rsidP="00765D22">
            <w:pPr>
              <w:jc w:val="right"/>
              <w:rPr>
                <w:rFonts w:cs="Calibri"/>
                <w:sz w:val="16"/>
                <w:szCs w:val="16"/>
              </w:rPr>
            </w:pPr>
            <w:r w:rsidRPr="00D96063">
              <w:rPr>
                <w:rFonts w:cs="Calibri"/>
                <w:sz w:val="16"/>
                <w:szCs w:val="16"/>
              </w:rPr>
              <w:t>22.5</w:t>
            </w:r>
          </w:p>
        </w:tc>
        <w:tc>
          <w:tcPr>
            <w:tcW w:w="423" w:type="pct"/>
            <w:noWrap/>
            <w:hideMark/>
          </w:tcPr>
          <w:p w14:paraId="62F9820E" w14:textId="77777777" w:rsidR="00B96C5C" w:rsidRPr="00D96063" w:rsidRDefault="00B96C5C" w:rsidP="00765D22">
            <w:pPr>
              <w:jc w:val="right"/>
              <w:rPr>
                <w:rFonts w:cs="Calibri"/>
                <w:sz w:val="16"/>
                <w:szCs w:val="16"/>
              </w:rPr>
            </w:pPr>
            <w:r w:rsidRPr="00D96063">
              <w:rPr>
                <w:rFonts w:cs="Calibri"/>
                <w:sz w:val="16"/>
                <w:szCs w:val="16"/>
              </w:rPr>
              <w:t>21.0</w:t>
            </w:r>
          </w:p>
        </w:tc>
        <w:tc>
          <w:tcPr>
            <w:tcW w:w="423" w:type="pct"/>
            <w:noWrap/>
            <w:hideMark/>
          </w:tcPr>
          <w:p w14:paraId="18FF2C67" w14:textId="77777777" w:rsidR="00B96C5C" w:rsidRPr="00D96063" w:rsidRDefault="00B96C5C" w:rsidP="00765D22">
            <w:pPr>
              <w:jc w:val="right"/>
              <w:rPr>
                <w:rFonts w:cs="Calibri"/>
                <w:sz w:val="16"/>
                <w:szCs w:val="16"/>
              </w:rPr>
            </w:pPr>
            <w:r w:rsidRPr="00D96063">
              <w:rPr>
                <w:rFonts w:cs="Calibri"/>
                <w:sz w:val="16"/>
                <w:szCs w:val="16"/>
              </w:rPr>
              <w:t>19.5</w:t>
            </w:r>
          </w:p>
        </w:tc>
        <w:tc>
          <w:tcPr>
            <w:tcW w:w="423" w:type="pct"/>
            <w:noWrap/>
            <w:hideMark/>
          </w:tcPr>
          <w:p w14:paraId="105732AE" w14:textId="77777777" w:rsidR="00B96C5C" w:rsidRPr="00D96063" w:rsidRDefault="00B96C5C" w:rsidP="00765D22">
            <w:pPr>
              <w:jc w:val="right"/>
              <w:rPr>
                <w:rFonts w:cs="Calibri"/>
                <w:sz w:val="16"/>
                <w:szCs w:val="16"/>
              </w:rPr>
            </w:pPr>
            <w:r w:rsidRPr="00D96063">
              <w:rPr>
                <w:rFonts w:cs="Calibri"/>
                <w:sz w:val="16"/>
                <w:szCs w:val="16"/>
              </w:rPr>
              <w:t>18.5</w:t>
            </w:r>
          </w:p>
        </w:tc>
        <w:tc>
          <w:tcPr>
            <w:tcW w:w="425" w:type="pct"/>
            <w:noWrap/>
            <w:hideMark/>
          </w:tcPr>
          <w:p w14:paraId="7C3FE6B8" w14:textId="77777777" w:rsidR="00B96C5C" w:rsidRPr="00D96063" w:rsidRDefault="00B96C5C" w:rsidP="00765D22">
            <w:pPr>
              <w:jc w:val="right"/>
              <w:rPr>
                <w:rFonts w:cs="Calibri"/>
                <w:sz w:val="16"/>
                <w:szCs w:val="16"/>
              </w:rPr>
            </w:pPr>
            <w:r w:rsidRPr="00D96063">
              <w:rPr>
                <w:rFonts w:cs="Calibri"/>
                <w:sz w:val="16"/>
                <w:szCs w:val="16"/>
              </w:rPr>
              <w:t>20.5</w:t>
            </w:r>
          </w:p>
        </w:tc>
      </w:tr>
      <w:tr w:rsidR="00B96C5C" w:rsidRPr="00D96063" w14:paraId="7783BB01" w14:textId="77777777" w:rsidTr="00765D22">
        <w:trPr>
          <w:trHeight w:val="240"/>
        </w:trPr>
        <w:tc>
          <w:tcPr>
            <w:tcW w:w="2040" w:type="pct"/>
            <w:noWrap/>
            <w:hideMark/>
          </w:tcPr>
          <w:p w14:paraId="517573AD" w14:textId="77777777" w:rsidR="00B96C5C" w:rsidRPr="00D96063" w:rsidRDefault="00B96C5C" w:rsidP="00765D22">
            <w:pPr>
              <w:ind w:left="284" w:hanging="284"/>
              <w:jc w:val="left"/>
              <w:rPr>
                <w:rFonts w:cs="Calibri"/>
                <w:sz w:val="16"/>
                <w:szCs w:val="16"/>
              </w:rPr>
            </w:pPr>
            <w:r w:rsidRPr="00D96063">
              <w:rPr>
                <w:rFonts w:cs="Calibri"/>
                <w:sz w:val="16"/>
                <w:szCs w:val="16"/>
              </w:rPr>
              <w:tab/>
              <w:t>Crops</w:t>
            </w:r>
          </w:p>
        </w:tc>
        <w:tc>
          <w:tcPr>
            <w:tcW w:w="420" w:type="pct"/>
            <w:noWrap/>
            <w:hideMark/>
          </w:tcPr>
          <w:p w14:paraId="21E3A3F1" w14:textId="77777777" w:rsidR="00B96C5C" w:rsidRPr="00D96063" w:rsidRDefault="00B96C5C" w:rsidP="00765D22">
            <w:pPr>
              <w:jc w:val="right"/>
              <w:rPr>
                <w:rFonts w:cs="Calibri"/>
                <w:sz w:val="16"/>
                <w:szCs w:val="16"/>
              </w:rPr>
            </w:pPr>
            <w:r w:rsidRPr="00D96063">
              <w:rPr>
                <w:rFonts w:cs="Calibri"/>
                <w:sz w:val="16"/>
                <w:szCs w:val="16"/>
              </w:rPr>
              <w:t>15.5</w:t>
            </w:r>
          </w:p>
        </w:tc>
        <w:tc>
          <w:tcPr>
            <w:tcW w:w="423" w:type="pct"/>
            <w:noWrap/>
            <w:hideMark/>
          </w:tcPr>
          <w:p w14:paraId="35152433" w14:textId="77777777" w:rsidR="00B96C5C" w:rsidRPr="00D96063" w:rsidRDefault="00B96C5C" w:rsidP="00765D22">
            <w:pPr>
              <w:jc w:val="right"/>
              <w:rPr>
                <w:rFonts w:cs="Calibri"/>
                <w:sz w:val="16"/>
                <w:szCs w:val="16"/>
              </w:rPr>
            </w:pPr>
            <w:r w:rsidRPr="00D96063">
              <w:rPr>
                <w:rFonts w:cs="Calibri"/>
                <w:sz w:val="16"/>
                <w:szCs w:val="16"/>
              </w:rPr>
              <w:t>15.8</w:t>
            </w:r>
          </w:p>
        </w:tc>
        <w:tc>
          <w:tcPr>
            <w:tcW w:w="423" w:type="pct"/>
            <w:noWrap/>
            <w:hideMark/>
          </w:tcPr>
          <w:p w14:paraId="071A9598" w14:textId="77777777" w:rsidR="00B96C5C" w:rsidRPr="00D96063" w:rsidRDefault="00B96C5C" w:rsidP="00765D22">
            <w:pPr>
              <w:jc w:val="right"/>
              <w:rPr>
                <w:rFonts w:cs="Calibri"/>
                <w:sz w:val="16"/>
                <w:szCs w:val="16"/>
              </w:rPr>
            </w:pPr>
            <w:r w:rsidRPr="00D96063">
              <w:rPr>
                <w:rFonts w:cs="Calibri"/>
                <w:sz w:val="16"/>
                <w:szCs w:val="16"/>
              </w:rPr>
              <w:t>17.2</w:t>
            </w:r>
          </w:p>
        </w:tc>
        <w:tc>
          <w:tcPr>
            <w:tcW w:w="423" w:type="pct"/>
            <w:noWrap/>
            <w:hideMark/>
          </w:tcPr>
          <w:p w14:paraId="21E98C43" w14:textId="77777777" w:rsidR="00B96C5C" w:rsidRPr="00D96063" w:rsidRDefault="00B96C5C" w:rsidP="00765D22">
            <w:pPr>
              <w:jc w:val="right"/>
              <w:rPr>
                <w:rFonts w:cs="Calibri"/>
                <w:sz w:val="16"/>
                <w:szCs w:val="16"/>
              </w:rPr>
            </w:pPr>
            <w:r w:rsidRPr="00D96063">
              <w:rPr>
                <w:rFonts w:cs="Calibri"/>
                <w:sz w:val="16"/>
                <w:szCs w:val="16"/>
              </w:rPr>
              <w:t>16.3</w:t>
            </w:r>
          </w:p>
        </w:tc>
        <w:tc>
          <w:tcPr>
            <w:tcW w:w="423" w:type="pct"/>
            <w:noWrap/>
            <w:hideMark/>
          </w:tcPr>
          <w:p w14:paraId="17B6A7FB" w14:textId="77777777" w:rsidR="00B96C5C" w:rsidRPr="00D96063" w:rsidRDefault="00B96C5C" w:rsidP="00765D22">
            <w:pPr>
              <w:jc w:val="right"/>
              <w:rPr>
                <w:rFonts w:cs="Calibri"/>
                <w:sz w:val="16"/>
                <w:szCs w:val="16"/>
              </w:rPr>
            </w:pPr>
            <w:r w:rsidRPr="00D96063">
              <w:rPr>
                <w:rFonts w:cs="Calibri"/>
                <w:sz w:val="16"/>
                <w:szCs w:val="16"/>
              </w:rPr>
              <w:t>15.3</w:t>
            </w:r>
          </w:p>
        </w:tc>
        <w:tc>
          <w:tcPr>
            <w:tcW w:w="423" w:type="pct"/>
            <w:noWrap/>
            <w:hideMark/>
          </w:tcPr>
          <w:p w14:paraId="55570027" w14:textId="77777777" w:rsidR="00B96C5C" w:rsidRPr="00D96063" w:rsidRDefault="00B96C5C" w:rsidP="00765D22">
            <w:pPr>
              <w:jc w:val="right"/>
              <w:rPr>
                <w:rFonts w:cs="Calibri"/>
                <w:sz w:val="16"/>
                <w:szCs w:val="16"/>
              </w:rPr>
            </w:pPr>
            <w:r w:rsidRPr="00D96063">
              <w:rPr>
                <w:rFonts w:cs="Calibri"/>
                <w:sz w:val="16"/>
                <w:szCs w:val="16"/>
              </w:rPr>
              <w:t>14.7</w:t>
            </w:r>
          </w:p>
        </w:tc>
        <w:tc>
          <w:tcPr>
            <w:tcW w:w="425" w:type="pct"/>
            <w:noWrap/>
            <w:hideMark/>
          </w:tcPr>
          <w:p w14:paraId="05ADCC50" w14:textId="77777777" w:rsidR="00B96C5C" w:rsidRPr="00D96063" w:rsidRDefault="00B96C5C" w:rsidP="00765D22">
            <w:pPr>
              <w:jc w:val="right"/>
              <w:rPr>
                <w:rFonts w:cs="Calibri"/>
                <w:sz w:val="16"/>
                <w:szCs w:val="16"/>
              </w:rPr>
            </w:pPr>
            <w:r w:rsidRPr="00D96063">
              <w:rPr>
                <w:rFonts w:cs="Calibri"/>
                <w:sz w:val="16"/>
                <w:szCs w:val="16"/>
              </w:rPr>
              <w:t>16.6</w:t>
            </w:r>
          </w:p>
        </w:tc>
      </w:tr>
      <w:tr w:rsidR="00B96C5C" w:rsidRPr="00D96063" w14:paraId="06D56309"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13A9FA12" w14:textId="77777777" w:rsidR="00B96C5C" w:rsidRPr="00D96063" w:rsidRDefault="00B96C5C" w:rsidP="00765D22">
            <w:pPr>
              <w:jc w:val="left"/>
              <w:rPr>
                <w:rFonts w:cs="Calibri"/>
                <w:i/>
                <w:iCs/>
                <w:sz w:val="16"/>
                <w:szCs w:val="16"/>
              </w:rPr>
            </w:pPr>
            <w:r w:rsidRPr="00D96063">
              <w:rPr>
                <w:rFonts w:cs="Calibri"/>
                <w:i/>
                <w:iCs/>
                <w:sz w:val="16"/>
                <w:szCs w:val="16"/>
              </w:rPr>
              <w:tab/>
              <w:t>of which: cocoa</w:t>
            </w:r>
          </w:p>
        </w:tc>
        <w:tc>
          <w:tcPr>
            <w:tcW w:w="420" w:type="pct"/>
            <w:noWrap/>
            <w:hideMark/>
          </w:tcPr>
          <w:p w14:paraId="7AEB3CCF" w14:textId="77777777" w:rsidR="00B96C5C" w:rsidRPr="00D96063" w:rsidRDefault="00B96C5C" w:rsidP="00765D22">
            <w:pPr>
              <w:jc w:val="right"/>
              <w:rPr>
                <w:rFonts w:cs="Calibri"/>
                <w:sz w:val="16"/>
                <w:szCs w:val="16"/>
              </w:rPr>
            </w:pPr>
            <w:r w:rsidRPr="00D96063">
              <w:rPr>
                <w:rFonts w:cs="Calibri"/>
                <w:sz w:val="16"/>
                <w:szCs w:val="16"/>
              </w:rPr>
              <w:t>3.0</w:t>
            </w:r>
          </w:p>
        </w:tc>
        <w:tc>
          <w:tcPr>
            <w:tcW w:w="423" w:type="pct"/>
            <w:noWrap/>
            <w:hideMark/>
          </w:tcPr>
          <w:p w14:paraId="2D88BAD9" w14:textId="77777777" w:rsidR="00B96C5C" w:rsidRPr="00D96063" w:rsidRDefault="00B96C5C" w:rsidP="00765D22">
            <w:pPr>
              <w:jc w:val="right"/>
              <w:rPr>
                <w:rFonts w:cs="Calibri"/>
                <w:sz w:val="16"/>
                <w:szCs w:val="16"/>
              </w:rPr>
            </w:pPr>
            <w:r w:rsidRPr="00D96063">
              <w:rPr>
                <w:rFonts w:cs="Calibri"/>
                <w:sz w:val="16"/>
                <w:szCs w:val="16"/>
              </w:rPr>
              <w:t>2.8</w:t>
            </w:r>
          </w:p>
        </w:tc>
        <w:tc>
          <w:tcPr>
            <w:tcW w:w="423" w:type="pct"/>
            <w:noWrap/>
            <w:hideMark/>
          </w:tcPr>
          <w:p w14:paraId="7174F52A" w14:textId="77777777" w:rsidR="00B96C5C" w:rsidRPr="00D96063" w:rsidRDefault="00B96C5C" w:rsidP="00765D22">
            <w:pPr>
              <w:jc w:val="right"/>
              <w:rPr>
                <w:rFonts w:cs="Calibri"/>
                <w:sz w:val="16"/>
                <w:szCs w:val="16"/>
              </w:rPr>
            </w:pPr>
            <w:r w:rsidRPr="00D96063">
              <w:rPr>
                <w:rFonts w:cs="Calibri"/>
                <w:sz w:val="16"/>
                <w:szCs w:val="16"/>
              </w:rPr>
              <w:t>2.5</w:t>
            </w:r>
          </w:p>
        </w:tc>
        <w:tc>
          <w:tcPr>
            <w:tcW w:w="423" w:type="pct"/>
            <w:noWrap/>
            <w:hideMark/>
          </w:tcPr>
          <w:p w14:paraId="2EEE4066" w14:textId="77777777" w:rsidR="00B96C5C" w:rsidRPr="00D96063" w:rsidRDefault="00B96C5C" w:rsidP="00765D22">
            <w:pPr>
              <w:jc w:val="right"/>
              <w:rPr>
                <w:rFonts w:cs="Calibri"/>
                <w:sz w:val="16"/>
                <w:szCs w:val="16"/>
              </w:rPr>
            </w:pPr>
            <w:r w:rsidRPr="00D96063">
              <w:rPr>
                <w:rFonts w:cs="Calibri"/>
                <w:sz w:val="16"/>
                <w:szCs w:val="16"/>
              </w:rPr>
              <w:t>2.2</w:t>
            </w:r>
          </w:p>
        </w:tc>
        <w:tc>
          <w:tcPr>
            <w:tcW w:w="423" w:type="pct"/>
            <w:noWrap/>
            <w:hideMark/>
          </w:tcPr>
          <w:p w14:paraId="05295184" w14:textId="77777777" w:rsidR="00B96C5C" w:rsidRPr="00D96063" w:rsidRDefault="00B96C5C" w:rsidP="00765D22">
            <w:pPr>
              <w:jc w:val="right"/>
              <w:rPr>
                <w:rFonts w:cs="Calibri"/>
                <w:sz w:val="16"/>
                <w:szCs w:val="16"/>
              </w:rPr>
            </w:pPr>
            <w:r w:rsidRPr="00D96063">
              <w:rPr>
                <w:rFonts w:cs="Calibri"/>
                <w:sz w:val="16"/>
                <w:szCs w:val="16"/>
              </w:rPr>
              <w:t>2.0</w:t>
            </w:r>
          </w:p>
        </w:tc>
        <w:tc>
          <w:tcPr>
            <w:tcW w:w="423" w:type="pct"/>
            <w:noWrap/>
            <w:hideMark/>
          </w:tcPr>
          <w:p w14:paraId="1D28DADF" w14:textId="77777777" w:rsidR="00B96C5C" w:rsidRPr="00D96063" w:rsidRDefault="00B96C5C" w:rsidP="00765D22">
            <w:pPr>
              <w:jc w:val="right"/>
              <w:rPr>
                <w:rFonts w:cs="Calibri"/>
                <w:sz w:val="16"/>
                <w:szCs w:val="16"/>
              </w:rPr>
            </w:pPr>
            <w:r w:rsidRPr="00D96063">
              <w:rPr>
                <w:rFonts w:cs="Calibri"/>
                <w:sz w:val="16"/>
                <w:szCs w:val="16"/>
              </w:rPr>
              <w:t>1.7</w:t>
            </w:r>
          </w:p>
        </w:tc>
        <w:tc>
          <w:tcPr>
            <w:tcW w:w="425" w:type="pct"/>
            <w:noWrap/>
            <w:hideMark/>
          </w:tcPr>
          <w:p w14:paraId="43614D0A" w14:textId="77777777" w:rsidR="00B96C5C" w:rsidRPr="00D96063" w:rsidRDefault="00B96C5C" w:rsidP="00765D22">
            <w:pPr>
              <w:jc w:val="right"/>
              <w:rPr>
                <w:rFonts w:cs="Calibri"/>
                <w:sz w:val="16"/>
                <w:szCs w:val="16"/>
              </w:rPr>
            </w:pPr>
            <w:r w:rsidRPr="00D96063">
              <w:rPr>
                <w:rFonts w:cs="Calibri"/>
                <w:sz w:val="16"/>
                <w:szCs w:val="16"/>
              </w:rPr>
              <w:t>1.8</w:t>
            </w:r>
          </w:p>
        </w:tc>
      </w:tr>
      <w:tr w:rsidR="00B96C5C" w:rsidRPr="00D96063" w14:paraId="78F1F6D2" w14:textId="77777777" w:rsidTr="00765D22">
        <w:trPr>
          <w:trHeight w:val="240"/>
        </w:trPr>
        <w:tc>
          <w:tcPr>
            <w:tcW w:w="2040" w:type="pct"/>
            <w:noWrap/>
            <w:hideMark/>
          </w:tcPr>
          <w:p w14:paraId="4345010C" w14:textId="77777777" w:rsidR="00B96C5C" w:rsidRPr="00D96063" w:rsidRDefault="00B96C5C" w:rsidP="00765D22">
            <w:pPr>
              <w:ind w:left="284" w:hanging="284"/>
              <w:jc w:val="left"/>
              <w:rPr>
                <w:rFonts w:cs="Calibri"/>
                <w:sz w:val="16"/>
                <w:szCs w:val="16"/>
              </w:rPr>
            </w:pPr>
            <w:r w:rsidRPr="00D96063">
              <w:rPr>
                <w:rFonts w:cs="Calibri"/>
                <w:sz w:val="16"/>
                <w:szCs w:val="16"/>
              </w:rPr>
              <w:tab/>
              <w:t>Livestock</w:t>
            </w:r>
          </w:p>
        </w:tc>
        <w:tc>
          <w:tcPr>
            <w:tcW w:w="420" w:type="pct"/>
            <w:noWrap/>
            <w:hideMark/>
          </w:tcPr>
          <w:p w14:paraId="49460CB7" w14:textId="77777777" w:rsidR="00B96C5C" w:rsidRPr="00D96063" w:rsidRDefault="00B96C5C" w:rsidP="00765D22">
            <w:pPr>
              <w:jc w:val="right"/>
              <w:rPr>
                <w:rFonts w:cs="Calibri"/>
                <w:sz w:val="16"/>
                <w:szCs w:val="16"/>
              </w:rPr>
            </w:pPr>
            <w:r w:rsidRPr="00D96063">
              <w:rPr>
                <w:rFonts w:cs="Calibri"/>
                <w:sz w:val="16"/>
                <w:szCs w:val="16"/>
              </w:rPr>
              <w:t>2.7</w:t>
            </w:r>
          </w:p>
        </w:tc>
        <w:tc>
          <w:tcPr>
            <w:tcW w:w="423" w:type="pct"/>
            <w:noWrap/>
            <w:hideMark/>
          </w:tcPr>
          <w:p w14:paraId="1F629CC7" w14:textId="77777777" w:rsidR="00B96C5C" w:rsidRPr="00D96063" w:rsidRDefault="00B96C5C" w:rsidP="00765D22">
            <w:pPr>
              <w:jc w:val="right"/>
              <w:rPr>
                <w:rFonts w:cs="Calibri"/>
                <w:sz w:val="16"/>
                <w:szCs w:val="16"/>
              </w:rPr>
            </w:pPr>
            <w:r w:rsidRPr="00D96063">
              <w:rPr>
                <w:rFonts w:cs="Calibri"/>
                <w:sz w:val="16"/>
                <w:szCs w:val="16"/>
              </w:rPr>
              <w:t>2.5</w:t>
            </w:r>
          </w:p>
        </w:tc>
        <w:tc>
          <w:tcPr>
            <w:tcW w:w="423" w:type="pct"/>
            <w:noWrap/>
            <w:hideMark/>
          </w:tcPr>
          <w:p w14:paraId="25253F08" w14:textId="77777777" w:rsidR="00B96C5C" w:rsidRPr="00D96063" w:rsidRDefault="00B96C5C" w:rsidP="00765D22">
            <w:pPr>
              <w:jc w:val="right"/>
              <w:rPr>
                <w:rFonts w:cs="Calibri"/>
                <w:sz w:val="16"/>
                <w:szCs w:val="16"/>
              </w:rPr>
            </w:pPr>
            <w:r w:rsidRPr="00D96063">
              <w:rPr>
                <w:rFonts w:cs="Calibri"/>
                <w:sz w:val="16"/>
                <w:szCs w:val="16"/>
              </w:rPr>
              <w:t>2.3</w:t>
            </w:r>
          </w:p>
        </w:tc>
        <w:tc>
          <w:tcPr>
            <w:tcW w:w="423" w:type="pct"/>
            <w:noWrap/>
            <w:hideMark/>
          </w:tcPr>
          <w:p w14:paraId="20EFED5A" w14:textId="77777777" w:rsidR="00B96C5C" w:rsidRPr="00D96063" w:rsidRDefault="00B96C5C" w:rsidP="00765D22">
            <w:pPr>
              <w:jc w:val="right"/>
              <w:rPr>
                <w:rFonts w:cs="Calibri"/>
                <w:sz w:val="16"/>
                <w:szCs w:val="16"/>
              </w:rPr>
            </w:pPr>
            <w:r w:rsidRPr="00D96063">
              <w:rPr>
                <w:rFonts w:cs="Calibri"/>
                <w:sz w:val="16"/>
                <w:szCs w:val="16"/>
              </w:rPr>
              <w:t>2.0</w:t>
            </w:r>
          </w:p>
        </w:tc>
        <w:tc>
          <w:tcPr>
            <w:tcW w:w="423" w:type="pct"/>
            <w:noWrap/>
            <w:hideMark/>
          </w:tcPr>
          <w:p w14:paraId="2F714833" w14:textId="77777777" w:rsidR="00B96C5C" w:rsidRPr="00D96063" w:rsidRDefault="00B96C5C" w:rsidP="00765D22">
            <w:pPr>
              <w:jc w:val="right"/>
              <w:rPr>
                <w:rFonts w:cs="Calibri"/>
                <w:sz w:val="16"/>
                <w:szCs w:val="16"/>
              </w:rPr>
            </w:pPr>
            <w:r w:rsidRPr="00D96063">
              <w:rPr>
                <w:rFonts w:cs="Calibri"/>
                <w:sz w:val="16"/>
                <w:szCs w:val="16"/>
              </w:rPr>
              <w:t>1.8</w:t>
            </w:r>
          </w:p>
        </w:tc>
        <w:tc>
          <w:tcPr>
            <w:tcW w:w="423" w:type="pct"/>
            <w:noWrap/>
            <w:hideMark/>
          </w:tcPr>
          <w:p w14:paraId="27EB9057" w14:textId="77777777" w:rsidR="00B96C5C" w:rsidRPr="00D96063" w:rsidRDefault="00B96C5C" w:rsidP="00765D22">
            <w:pPr>
              <w:jc w:val="right"/>
              <w:rPr>
                <w:rFonts w:cs="Calibri"/>
                <w:sz w:val="16"/>
                <w:szCs w:val="16"/>
              </w:rPr>
            </w:pPr>
            <w:r w:rsidRPr="00D96063">
              <w:rPr>
                <w:rFonts w:cs="Calibri"/>
                <w:sz w:val="16"/>
                <w:szCs w:val="16"/>
              </w:rPr>
              <w:t>1.7</w:t>
            </w:r>
          </w:p>
        </w:tc>
        <w:tc>
          <w:tcPr>
            <w:tcW w:w="425" w:type="pct"/>
            <w:noWrap/>
            <w:hideMark/>
          </w:tcPr>
          <w:p w14:paraId="130D1BD8" w14:textId="77777777" w:rsidR="00B96C5C" w:rsidRPr="00D96063" w:rsidRDefault="00B96C5C" w:rsidP="00765D22">
            <w:pPr>
              <w:jc w:val="right"/>
              <w:rPr>
                <w:rFonts w:cs="Calibri"/>
                <w:sz w:val="16"/>
                <w:szCs w:val="16"/>
              </w:rPr>
            </w:pPr>
            <w:r w:rsidRPr="00D96063">
              <w:rPr>
                <w:rFonts w:cs="Calibri"/>
                <w:sz w:val="16"/>
                <w:szCs w:val="16"/>
              </w:rPr>
              <w:t>1.7</w:t>
            </w:r>
          </w:p>
        </w:tc>
      </w:tr>
      <w:tr w:rsidR="00B96C5C" w:rsidRPr="00D96063" w14:paraId="13982FAA"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7596CFD2" w14:textId="77777777" w:rsidR="00B96C5C" w:rsidRPr="00D96063" w:rsidRDefault="00B96C5C" w:rsidP="00765D22">
            <w:pPr>
              <w:ind w:left="284" w:hanging="284"/>
              <w:jc w:val="left"/>
              <w:rPr>
                <w:rFonts w:cs="Calibri"/>
                <w:sz w:val="16"/>
                <w:szCs w:val="16"/>
              </w:rPr>
            </w:pPr>
            <w:r w:rsidRPr="00D96063">
              <w:rPr>
                <w:rFonts w:cs="Calibri"/>
                <w:sz w:val="16"/>
                <w:szCs w:val="16"/>
              </w:rPr>
              <w:tab/>
              <w:t>Forestry and logging</w:t>
            </w:r>
          </w:p>
        </w:tc>
        <w:tc>
          <w:tcPr>
            <w:tcW w:w="420" w:type="pct"/>
            <w:noWrap/>
            <w:hideMark/>
          </w:tcPr>
          <w:p w14:paraId="35AF9D1B" w14:textId="77777777" w:rsidR="00B96C5C" w:rsidRPr="00D96063" w:rsidRDefault="00B96C5C" w:rsidP="00765D22">
            <w:pPr>
              <w:jc w:val="right"/>
              <w:rPr>
                <w:rFonts w:cs="Calibri"/>
                <w:sz w:val="16"/>
                <w:szCs w:val="16"/>
              </w:rPr>
            </w:pPr>
            <w:r w:rsidRPr="00D96063">
              <w:rPr>
                <w:rFonts w:cs="Calibri"/>
                <w:sz w:val="16"/>
                <w:szCs w:val="16"/>
              </w:rPr>
              <w:t>2.0</w:t>
            </w:r>
          </w:p>
        </w:tc>
        <w:tc>
          <w:tcPr>
            <w:tcW w:w="423" w:type="pct"/>
            <w:noWrap/>
            <w:hideMark/>
          </w:tcPr>
          <w:p w14:paraId="2D2AEB5A" w14:textId="77777777" w:rsidR="00B96C5C" w:rsidRPr="00D96063" w:rsidRDefault="00B96C5C" w:rsidP="00765D22">
            <w:pPr>
              <w:jc w:val="right"/>
              <w:rPr>
                <w:rFonts w:cs="Calibri"/>
                <w:sz w:val="16"/>
                <w:szCs w:val="16"/>
              </w:rPr>
            </w:pPr>
            <w:r w:rsidRPr="00D96063">
              <w:rPr>
                <w:rFonts w:cs="Calibri"/>
                <w:sz w:val="16"/>
                <w:szCs w:val="16"/>
              </w:rPr>
              <w:t>2.0</w:t>
            </w:r>
          </w:p>
        </w:tc>
        <w:tc>
          <w:tcPr>
            <w:tcW w:w="423" w:type="pct"/>
            <w:noWrap/>
            <w:hideMark/>
          </w:tcPr>
          <w:p w14:paraId="6293ADAA" w14:textId="77777777" w:rsidR="00B96C5C" w:rsidRPr="00D96063" w:rsidRDefault="00B96C5C" w:rsidP="00765D22">
            <w:pPr>
              <w:jc w:val="right"/>
              <w:rPr>
                <w:rFonts w:cs="Calibri"/>
                <w:sz w:val="16"/>
                <w:szCs w:val="16"/>
              </w:rPr>
            </w:pPr>
            <w:r w:rsidRPr="00D96063">
              <w:rPr>
                <w:rFonts w:cs="Calibri"/>
                <w:sz w:val="16"/>
                <w:szCs w:val="16"/>
              </w:rPr>
              <w:t>1.7</w:t>
            </w:r>
          </w:p>
        </w:tc>
        <w:tc>
          <w:tcPr>
            <w:tcW w:w="423" w:type="pct"/>
            <w:noWrap/>
            <w:hideMark/>
          </w:tcPr>
          <w:p w14:paraId="567A4805" w14:textId="77777777" w:rsidR="00B96C5C" w:rsidRPr="00D96063" w:rsidRDefault="00B96C5C" w:rsidP="00765D22">
            <w:pPr>
              <w:jc w:val="right"/>
              <w:rPr>
                <w:rFonts w:cs="Calibri"/>
                <w:sz w:val="16"/>
                <w:szCs w:val="16"/>
              </w:rPr>
            </w:pPr>
            <w:r w:rsidRPr="00D96063">
              <w:rPr>
                <w:rFonts w:cs="Calibri"/>
                <w:sz w:val="16"/>
                <w:szCs w:val="16"/>
              </w:rPr>
              <w:t>1.6</w:t>
            </w:r>
          </w:p>
        </w:tc>
        <w:tc>
          <w:tcPr>
            <w:tcW w:w="423" w:type="pct"/>
            <w:noWrap/>
            <w:hideMark/>
          </w:tcPr>
          <w:p w14:paraId="2C29CBEC" w14:textId="77777777" w:rsidR="00B96C5C" w:rsidRPr="00D96063" w:rsidRDefault="00B96C5C" w:rsidP="00765D22">
            <w:pPr>
              <w:jc w:val="right"/>
              <w:rPr>
                <w:rFonts w:cs="Calibri"/>
                <w:sz w:val="16"/>
                <w:szCs w:val="16"/>
              </w:rPr>
            </w:pPr>
            <w:r w:rsidRPr="00D96063">
              <w:rPr>
                <w:rFonts w:cs="Calibri"/>
                <w:sz w:val="16"/>
                <w:szCs w:val="16"/>
              </w:rPr>
              <w:t>1.5</w:t>
            </w:r>
          </w:p>
        </w:tc>
        <w:tc>
          <w:tcPr>
            <w:tcW w:w="423" w:type="pct"/>
            <w:noWrap/>
            <w:hideMark/>
          </w:tcPr>
          <w:p w14:paraId="5A80E9FC" w14:textId="77777777" w:rsidR="00B96C5C" w:rsidRPr="00D96063" w:rsidRDefault="00B96C5C" w:rsidP="00765D22">
            <w:pPr>
              <w:jc w:val="right"/>
              <w:rPr>
                <w:rFonts w:cs="Calibri"/>
                <w:sz w:val="16"/>
                <w:szCs w:val="16"/>
              </w:rPr>
            </w:pPr>
            <w:r w:rsidRPr="00D96063">
              <w:rPr>
                <w:rFonts w:cs="Calibri"/>
                <w:sz w:val="16"/>
                <w:szCs w:val="16"/>
              </w:rPr>
              <w:t>1.3</w:t>
            </w:r>
          </w:p>
        </w:tc>
        <w:tc>
          <w:tcPr>
            <w:tcW w:w="425" w:type="pct"/>
            <w:noWrap/>
            <w:hideMark/>
          </w:tcPr>
          <w:p w14:paraId="1E9D4CCE" w14:textId="77777777" w:rsidR="00B96C5C" w:rsidRPr="00D96063" w:rsidRDefault="00B96C5C" w:rsidP="00765D22">
            <w:pPr>
              <w:jc w:val="right"/>
              <w:rPr>
                <w:rFonts w:cs="Calibri"/>
                <w:sz w:val="16"/>
                <w:szCs w:val="16"/>
              </w:rPr>
            </w:pPr>
            <w:r w:rsidRPr="00D96063">
              <w:rPr>
                <w:rFonts w:cs="Calibri"/>
                <w:sz w:val="16"/>
                <w:szCs w:val="16"/>
              </w:rPr>
              <w:t>1.1</w:t>
            </w:r>
          </w:p>
        </w:tc>
      </w:tr>
      <w:tr w:rsidR="00B96C5C" w:rsidRPr="00D96063" w14:paraId="3A9D581C" w14:textId="77777777" w:rsidTr="00765D22">
        <w:trPr>
          <w:trHeight w:val="240"/>
        </w:trPr>
        <w:tc>
          <w:tcPr>
            <w:tcW w:w="2040" w:type="pct"/>
            <w:noWrap/>
            <w:hideMark/>
          </w:tcPr>
          <w:p w14:paraId="50694268" w14:textId="77777777" w:rsidR="00B96C5C" w:rsidRPr="00D96063" w:rsidRDefault="00B96C5C" w:rsidP="00765D22">
            <w:pPr>
              <w:ind w:left="284" w:hanging="284"/>
              <w:jc w:val="left"/>
              <w:rPr>
                <w:rFonts w:cs="Calibri"/>
                <w:sz w:val="16"/>
                <w:szCs w:val="16"/>
              </w:rPr>
            </w:pPr>
            <w:r w:rsidRPr="00D96063">
              <w:rPr>
                <w:rFonts w:cs="Calibri"/>
                <w:sz w:val="16"/>
                <w:szCs w:val="16"/>
              </w:rPr>
              <w:tab/>
              <w:t>Fishing</w:t>
            </w:r>
          </w:p>
        </w:tc>
        <w:tc>
          <w:tcPr>
            <w:tcW w:w="420" w:type="pct"/>
            <w:noWrap/>
            <w:hideMark/>
          </w:tcPr>
          <w:p w14:paraId="71256BB7" w14:textId="77777777" w:rsidR="00B96C5C" w:rsidRPr="00D96063" w:rsidRDefault="00B96C5C" w:rsidP="00765D22">
            <w:pPr>
              <w:jc w:val="right"/>
              <w:rPr>
                <w:rFonts w:cs="Calibri"/>
                <w:sz w:val="16"/>
                <w:szCs w:val="16"/>
              </w:rPr>
            </w:pPr>
            <w:r w:rsidRPr="00D96063">
              <w:rPr>
                <w:rFonts w:cs="Calibri"/>
                <w:sz w:val="16"/>
                <w:szCs w:val="16"/>
              </w:rPr>
              <w:t>1.3</w:t>
            </w:r>
          </w:p>
        </w:tc>
        <w:tc>
          <w:tcPr>
            <w:tcW w:w="423" w:type="pct"/>
            <w:noWrap/>
            <w:hideMark/>
          </w:tcPr>
          <w:p w14:paraId="43A246D0" w14:textId="77777777" w:rsidR="00B96C5C" w:rsidRPr="00D96063" w:rsidRDefault="00B96C5C" w:rsidP="00765D22">
            <w:pPr>
              <w:jc w:val="right"/>
              <w:rPr>
                <w:rFonts w:cs="Calibri"/>
                <w:sz w:val="16"/>
                <w:szCs w:val="16"/>
              </w:rPr>
            </w:pPr>
            <w:r w:rsidRPr="00D96063">
              <w:rPr>
                <w:rFonts w:cs="Calibri"/>
                <w:sz w:val="16"/>
                <w:szCs w:val="16"/>
              </w:rPr>
              <w:t>1.5</w:t>
            </w:r>
          </w:p>
        </w:tc>
        <w:tc>
          <w:tcPr>
            <w:tcW w:w="423" w:type="pct"/>
            <w:noWrap/>
            <w:hideMark/>
          </w:tcPr>
          <w:p w14:paraId="438372CD" w14:textId="77777777" w:rsidR="00B96C5C" w:rsidRPr="00D96063" w:rsidRDefault="00B96C5C" w:rsidP="00765D22">
            <w:pPr>
              <w:jc w:val="right"/>
              <w:rPr>
                <w:rFonts w:cs="Calibri"/>
                <w:sz w:val="16"/>
                <w:szCs w:val="16"/>
              </w:rPr>
            </w:pPr>
            <w:r w:rsidRPr="00D96063">
              <w:rPr>
                <w:rFonts w:cs="Calibri"/>
                <w:sz w:val="16"/>
                <w:szCs w:val="16"/>
              </w:rPr>
              <w:t>1.4</w:t>
            </w:r>
          </w:p>
        </w:tc>
        <w:tc>
          <w:tcPr>
            <w:tcW w:w="423" w:type="pct"/>
            <w:noWrap/>
            <w:hideMark/>
          </w:tcPr>
          <w:p w14:paraId="24D80920" w14:textId="77777777" w:rsidR="00B96C5C" w:rsidRPr="00D96063" w:rsidRDefault="00B96C5C" w:rsidP="00765D22">
            <w:pPr>
              <w:jc w:val="right"/>
              <w:rPr>
                <w:rFonts w:cs="Calibri"/>
                <w:sz w:val="16"/>
                <w:szCs w:val="16"/>
              </w:rPr>
            </w:pPr>
            <w:r w:rsidRPr="00D96063">
              <w:rPr>
                <w:rFonts w:cs="Calibri"/>
                <w:sz w:val="16"/>
                <w:szCs w:val="16"/>
              </w:rPr>
              <w:t>1.1</w:t>
            </w:r>
          </w:p>
        </w:tc>
        <w:tc>
          <w:tcPr>
            <w:tcW w:w="423" w:type="pct"/>
            <w:noWrap/>
            <w:hideMark/>
          </w:tcPr>
          <w:p w14:paraId="0EE2E49F" w14:textId="77777777" w:rsidR="00B96C5C" w:rsidRPr="00D96063" w:rsidRDefault="00B96C5C" w:rsidP="00765D22">
            <w:pPr>
              <w:jc w:val="right"/>
              <w:rPr>
                <w:rFonts w:cs="Calibri"/>
                <w:sz w:val="16"/>
                <w:szCs w:val="16"/>
              </w:rPr>
            </w:pPr>
            <w:r w:rsidRPr="00D96063">
              <w:rPr>
                <w:rFonts w:cs="Calibri"/>
                <w:sz w:val="16"/>
                <w:szCs w:val="16"/>
              </w:rPr>
              <w:t>0.9</w:t>
            </w:r>
          </w:p>
        </w:tc>
        <w:tc>
          <w:tcPr>
            <w:tcW w:w="423" w:type="pct"/>
            <w:noWrap/>
            <w:hideMark/>
          </w:tcPr>
          <w:p w14:paraId="316972FE" w14:textId="77777777" w:rsidR="00B96C5C" w:rsidRPr="00D96063" w:rsidRDefault="00B96C5C" w:rsidP="00765D22">
            <w:pPr>
              <w:jc w:val="right"/>
              <w:rPr>
                <w:rFonts w:cs="Calibri"/>
                <w:sz w:val="16"/>
                <w:szCs w:val="16"/>
              </w:rPr>
            </w:pPr>
            <w:r w:rsidRPr="00D96063">
              <w:rPr>
                <w:rFonts w:cs="Calibri"/>
                <w:sz w:val="16"/>
                <w:szCs w:val="16"/>
              </w:rPr>
              <w:t>0.9</w:t>
            </w:r>
          </w:p>
        </w:tc>
        <w:tc>
          <w:tcPr>
            <w:tcW w:w="425" w:type="pct"/>
            <w:noWrap/>
            <w:hideMark/>
          </w:tcPr>
          <w:p w14:paraId="356D3BD6" w14:textId="77777777" w:rsidR="00B96C5C" w:rsidRPr="00D96063" w:rsidRDefault="00B96C5C" w:rsidP="00765D22">
            <w:pPr>
              <w:jc w:val="right"/>
              <w:rPr>
                <w:rFonts w:cs="Calibri"/>
                <w:sz w:val="16"/>
                <w:szCs w:val="16"/>
              </w:rPr>
            </w:pPr>
            <w:r w:rsidRPr="00D96063">
              <w:rPr>
                <w:rFonts w:cs="Calibri"/>
                <w:sz w:val="16"/>
                <w:szCs w:val="16"/>
              </w:rPr>
              <w:t>1.0</w:t>
            </w:r>
          </w:p>
        </w:tc>
      </w:tr>
      <w:tr w:rsidR="00B96C5C" w:rsidRPr="00D96063" w14:paraId="1C8DABBE"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4149FC12" w14:textId="77777777" w:rsidR="00B96C5C" w:rsidRPr="00D96063" w:rsidRDefault="00B96C5C" w:rsidP="00765D22">
            <w:pPr>
              <w:jc w:val="left"/>
              <w:rPr>
                <w:rFonts w:cs="Calibri"/>
                <w:sz w:val="16"/>
                <w:szCs w:val="16"/>
              </w:rPr>
            </w:pPr>
            <w:r w:rsidRPr="00D96063">
              <w:rPr>
                <w:rFonts w:cs="Calibri"/>
                <w:sz w:val="16"/>
                <w:szCs w:val="16"/>
              </w:rPr>
              <w:t>Mining and quarrying</w:t>
            </w:r>
          </w:p>
        </w:tc>
        <w:tc>
          <w:tcPr>
            <w:tcW w:w="420" w:type="pct"/>
            <w:noWrap/>
            <w:hideMark/>
          </w:tcPr>
          <w:p w14:paraId="4E580678" w14:textId="77777777" w:rsidR="00B96C5C" w:rsidRPr="00D96063" w:rsidRDefault="00B96C5C" w:rsidP="00765D22">
            <w:pPr>
              <w:jc w:val="right"/>
              <w:rPr>
                <w:rFonts w:cs="Calibri"/>
                <w:sz w:val="16"/>
                <w:szCs w:val="16"/>
              </w:rPr>
            </w:pPr>
            <w:r w:rsidRPr="00D96063">
              <w:rPr>
                <w:rFonts w:cs="Calibri"/>
                <w:sz w:val="16"/>
                <w:szCs w:val="16"/>
              </w:rPr>
              <w:t>15.4</w:t>
            </w:r>
          </w:p>
        </w:tc>
        <w:tc>
          <w:tcPr>
            <w:tcW w:w="423" w:type="pct"/>
            <w:noWrap/>
            <w:hideMark/>
          </w:tcPr>
          <w:p w14:paraId="21FD11D2" w14:textId="77777777" w:rsidR="00B96C5C" w:rsidRPr="00D96063" w:rsidRDefault="00B96C5C" w:rsidP="00765D22">
            <w:pPr>
              <w:jc w:val="right"/>
              <w:rPr>
                <w:rFonts w:cs="Calibri"/>
                <w:sz w:val="16"/>
                <w:szCs w:val="16"/>
              </w:rPr>
            </w:pPr>
            <w:r w:rsidRPr="00D96063">
              <w:rPr>
                <w:rFonts w:cs="Calibri"/>
                <w:sz w:val="16"/>
                <w:szCs w:val="16"/>
              </w:rPr>
              <w:t>10.2</w:t>
            </w:r>
          </w:p>
        </w:tc>
        <w:tc>
          <w:tcPr>
            <w:tcW w:w="423" w:type="pct"/>
            <w:noWrap/>
            <w:hideMark/>
          </w:tcPr>
          <w:p w14:paraId="04A1722B" w14:textId="77777777" w:rsidR="00B96C5C" w:rsidRPr="00D96063" w:rsidRDefault="00B96C5C" w:rsidP="00765D22">
            <w:pPr>
              <w:jc w:val="right"/>
              <w:rPr>
                <w:rFonts w:cs="Calibri"/>
                <w:sz w:val="16"/>
                <w:szCs w:val="16"/>
              </w:rPr>
            </w:pPr>
            <w:r w:rsidRPr="00D96063">
              <w:rPr>
                <w:rFonts w:cs="Calibri"/>
                <w:sz w:val="16"/>
                <w:szCs w:val="16"/>
              </w:rPr>
              <w:t>8.3</w:t>
            </w:r>
          </w:p>
        </w:tc>
        <w:tc>
          <w:tcPr>
            <w:tcW w:w="423" w:type="pct"/>
            <w:noWrap/>
            <w:hideMark/>
          </w:tcPr>
          <w:p w14:paraId="40A59D09" w14:textId="77777777" w:rsidR="00B96C5C" w:rsidRPr="00D96063" w:rsidRDefault="00B96C5C" w:rsidP="00765D22">
            <w:pPr>
              <w:jc w:val="right"/>
              <w:rPr>
                <w:rFonts w:cs="Calibri"/>
                <w:sz w:val="16"/>
                <w:szCs w:val="16"/>
              </w:rPr>
            </w:pPr>
            <w:r w:rsidRPr="00D96063">
              <w:rPr>
                <w:rFonts w:cs="Calibri"/>
                <w:sz w:val="16"/>
                <w:szCs w:val="16"/>
              </w:rPr>
              <w:t>10.7</w:t>
            </w:r>
          </w:p>
        </w:tc>
        <w:tc>
          <w:tcPr>
            <w:tcW w:w="423" w:type="pct"/>
            <w:noWrap/>
            <w:hideMark/>
          </w:tcPr>
          <w:p w14:paraId="2C862BB3" w14:textId="77777777" w:rsidR="00B96C5C" w:rsidRPr="00D96063" w:rsidRDefault="00B96C5C" w:rsidP="00765D22">
            <w:pPr>
              <w:jc w:val="right"/>
              <w:rPr>
                <w:rFonts w:cs="Calibri"/>
                <w:sz w:val="16"/>
                <w:szCs w:val="16"/>
              </w:rPr>
            </w:pPr>
            <w:r w:rsidRPr="00D96063">
              <w:rPr>
                <w:rFonts w:cs="Calibri"/>
                <w:sz w:val="16"/>
                <w:szCs w:val="16"/>
              </w:rPr>
              <w:t>13.7</w:t>
            </w:r>
          </w:p>
        </w:tc>
        <w:tc>
          <w:tcPr>
            <w:tcW w:w="423" w:type="pct"/>
            <w:noWrap/>
            <w:hideMark/>
          </w:tcPr>
          <w:p w14:paraId="32474C2B" w14:textId="77777777" w:rsidR="00B96C5C" w:rsidRPr="00D96063" w:rsidRDefault="00B96C5C" w:rsidP="00765D22">
            <w:pPr>
              <w:jc w:val="right"/>
              <w:rPr>
                <w:rFonts w:cs="Calibri"/>
                <w:sz w:val="16"/>
                <w:szCs w:val="16"/>
              </w:rPr>
            </w:pPr>
            <w:r w:rsidRPr="00D96063">
              <w:rPr>
                <w:rFonts w:cs="Calibri"/>
                <w:sz w:val="16"/>
                <w:szCs w:val="16"/>
              </w:rPr>
              <w:t>14.2</w:t>
            </w:r>
          </w:p>
        </w:tc>
        <w:tc>
          <w:tcPr>
            <w:tcW w:w="425" w:type="pct"/>
            <w:noWrap/>
            <w:hideMark/>
          </w:tcPr>
          <w:p w14:paraId="7441D4CD" w14:textId="77777777" w:rsidR="00B96C5C" w:rsidRPr="00D96063" w:rsidRDefault="00B96C5C" w:rsidP="00765D22">
            <w:pPr>
              <w:jc w:val="right"/>
              <w:rPr>
                <w:rFonts w:cs="Calibri"/>
                <w:sz w:val="16"/>
                <w:szCs w:val="16"/>
              </w:rPr>
            </w:pPr>
            <w:r w:rsidRPr="00D96063">
              <w:rPr>
                <w:rFonts w:cs="Calibri"/>
                <w:sz w:val="16"/>
                <w:szCs w:val="16"/>
              </w:rPr>
              <w:t>12.2</w:t>
            </w:r>
          </w:p>
        </w:tc>
      </w:tr>
      <w:tr w:rsidR="00B96C5C" w:rsidRPr="00D96063" w14:paraId="2C7DCBC8" w14:textId="77777777" w:rsidTr="00765D22">
        <w:trPr>
          <w:trHeight w:val="240"/>
        </w:trPr>
        <w:tc>
          <w:tcPr>
            <w:tcW w:w="2040" w:type="pct"/>
            <w:noWrap/>
            <w:hideMark/>
          </w:tcPr>
          <w:p w14:paraId="020267D4" w14:textId="77777777" w:rsidR="00B96C5C" w:rsidRPr="00D96063" w:rsidRDefault="00B96C5C" w:rsidP="00765D22">
            <w:pPr>
              <w:ind w:left="284" w:hanging="284"/>
              <w:jc w:val="left"/>
              <w:rPr>
                <w:rFonts w:cs="Calibri"/>
                <w:i/>
                <w:iCs/>
                <w:sz w:val="16"/>
                <w:szCs w:val="16"/>
              </w:rPr>
            </w:pPr>
            <w:r w:rsidRPr="00D96063">
              <w:rPr>
                <w:rFonts w:cs="Calibri"/>
                <w:i/>
                <w:iCs/>
                <w:sz w:val="16"/>
                <w:szCs w:val="16"/>
              </w:rPr>
              <w:tab/>
              <w:t>of which: oil and gas</w:t>
            </w:r>
          </w:p>
        </w:tc>
        <w:tc>
          <w:tcPr>
            <w:tcW w:w="420" w:type="pct"/>
            <w:noWrap/>
            <w:hideMark/>
          </w:tcPr>
          <w:p w14:paraId="3155CE4A" w14:textId="77777777" w:rsidR="00B96C5C" w:rsidRPr="00D96063" w:rsidRDefault="00B96C5C" w:rsidP="00765D22">
            <w:pPr>
              <w:jc w:val="right"/>
              <w:rPr>
                <w:rFonts w:cs="Calibri"/>
                <w:sz w:val="16"/>
                <w:szCs w:val="16"/>
              </w:rPr>
            </w:pPr>
            <w:r w:rsidRPr="00D96063">
              <w:rPr>
                <w:rFonts w:cs="Calibri"/>
                <w:sz w:val="16"/>
                <w:szCs w:val="16"/>
              </w:rPr>
              <w:t>6.6</w:t>
            </w:r>
          </w:p>
        </w:tc>
        <w:tc>
          <w:tcPr>
            <w:tcW w:w="423" w:type="pct"/>
            <w:noWrap/>
            <w:hideMark/>
          </w:tcPr>
          <w:p w14:paraId="43D7AF0C" w14:textId="77777777" w:rsidR="00B96C5C" w:rsidRPr="00D96063" w:rsidRDefault="00B96C5C" w:rsidP="00765D22">
            <w:pPr>
              <w:jc w:val="right"/>
              <w:rPr>
                <w:rFonts w:cs="Calibri"/>
                <w:sz w:val="16"/>
                <w:szCs w:val="16"/>
              </w:rPr>
            </w:pPr>
            <w:r w:rsidRPr="00D96063">
              <w:rPr>
                <w:rFonts w:cs="Calibri"/>
                <w:sz w:val="16"/>
                <w:szCs w:val="16"/>
              </w:rPr>
              <w:t>2.8</w:t>
            </w:r>
          </w:p>
        </w:tc>
        <w:tc>
          <w:tcPr>
            <w:tcW w:w="423" w:type="pct"/>
            <w:noWrap/>
            <w:hideMark/>
          </w:tcPr>
          <w:p w14:paraId="446338C0" w14:textId="77777777" w:rsidR="00B96C5C" w:rsidRPr="00D96063" w:rsidRDefault="00B96C5C" w:rsidP="00765D22">
            <w:pPr>
              <w:jc w:val="right"/>
              <w:rPr>
                <w:rFonts w:cs="Calibri"/>
                <w:sz w:val="16"/>
                <w:szCs w:val="16"/>
              </w:rPr>
            </w:pPr>
            <w:r w:rsidRPr="00D96063">
              <w:rPr>
                <w:rFonts w:cs="Calibri"/>
                <w:sz w:val="16"/>
                <w:szCs w:val="16"/>
              </w:rPr>
              <w:t>0.5</w:t>
            </w:r>
          </w:p>
        </w:tc>
        <w:tc>
          <w:tcPr>
            <w:tcW w:w="423" w:type="pct"/>
            <w:noWrap/>
            <w:hideMark/>
          </w:tcPr>
          <w:p w14:paraId="2D84EBFA" w14:textId="77777777" w:rsidR="00B96C5C" w:rsidRPr="00D96063" w:rsidRDefault="00B96C5C" w:rsidP="00765D22">
            <w:pPr>
              <w:jc w:val="right"/>
              <w:rPr>
                <w:rFonts w:cs="Calibri"/>
                <w:sz w:val="16"/>
                <w:szCs w:val="16"/>
              </w:rPr>
            </w:pPr>
            <w:r w:rsidRPr="00D96063">
              <w:rPr>
                <w:rFonts w:cs="Calibri"/>
                <w:sz w:val="16"/>
                <w:szCs w:val="16"/>
              </w:rPr>
              <w:t>3.7</w:t>
            </w:r>
          </w:p>
        </w:tc>
        <w:tc>
          <w:tcPr>
            <w:tcW w:w="423" w:type="pct"/>
            <w:noWrap/>
            <w:hideMark/>
          </w:tcPr>
          <w:p w14:paraId="5F5DA192" w14:textId="77777777" w:rsidR="00B96C5C" w:rsidRPr="00D96063" w:rsidRDefault="00B96C5C" w:rsidP="00765D22">
            <w:pPr>
              <w:jc w:val="right"/>
              <w:rPr>
                <w:rFonts w:cs="Calibri"/>
                <w:sz w:val="16"/>
                <w:szCs w:val="16"/>
              </w:rPr>
            </w:pPr>
            <w:r w:rsidRPr="00D96063">
              <w:rPr>
                <w:rFonts w:cs="Calibri"/>
                <w:sz w:val="16"/>
                <w:szCs w:val="16"/>
              </w:rPr>
              <w:t>5.9</w:t>
            </w:r>
          </w:p>
        </w:tc>
        <w:tc>
          <w:tcPr>
            <w:tcW w:w="423" w:type="pct"/>
            <w:noWrap/>
            <w:hideMark/>
          </w:tcPr>
          <w:p w14:paraId="260C5062" w14:textId="77777777" w:rsidR="00B96C5C" w:rsidRPr="00D96063" w:rsidRDefault="00B96C5C" w:rsidP="00765D22">
            <w:pPr>
              <w:jc w:val="right"/>
              <w:rPr>
                <w:rFonts w:cs="Calibri"/>
                <w:sz w:val="16"/>
                <w:szCs w:val="16"/>
              </w:rPr>
            </w:pPr>
            <w:r w:rsidRPr="00D96063">
              <w:rPr>
                <w:rFonts w:cs="Calibri"/>
                <w:sz w:val="16"/>
                <w:szCs w:val="16"/>
              </w:rPr>
              <w:t>6.4</w:t>
            </w:r>
          </w:p>
        </w:tc>
        <w:tc>
          <w:tcPr>
            <w:tcW w:w="425" w:type="pct"/>
            <w:noWrap/>
            <w:hideMark/>
          </w:tcPr>
          <w:p w14:paraId="41747A1F" w14:textId="77777777" w:rsidR="00B96C5C" w:rsidRPr="00D96063" w:rsidRDefault="00B96C5C" w:rsidP="00765D22">
            <w:pPr>
              <w:jc w:val="right"/>
              <w:rPr>
                <w:rFonts w:cs="Calibri"/>
                <w:sz w:val="16"/>
                <w:szCs w:val="16"/>
              </w:rPr>
            </w:pPr>
            <w:r w:rsidRPr="00D96063">
              <w:rPr>
                <w:rFonts w:cs="Calibri"/>
                <w:sz w:val="16"/>
                <w:szCs w:val="16"/>
              </w:rPr>
              <w:t>3.8</w:t>
            </w:r>
          </w:p>
        </w:tc>
      </w:tr>
      <w:tr w:rsidR="00B96C5C" w:rsidRPr="00D96063" w14:paraId="398988CC"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70FF8D4C" w14:textId="77777777" w:rsidR="00B96C5C" w:rsidRPr="00D96063" w:rsidRDefault="00B96C5C" w:rsidP="00765D22">
            <w:pPr>
              <w:jc w:val="left"/>
              <w:rPr>
                <w:rFonts w:cs="Calibri"/>
                <w:sz w:val="16"/>
                <w:szCs w:val="16"/>
              </w:rPr>
            </w:pPr>
            <w:r w:rsidRPr="00D96063">
              <w:rPr>
                <w:rFonts w:cs="Calibri"/>
                <w:sz w:val="16"/>
                <w:szCs w:val="16"/>
              </w:rPr>
              <w:t>Manufacturing</w:t>
            </w:r>
          </w:p>
        </w:tc>
        <w:tc>
          <w:tcPr>
            <w:tcW w:w="420" w:type="pct"/>
            <w:noWrap/>
            <w:hideMark/>
          </w:tcPr>
          <w:p w14:paraId="16DC8E0E" w14:textId="77777777" w:rsidR="00B96C5C" w:rsidRPr="00D96063" w:rsidRDefault="00B96C5C" w:rsidP="00765D22">
            <w:pPr>
              <w:jc w:val="right"/>
              <w:rPr>
                <w:rFonts w:cs="Calibri"/>
                <w:sz w:val="16"/>
                <w:szCs w:val="16"/>
              </w:rPr>
            </w:pPr>
            <w:r w:rsidRPr="00D96063">
              <w:rPr>
                <w:rFonts w:cs="Calibri"/>
                <w:sz w:val="16"/>
                <w:szCs w:val="16"/>
              </w:rPr>
              <w:t>12.1</w:t>
            </w:r>
          </w:p>
        </w:tc>
        <w:tc>
          <w:tcPr>
            <w:tcW w:w="423" w:type="pct"/>
            <w:noWrap/>
            <w:hideMark/>
          </w:tcPr>
          <w:p w14:paraId="264262DD" w14:textId="77777777" w:rsidR="00B96C5C" w:rsidRPr="00D96063" w:rsidRDefault="00B96C5C" w:rsidP="00765D22">
            <w:pPr>
              <w:jc w:val="right"/>
              <w:rPr>
                <w:rFonts w:cs="Calibri"/>
                <w:sz w:val="16"/>
                <w:szCs w:val="16"/>
              </w:rPr>
            </w:pPr>
            <w:r w:rsidRPr="00D96063">
              <w:rPr>
                <w:rFonts w:cs="Calibri"/>
                <w:sz w:val="16"/>
                <w:szCs w:val="16"/>
              </w:rPr>
              <w:t>12.1</w:t>
            </w:r>
          </w:p>
        </w:tc>
        <w:tc>
          <w:tcPr>
            <w:tcW w:w="423" w:type="pct"/>
            <w:noWrap/>
            <w:hideMark/>
          </w:tcPr>
          <w:p w14:paraId="5BD77F77" w14:textId="77777777" w:rsidR="00B96C5C" w:rsidRPr="00D96063" w:rsidRDefault="00B96C5C" w:rsidP="00765D22">
            <w:pPr>
              <w:jc w:val="right"/>
              <w:rPr>
                <w:rFonts w:cs="Calibri"/>
                <w:sz w:val="16"/>
                <w:szCs w:val="16"/>
              </w:rPr>
            </w:pPr>
            <w:r w:rsidRPr="00D96063">
              <w:rPr>
                <w:rFonts w:cs="Calibri"/>
                <w:sz w:val="16"/>
                <w:szCs w:val="16"/>
              </w:rPr>
              <w:t>11.7</w:t>
            </w:r>
          </w:p>
        </w:tc>
        <w:tc>
          <w:tcPr>
            <w:tcW w:w="423" w:type="pct"/>
            <w:noWrap/>
            <w:hideMark/>
          </w:tcPr>
          <w:p w14:paraId="7541E77F" w14:textId="77777777" w:rsidR="00B96C5C" w:rsidRPr="00D96063" w:rsidRDefault="00B96C5C" w:rsidP="00765D22">
            <w:pPr>
              <w:jc w:val="right"/>
              <w:rPr>
                <w:rFonts w:cs="Calibri"/>
                <w:sz w:val="16"/>
                <w:szCs w:val="16"/>
              </w:rPr>
            </w:pPr>
            <w:r w:rsidRPr="00D96063">
              <w:rPr>
                <w:rFonts w:cs="Calibri"/>
                <w:sz w:val="16"/>
                <w:szCs w:val="16"/>
              </w:rPr>
              <w:t>10.9</w:t>
            </w:r>
          </w:p>
        </w:tc>
        <w:tc>
          <w:tcPr>
            <w:tcW w:w="423" w:type="pct"/>
            <w:noWrap/>
            <w:hideMark/>
          </w:tcPr>
          <w:p w14:paraId="7C5AE938" w14:textId="77777777" w:rsidR="00B96C5C" w:rsidRPr="00D96063" w:rsidRDefault="00B96C5C" w:rsidP="00765D22">
            <w:pPr>
              <w:jc w:val="right"/>
              <w:rPr>
                <w:rFonts w:cs="Calibri"/>
                <w:sz w:val="16"/>
                <w:szCs w:val="16"/>
              </w:rPr>
            </w:pPr>
            <w:r w:rsidRPr="00D96063">
              <w:rPr>
                <w:rFonts w:cs="Calibri"/>
                <w:sz w:val="16"/>
                <w:szCs w:val="16"/>
              </w:rPr>
              <w:t>10.9</w:t>
            </w:r>
          </w:p>
        </w:tc>
        <w:tc>
          <w:tcPr>
            <w:tcW w:w="423" w:type="pct"/>
            <w:noWrap/>
            <w:hideMark/>
          </w:tcPr>
          <w:p w14:paraId="46B213BC" w14:textId="77777777" w:rsidR="00B96C5C" w:rsidRPr="00D96063" w:rsidRDefault="00B96C5C" w:rsidP="00765D22">
            <w:pPr>
              <w:jc w:val="right"/>
              <w:rPr>
                <w:rFonts w:cs="Calibri"/>
                <w:sz w:val="16"/>
                <w:szCs w:val="16"/>
              </w:rPr>
            </w:pPr>
            <w:r w:rsidRPr="00D96063">
              <w:rPr>
                <w:rFonts w:cs="Calibri"/>
                <w:sz w:val="16"/>
                <w:szCs w:val="16"/>
              </w:rPr>
              <w:t>10.9</w:t>
            </w:r>
          </w:p>
        </w:tc>
        <w:tc>
          <w:tcPr>
            <w:tcW w:w="425" w:type="pct"/>
            <w:noWrap/>
            <w:hideMark/>
          </w:tcPr>
          <w:p w14:paraId="38AC0005" w14:textId="77777777" w:rsidR="00B96C5C" w:rsidRPr="00D96063" w:rsidRDefault="00B96C5C" w:rsidP="00765D22">
            <w:pPr>
              <w:jc w:val="right"/>
              <w:rPr>
                <w:rFonts w:cs="Calibri"/>
                <w:sz w:val="16"/>
                <w:szCs w:val="16"/>
              </w:rPr>
            </w:pPr>
            <w:r w:rsidRPr="00D96063">
              <w:rPr>
                <w:rFonts w:cs="Calibri"/>
                <w:sz w:val="16"/>
                <w:szCs w:val="16"/>
              </w:rPr>
              <w:t>11.1</w:t>
            </w:r>
          </w:p>
        </w:tc>
      </w:tr>
      <w:tr w:rsidR="00B96C5C" w:rsidRPr="00D96063" w14:paraId="38DFB4F1" w14:textId="77777777" w:rsidTr="00765D22">
        <w:trPr>
          <w:trHeight w:val="240"/>
        </w:trPr>
        <w:tc>
          <w:tcPr>
            <w:tcW w:w="2040" w:type="pct"/>
            <w:noWrap/>
            <w:hideMark/>
          </w:tcPr>
          <w:p w14:paraId="6C51D0CD" w14:textId="77777777" w:rsidR="00B96C5C" w:rsidRPr="00D96063" w:rsidRDefault="00B96C5C" w:rsidP="00765D22">
            <w:pPr>
              <w:jc w:val="left"/>
              <w:rPr>
                <w:rFonts w:cs="Calibri"/>
                <w:sz w:val="16"/>
                <w:szCs w:val="16"/>
              </w:rPr>
            </w:pPr>
            <w:r w:rsidRPr="00D96063">
              <w:rPr>
                <w:rFonts w:cs="Calibri"/>
                <w:sz w:val="16"/>
                <w:szCs w:val="16"/>
              </w:rPr>
              <w:t xml:space="preserve">Electricity </w:t>
            </w:r>
          </w:p>
        </w:tc>
        <w:tc>
          <w:tcPr>
            <w:tcW w:w="420" w:type="pct"/>
            <w:noWrap/>
            <w:hideMark/>
          </w:tcPr>
          <w:p w14:paraId="19C42862" w14:textId="77777777" w:rsidR="00B96C5C" w:rsidRPr="00D96063" w:rsidRDefault="00B96C5C" w:rsidP="00765D22">
            <w:pPr>
              <w:jc w:val="right"/>
              <w:rPr>
                <w:rFonts w:cs="Calibri"/>
                <w:sz w:val="16"/>
                <w:szCs w:val="16"/>
              </w:rPr>
            </w:pPr>
            <w:r w:rsidRPr="00D96063">
              <w:rPr>
                <w:rFonts w:cs="Calibri"/>
                <w:sz w:val="16"/>
                <w:szCs w:val="16"/>
              </w:rPr>
              <w:t>1.0</w:t>
            </w:r>
          </w:p>
        </w:tc>
        <w:tc>
          <w:tcPr>
            <w:tcW w:w="423" w:type="pct"/>
            <w:noWrap/>
            <w:hideMark/>
          </w:tcPr>
          <w:p w14:paraId="154DFE43" w14:textId="77777777" w:rsidR="00B96C5C" w:rsidRPr="00D96063" w:rsidRDefault="00B96C5C" w:rsidP="00765D22">
            <w:pPr>
              <w:jc w:val="right"/>
              <w:rPr>
                <w:rFonts w:cs="Calibri"/>
                <w:sz w:val="16"/>
                <w:szCs w:val="16"/>
              </w:rPr>
            </w:pPr>
            <w:r w:rsidRPr="00D96063">
              <w:rPr>
                <w:rFonts w:cs="Calibri"/>
                <w:sz w:val="16"/>
                <w:szCs w:val="16"/>
              </w:rPr>
              <w:t>1.8</w:t>
            </w:r>
          </w:p>
        </w:tc>
        <w:tc>
          <w:tcPr>
            <w:tcW w:w="423" w:type="pct"/>
            <w:noWrap/>
            <w:hideMark/>
          </w:tcPr>
          <w:p w14:paraId="6C200ED4" w14:textId="77777777" w:rsidR="00B96C5C" w:rsidRPr="00D96063" w:rsidRDefault="00B96C5C" w:rsidP="00765D22">
            <w:pPr>
              <w:jc w:val="right"/>
              <w:rPr>
                <w:rFonts w:cs="Calibri"/>
                <w:sz w:val="16"/>
                <w:szCs w:val="16"/>
              </w:rPr>
            </w:pPr>
            <w:r w:rsidRPr="00D96063">
              <w:rPr>
                <w:rFonts w:cs="Calibri"/>
                <w:sz w:val="16"/>
                <w:szCs w:val="16"/>
              </w:rPr>
              <w:t>1.7</w:t>
            </w:r>
          </w:p>
        </w:tc>
        <w:tc>
          <w:tcPr>
            <w:tcW w:w="423" w:type="pct"/>
            <w:noWrap/>
            <w:hideMark/>
          </w:tcPr>
          <w:p w14:paraId="24E5C797" w14:textId="77777777" w:rsidR="00B96C5C" w:rsidRPr="00D96063" w:rsidRDefault="00B96C5C" w:rsidP="00765D22">
            <w:pPr>
              <w:jc w:val="right"/>
              <w:rPr>
                <w:rFonts w:cs="Calibri"/>
                <w:sz w:val="16"/>
                <w:szCs w:val="16"/>
              </w:rPr>
            </w:pPr>
            <w:r w:rsidRPr="00D96063">
              <w:rPr>
                <w:rFonts w:cs="Calibri"/>
                <w:sz w:val="16"/>
                <w:szCs w:val="16"/>
              </w:rPr>
              <w:t>1.8</w:t>
            </w:r>
          </w:p>
        </w:tc>
        <w:tc>
          <w:tcPr>
            <w:tcW w:w="423" w:type="pct"/>
            <w:noWrap/>
            <w:hideMark/>
          </w:tcPr>
          <w:p w14:paraId="1E26A6FA" w14:textId="77777777" w:rsidR="00B96C5C" w:rsidRPr="00D96063" w:rsidRDefault="00B96C5C" w:rsidP="00765D22">
            <w:pPr>
              <w:jc w:val="right"/>
              <w:rPr>
                <w:rFonts w:cs="Calibri"/>
                <w:sz w:val="16"/>
                <w:szCs w:val="16"/>
              </w:rPr>
            </w:pPr>
            <w:r w:rsidRPr="00D96063">
              <w:rPr>
                <w:rFonts w:cs="Calibri"/>
                <w:sz w:val="16"/>
                <w:szCs w:val="16"/>
              </w:rPr>
              <w:t>1.5</w:t>
            </w:r>
          </w:p>
        </w:tc>
        <w:tc>
          <w:tcPr>
            <w:tcW w:w="423" w:type="pct"/>
            <w:noWrap/>
            <w:hideMark/>
          </w:tcPr>
          <w:p w14:paraId="4BE0845C" w14:textId="77777777" w:rsidR="00B96C5C" w:rsidRPr="00D96063" w:rsidRDefault="00B96C5C" w:rsidP="00765D22">
            <w:pPr>
              <w:jc w:val="right"/>
              <w:rPr>
                <w:rFonts w:cs="Calibri"/>
                <w:sz w:val="16"/>
                <w:szCs w:val="16"/>
              </w:rPr>
            </w:pPr>
            <w:r w:rsidRPr="00D96063">
              <w:rPr>
                <w:rFonts w:cs="Calibri"/>
                <w:sz w:val="16"/>
                <w:szCs w:val="16"/>
              </w:rPr>
              <w:t>1.3</w:t>
            </w:r>
          </w:p>
        </w:tc>
        <w:tc>
          <w:tcPr>
            <w:tcW w:w="425" w:type="pct"/>
            <w:noWrap/>
            <w:hideMark/>
          </w:tcPr>
          <w:p w14:paraId="7F429875" w14:textId="77777777" w:rsidR="00B96C5C" w:rsidRPr="00D96063" w:rsidRDefault="00B96C5C" w:rsidP="00765D22">
            <w:pPr>
              <w:jc w:val="right"/>
              <w:rPr>
                <w:rFonts w:cs="Calibri"/>
                <w:sz w:val="16"/>
                <w:szCs w:val="16"/>
              </w:rPr>
            </w:pPr>
            <w:r w:rsidRPr="00D96063">
              <w:rPr>
                <w:rFonts w:cs="Calibri"/>
                <w:sz w:val="16"/>
                <w:szCs w:val="16"/>
              </w:rPr>
              <w:t>1.3</w:t>
            </w:r>
          </w:p>
        </w:tc>
      </w:tr>
      <w:tr w:rsidR="00B96C5C" w:rsidRPr="00D96063" w14:paraId="16B51A87"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792D65E0" w14:textId="77777777" w:rsidR="00B96C5C" w:rsidRPr="00D96063" w:rsidRDefault="00B96C5C" w:rsidP="00765D22">
            <w:pPr>
              <w:jc w:val="left"/>
              <w:rPr>
                <w:rFonts w:cs="Calibri"/>
                <w:sz w:val="16"/>
                <w:szCs w:val="16"/>
              </w:rPr>
            </w:pPr>
            <w:r w:rsidRPr="00D96063">
              <w:rPr>
                <w:rFonts w:cs="Calibri"/>
                <w:sz w:val="16"/>
                <w:szCs w:val="16"/>
              </w:rPr>
              <w:t>Construction</w:t>
            </w:r>
          </w:p>
        </w:tc>
        <w:tc>
          <w:tcPr>
            <w:tcW w:w="420" w:type="pct"/>
            <w:noWrap/>
            <w:hideMark/>
          </w:tcPr>
          <w:p w14:paraId="5DAA4AE5" w14:textId="77777777" w:rsidR="00B96C5C" w:rsidRPr="00D96063" w:rsidRDefault="00B96C5C" w:rsidP="00765D22">
            <w:pPr>
              <w:jc w:val="right"/>
              <w:rPr>
                <w:rFonts w:cs="Calibri"/>
                <w:sz w:val="16"/>
                <w:szCs w:val="16"/>
              </w:rPr>
            </w:pPr>
            <w:r w:rsidRPr="00D96063">
              <w:rPr>
                <w:rFonts w:cs="Calibri"/>
                <w:sz w:val="16"/>
                <w:szCs w:val="16"/>
              </w:rPr>
              <w:t>8.3</w:t>
            </w:r>
          </w:p>
        </w:tc>
        <w:tc>
          <w:tcPr>
            <w:tcW w:w="423" w:type="pct"/>
            <w:noWrap/>
            <w:hideMark/>
          </w:tcPr>
          <w:p w14:paraId="69080B3B" w14:textId="77777777" w:rsidR="00B96C5C" w:rsidRPr="00D96063" w:rsidRDefault="00B96C5C" w:rsidP="00765D22">
            <w:pPr>
              <w:jc w:val="right"/>
              <w:rPr>
                <w:rFonts w:cs="Calibri"/>
                <w:sz w:val="16"/>
                <w:szCs w:val="16"/>
              </w:rPr>
            </w:pPr>
            <w:r w:rsidRPr="00D96063">
              <w:rPr>
                <w:rFonts w:cs="Calibri"/>
                <w:sz w:val="16"/>
                <w:szCs w:val="16"/>
              </w:rPr>
              <w:t>8.9</w:t>
            </w:r>
          </w:p>
        </w:tc>
        <w:tc>
          <w:tcPr>
            <w:tcW w:w="423" w:type="pct"/>
            <w:noWrap/>
            <w:hideMark/>
          </w:tcPr>
          <w:p w14:paraId="74A3C0AE" w14:textId="77777777" w:rsidR="00B96C5C" w:rsidRPr="00D96063" w:rsidRDefault="00B96C5C" w:rsidP="00765D22">
            <w:pPr>
              <w:jc w:val="right"/>
              <w:rPr>
                <w:rFonts w:cs="Calibri"/>
                <w:sz w:val="16"/>
                <w:szCs w:val="16"/>
              </w:rPr>
            </w:pPr>
            <w:r w:rsidRPr="00D96063">
              <w:rPr>
                <w:rFonts w:cs="Calibri"/>
                <w:sz w:val="16"/>
                <w:szCs w:val="16"/>
              </w:rPr>
              <w:t>7.3</w:t>
            </w:r>
          </w:p>
        </w:tc>
        <w:tc>
          <w:tcPr>
            <w:tcW w:w="423" w:type="pct"/>
            <w:noWrap/>
            <w:hideMark/>
          </w:tcPr>
          <w:p w14:paraId="4923C2C7" w14:textId="77777777" w:rsidR="00B96C5C" w:rsidRPr="00D96063" w:rsidRDefault="00B96C5C" w:rsidP="00765D22">
            <w:pPr>
              <w:jc w:val="right"/>
              <w:rPr>
                <w:rFonts w:cs="Calibri"/>
                <w:sz w:val="16"/>
                <w:szCs w:val="16"/>
              </w:rPr>
            </w:pPr>
            <w:r w:rsidRPr="00D96063">
              <w:rPr>
                <w:rFonts w:cs="Calibri"/>
                <w:sz w:val="16"/>
                <w:szCs w:val="16"/>
              </w:rPr>
              <w:t>7.8</w:t>
            </w:r>
          </w:p>
        </w:tc>
        <w:tc>
          <w:tcPr>
            <w:tcW w:w="423" w:type="pct"/>
            <w:noWrap/>
            <w:hideMark/>
          </w:tcPr>
          <w:p w14:paraId="7BF437F6" w14:textId="77777777" w:rsidR="00B96C5C" w:rsidRPr="00D96063" w:rsidRDefault="00B96C5C" w:rsidP="00765D22">
            <w:pPr>
              <w:jc w:val="right"/>
              <w:rPr>
                <w:rFonts w:cs="Calibri"/>
                <w:sz w:val="16"/>
                <w:szCs w:val="16"/>
              </w:rPr>
            </w:pPr>
            <w:r w:rsidRPr="00D96063">
              <w:rPr>
                <w:rFonts w:cs="Calibri"/>
                <w:sz w:val="16"/>
                <w:szCs w:val="16"/>
              </w:rPr>
              <w:t>6.7</w:t>
            </w:r>
          </w:p>
        </w:tc>
        <w:tc>
          <w:tcPr>
            <w:tcW w:w="423" w:type="pct"/>
            <w:noWrap/>
            <w:hideMark/>
          </w:tcPr>
          <w:p w14:paraId="6313D93E" w14:textId="77777777" w:rsidR="00B96C5C" w:rsidRPr="00D96063" w:rsidRDefault="00B96C5C" w:rsidP="00765D22">
            <w:pPr>
              <w:jc w:val="right"/>
              <w:rPr>
                <w:rFonts w:cs="Calibri"/>
                <w:sz w:val="16"/>
                <w:szCs w:val="16"/>
              </w:rPr>
            </w:pPr>
            <w:r w:rsidRPr="00D96063">
              <w:rPr>
                <w:rFonts w:cs="Calibri"/>
                <w:sz w:val="16"/>
                <w:szCs w:val="16"/>
              </w:rPr>
              <w:t>6.2</w:t>
            </w:r>
          </w:p>
        </w:tc>
        <w:tc>
          <w:tcPr>
            <w:tcW w:w="425" w:type="pct"/>
            <w:noWrap/>
            <w:hideMark/>
          </w:tcPr>
          <w:p w14:paraId="0B82098D" w14:textId="77777777" w:rsidR="00B96C5C" w:rsidRPr="00D96063" w:rsidRDefault="00B96C5C" w:rsidP="00765D22">
            <w:pPr>
              <w:jc w:val="right"/>
              <w:rPr>
                <w:rFonts w:cs="Calibri"/>
                <w:sz w:val="16"/>
                <w:szCs w:val="16"/>
              </w:rPr>
            </w:pPr>
            <w:r w:rsidRPr="00D96063">
              <w:rPr>
                <w:rFonts w:cs="Calibri"/>
                <w:sz w:val="16"/>
                <w:szCs w:val="16"/>
              </w:rPr>
              <w:t>6.3</w:t>
            </w:r>
          </w:p>
        </w:tc>
      </w:tr>
      <w:tr w:rsidR="00B96C5C" w:rsidRPr="00D96063" w14:paraId="1F72A10C" w14:textId="77777777" w:rsidTr="00765D22">
        <w:trPr>
          <w:trHeight w:val="240"/>
        </w:trPr>
        <w:tc>
          <w:tcPr>
            <w:tcW w:w="2040" w:type="pct"/>
            <w:noWrap/>
            <w:hideMark/>
          </w:tcPr>
          <w:p w14:paraId="3CC75847" w14:textId="77777777" w:rsidR="00B96C5C" w:rsidRPr="00D96063" w:rsidRDefault="00B96C5C" w:rsidP="00765D22">
            <w:pPr>
              <w:jc w:val="left"/>
              <w:rPr>
                <w:rFonts w:cs="Calibri"/>
                <w:sz w:val="16"/>
                <w:szCs w:val="16"/>
              </w:rPr>
            </w:pPr>
            <w:r w:rsidRPr="00D96063">
              <w:rPr>
                <w:rFonts w:cs="Calibri"/>
                <w:sz w:val="16"/>
                <w:szCs w:val="16"/>
              </w:rPr>
              <w:t>Services</w:t>
            </w:r>
          </w:p>
        </w:tc>
        <w:tc>
          <w:tcPr>
            <w:tcW w:w="420" w:type="pct"/>
            <w:noWrap/>
            <w:hideMark/>
          </w:tcPr>
          <w:p w14:paraId="46926E37" w14:textId="77777777" w:rsidR="00B96C5C" w:rsidRPr="00D96063" w:rsidRDefault="00B96C5C" w:rsidP="00765D22">
            <w:pPr>
              <w:jc w:val="right"/>
              <w:rPr>
                <w:rFonts w:cs="Calibri"/>
                <w:sz w:val="16"/>
                <w:szCs w:val="16"/>
              </w:rPr>
            </w:pPr>
            <w:r w:rsidRPr="00D96063">
              <w:rPr>
                <w:rFonts w:cs="Calibri"/>
                <w:sz w:val="16"/>
                <w:szCs w:val="16"/>
              </w:rPr>
              <w:t>41.2</w:t>
            </w:r>
          </w:p>
        </w:tc>
        <w:tc>
          <w:tcPr>
            <w:tcW w:w="423" w:type="pct"/>
            <w:noWrap/>
            <w:hideMark/>
          </w:tcPr>
          <w:p w14:paraId="7A9B0653" w14:textId="77777777" w:rsidR="00B96C5C" w:rsidRPr="00D96063" w:rsidRDefault="00B96C5C" w:rsidP="00765D22">
            <w:pPr>
              <w:jc w:val="right"/>
              <w:rPr>
                <w:rFonts w:cs="Calibri"/>
                <w:sz w:val="16"/>
                <w:szCs w:val="16"/>
              </w:rPr>
            </w:pPr>
            <w:r w:rsidRPr="00D96063">
              <w:rPr>
                <w:rFonts w:cs="Calibri"/>
                <w:sz w:val="16"/>
                <w:szCs w:val="16"/>
              </w:rPr>
              <w:t>44.2</w:t>
            </w:r>
          </w:p>
        </w:tc>
        <w:tc>
          <w:tcPr>
            <w:tcW w:w="423" w:type="pct"/>
            <w:noWrap/>
            <w:hideMark/>
          </w:tcPr>
          <w:p w14:paraId="284E8FE5" w14:textId="77777777" w:rsidR="00B96C5C" w:rsidRPr="00D96063" w:rsidRDefault="00B96C5C" w:rsidP="00765D22">
            <w:pPr>
              <w:jc w:val="right"/>
              <w:rPr>
                <w:rFonts w:cs="Calibri"/>
                <w:sz w:val="16"/>
                <w:szCs w:val="16"/>
              </w:rPr>
            </w:pPr>
            <w:r w:rsidRPr="00D96063">
              <w:rPr>
                <w:rFonts w:cs="Calibri"/>
                <w:sz w:val="16"/>
                <w:szCs w:val="16"/>
              </w:rPr>
              <w:t>47.5</w:t>
            </w:r>
          </w:p>
        </w:tc>
        <w:tc>
          <w:tcPr>
            <w:tcW w:w="423" w:type="pct"/>
            <w:noWrap/>
            <w:hideMark/>
          </w:tcPr>
          <w:p w14:paraId="68F313D7" w14:textId="77777777" w:rsidR="00B96C5C" w:rsidRPr="00D96063" w:rsidRDefault="00B96C5C" w:rsidP="00765D22">
            <w:pPr>
              <w:jc w:val="right"/>
              <w:rPr>
                <w:rFonts w:cs="Calibri"/>
                <w:sz w:val="16"/>
                <w:szCs w:val="16"/>
              </w:rPr>
            </w:pPr>
            <w:r w:rsidRPr="00D96063">
              <w:rPr>
                <w:rFonts w:cs="Calibri"/>
                <w:sz w:val="16"/>
                <w:szCs w:val="16"/>
              </w:rPr>
              <w:t>46.8</w:t>
            </w:r>
          </w:p>
        </w:tc>
        <w:tc>
          <w:tcPr>
            <w:tcW w:w="423" w:type="pct"/>
            <w:noWrap/>
            <w:hideMark/>
          </w:tcPr>
          <w:p w14:paraId="504CFC2A" w14:textId="77777777" w:rsidR="00B96C5C" w:rsidRPr="00D96063" w:rsidRDefault="00B96C5C" w:rsidP="00765D22">
            <w:pPr>
              <w:jc w:val="right"/>
              <w:rPr>
                <w:rFonts w:cs="Calibri"/>
                <w:sz w:val="16"/>
                <w:szCs w:val="16"/>
              </w:rPr>
            </w:pPr>
            <w:r w:rsidRPr="00D96063">
              <w:rPr>
                <w:rFonts w:cs="Calibri"/>
                <w:sz w:val="16"/>
                <w:szCs w:val="16"/>
              </w:rPr>
              <w:t>47.0</w:t>
            </w:r>
          </w:p>
        </w:tc>
        <w:tc>
          <w:tcPr>
            <w:tcW w:w="423" w:type="pct"/>
            <w:noWrap/>
            <w:hideMark/>
          </w:tcPr>
          <w:p w14:paraId="3472C807" w14:textId="77777777" w:rsidR="00B96C5C" w:rsidRPr="00D96063" w:rsidRDefault="00B96C5C" w:rsidP="00765D22">
            <w:pPr>
              <w:jc w:val="right"/>
              <w:rPr>
                <w:rFonts w:cs="Calibri"/>
                <w:sz w:val="16"/>
                <w:szCs w:val="16"/>
              </w:rPr>
            </w:pPr>
            <w:r w:rsidRPr="00D96063">
              <w:rPr>
                <w:rFonts w:cs="Calibri"/>
                <w:sz w:val="16"/>
                <w:szCs w:val="16"/>
              </w:rPr>
              <w:t>48.2</w:t>
            </w:r>
          </w:p>
        </w:tc>
        <w:tc>
          <w:tcPr>
            <w:tcW w:w="425" w:type="pct"/>
            <w:noWrap/>
            <w:hideMark/>
          </w:tcPr>
          <w:p w14:paraId="3270762E" w14:textId="77777777" w:rsidR="00B96C5C" w:rsidRPr="00D96063" w:rsidRDefault="00B96C5C" w:rsidP="00765D22">
            <w:pPr>
              <w:jc w:val="right"/>
              <w:rPr>
                <w:rFonts w:cs="Calibri"/>
                <w:sz w:val="16"/>
                <w:szCs w:val="16"/>
              </w:rPr>
            </w:pPr>
            <w:r w:rsidRPr="00D96063">
              <w:rPr>
                <w:rFonts w:cs="Calibri"/>
                <w:sz w:val="16"/>
                <w:szCs w:val="16"/>
              </w:rPr>
              <w:t>47.9</w:t>
            </w:r>
          </w:p>
        </w:tc>
      </w:tr>
      <w:tr w:rsidR="00B96C5C" w:rsidRPr="00D96063" w14:paraId="065B6A0D"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hideMark/>
          </w:tcPr>
          <w:p w14:paraId="0B991723" w14:textId="77777777" w:rsidR="00B96C5C" w:rsidRPr="00D96063" w:rsidRDefault="00B96C5C" w:rsidP="00765D22">
            <w:pPr>
              <w:ind w:left="284" w:hanging="284"/>
              <w:jc w:val="left"/>
              <w:rPr>
                <w:rFonts w:cs="Calibri"/>
                <w:sz w:val="16"/>
                <w:szCs w:val="16"/>
              </w:rPr>
            </w:pPr>
            <w:r w:rsidRPr="00D96063">
              <w:rPr>
                <w:rFonts w:cs="Calibri"/>
                <w:sz w:val="16"/>
                <w:szCs w:val="16"/>
              </w:rPr>
              <w:lastRenderedPageBreak/>
              <w:tab/>
              <w:t>Trade; repair of vehicles, household goods</w:t>
            </w:r>
          </w:p>
        </w:tc>
        <w:tc>
          <w:tcPr>
            <w:tcW w:w="420" w:type="pct"/>
            <w:noWrap/>
            <w:hideMark/>
          </w:tcPr>
          <w:p w14:paraId="0B196206" w14:textId="77777777" w:rsidR="00B96C5C" w:rsidRPr="00D96063" w:rsidRDefault="00B96C5C" w:rsidP="00765D22">
            <w:pPr>
              <w:jc w:val="right"/>
              <w:rPr>
                <w:rFonts w:cs="Calibri"/>
                <w:sz w:val="16"/>
                <w:szCs w:val="16"/>
              </w:rPr>
            </w:pPr>
            <w:r w:rsidRPr="00D96063">
              <w:rPr>
                <w:rFonts w:cs="Calibri"/>
                <w:sz w:val="16"/>
                <w:szCs w:val="16"/>
              </w:rPr>
              <w:t>11.7</w:t>
            </w:r>
          </w:p>
        </w:tc>
        <w:tc>
          <w:tcPr>
            <w:tcW w:w="423" w:type="pct"/>
            <w:noWrap/>
            <w:hideMark/>
          </w:tcPr>
          <w:p w14:paraId="67D23E85" w14:textId="77777777" w:rsidR="00B96C5C" w:rsidRPr="00D96063" w:rsidRDefault="00B96C5C" w:rsidP="00765D22">
            <w:pPr>
              <w:jc w:val="right"/>
              <w:rPr>
                <w:rFonts w:cs="Calibri"/>
                <w:sz w:val="16"/>
                <w:szCs w:val="16"/>
              </w:rPr>
            </w:pPr>
            <w:r w:rsidRPr="00D96063">
              <w:rPr>
                <w:rFonts w:cs="Calibri"/>
                <w:sz w:val="16"/>
                <w:szCs w:val="16"/>
              </w:rPr>
              <w:t>12.9</w:t>
            </w:r>
          </w:p>
        </w:tc>
        <w:tc>
          <w:tcPr>
            <w:tcW w:w="423" w:type="pct"/>
            <w:noWrap/>
            <w:hideMark/>
          </w:tcPr>
          <w:p w14:paraId="07B552F4" w14:textId="77777777" w:rsidR="00B96C5C" w:rsidRPr="00D96063" w:rsidRDefault="00B96C5C" w:rsidP="00765D22">
            <w:pPr>
              <w:jc w:val="right"/>
              <w:rPr>
                <w:rFonts w:cs="Calibri"/>
                <w:sz w:val="16"/>
                <w:szCs w:val="16"/>
              </w:rPr>
            </w:pPr>
            <w:r w:rsidRPr="00D96063">
              <w:rPr>
                <w:rFonts w:cs="Calibri"/>
                <w:sz w:val="16"/>
                <w:szCs w:val="16"/>
              </w:rPr>
              <w:t>14.5</w:t>
            </w:r>
          </w:p>
        </w:tc>
        <w:tc>
          <w:tcPr>
            <w:tcW w:w="423" w:type="pct"/>
            <w:noWrap/>
            <w:hideMark/>
          </w:tcPr>
          <w:p w14:paraId="523C1DED" w14:textId="77777777" w:rsidR="00B96C5C" w:rsidRPr="00D96063" w:rsidRDefault="00B96C5C" w:rsidP="00765D22">
            <w:pPr>
              <w:jc w:val="right"/>
              <w:rPr>
                <w:rFonts w:cs="Calibri"/>
                <w:sz w:val="16"/>
                <w:szCs w:val="16"/>
              </w:rPr>
            </w:pPr>
            <w:r w:rsidRPr="00D96063">
              <w:rPr>
                <w:rFonts w:cs="Calibri"/>
                <w:sz w:val="16"/>
                <w:szCs w:val="16"/>
              </w:rPr>
              <w:t>14.5</w:t>
            </w:r>
          </w:p>
        </w:tc>
        <w:tc>
          <w:tcPr>
            <w:tcW w:w="423" w:type="pct"/>
            <w:noWrap/>
            <w:hideMark/>
          </w:tcPr>
          <w:p w14:paraId="6754EB48" w14:textId="77777777" w:rsidR="00B96C5C" w:rsidRPr="00D96063" w:rsidRDefault="00B96C5C" w:rsidP="00765D22">
            <w:pPr>
              <w:jc w:val="right"/>
              <w:rPr>
                <w:rFonts w:cs="Calibri"/>
                <w:sz w:val="16"/>
                <w:szCs w:val="16"/>
              </w:rPr>
            </w:pPr>
            <w:r w:rsidRPr="00D96063">
              <w:rPr>
                <w:rFonts w:cs="Calibri"/>
                <w:sz w:val="16"/>
                <w:szCs w:val="16"/>
              </w:rPr>
              <w:t>15.6</w:t>
            </w:r>
          </w:p>
        </w:tc>
        <w:tc>
          <w:tcPr>
            <w:tcW w:w="423" w:type="pct"/>
            <w:noWrap/>
            <w:hideMark/>
          </w:tcPr>
          <w:p w14:paraId="3FD30F5C" w14:textId="77777777" w:rsidR="00B96C5C" w:rsidRPr="00D96063" w:rsidRDefault="00B96C5C" w:rsidP="00765D22">
            <w:pPr>
              <w:jc w:val="right"/>
              <w:rPr>
                <w:rFonts w:cs="Calibri"/>
                <w:sz w:val="16"/>
                <w:szCs w:val="16"/>
              </w:rPr>
            </w:pPr>
            <w:r w:rsidRPr="00D96063">
              <w:rPr>
                <w:rFonts w:cs="Calibri"/>
                <w:sz w:val="16"/>
                <w:szCs w:val="16"/>
              </w:rPr>
              <w:t>16.1</w:t>
            </w:r>
          </w:p>
        </w:tc>
        <w:tc>
          <w:tcPr>
            <w:tcW w:w="425" w:type="pct"/>
            <w:noWrap/>
            <w:hideMark/>
          </w:tcPr>
          <w:p w14:paraId="1F010CF9" w14:textId="77777777" w:rsidR="00B96C5C" w:rsidRPr="00D96063" w:rsidRDefault="00B96C5C" w:rsidP="00765D22">
            <w:pPr>
              <w:jc w:val="right"/>
              <w:rPr>
                <w:rFonts w:cs="Calibri"/>
                <w:sz w:val="16"/>
                <w:szCs w:val="16"/>
              </w:rPr>
            </w:pPr>
            <w:r w:rsidRPr="00D96063">
              <w:rPr>
                <w:rFonts w:cs="Calibri"/>
                <w:sz w:val="16"/>
                <w:szCs w:val="16"/>
              </w:rPr>
              <w:t>15.5</w:t>
            </w:r>
          </w:p>
        </w:tc>
      </w:tr>
      <w:tr w:rsidR="00B96C5C" w:rsidRPr="00D96063" w14:paraId="2DB2A2A6" w14:textId="77777777" w:rsidTr="00765D22">
        <w:trPr>
          <w:trHeight w:val="240"/>
        </w:trPr>
        <w:tc>
          <w:tcPr>
            <w:tcW w:w="2040" w:type="pct"/>
            <w:hideMark/>
          </w:tcPr>
          <w:p w14:paraId="7C003409" w14:textId="77777777" w:rsidR="00B96C5C" w:rsidRPr="00D96063" w:rsidRDefault="00B96C5C" w:rsidP="00765D22">
            <w:pPr>
              <w:ind w:left="284" w:hanging="284"/>
              <w:jc w:val="left"/>
              <w:rPr>
                <w:rFonts w:cs="Calibri"/>
                <w:sz w:val="16"/>
                <w:szCs w:val="16"/>
              </w:rPr>
            </w:pPr>
            <w:r w:rsidRPr="00D96063">
              <w:rPr>
                <w:rFonts w:cs="Calibri"/>
                <w:sz w:val="16"/>
                <w:szCs w:val="16"/>
              </w:rPr>
              <w:tab/>
              <w:t>Hotels and restaurants</w:t>
            </w:r>
          </w:p>
        </w:tc>
        <w:tc>
          <w:tcPr>
            <w:tcW w:w="420" w:type="pct"/>
            <w:noWrap/>
            <w:hideMark/>
          </w:tcPr>
          <w:p w14:paraId="2ED929C4" w14:textId="77777777" w:rsidR="00B96C5C" w:rsidRPr="00D96063" w:rsidRDefault="00B96C5C" w:rsidP="00765D22">
            <w:pPr>
              <w:jc w:val="right"/>
              <w:rPr>
                <w:rFonts w:cs="Calibri"/>
                <w:sz w:val="16"/>
                <w:szCs w:val="16"/>
              </w:rPr>
            </w:pPr>
            <w:r w:rsidRPr="00D96063">
              <w:rPr>
                <w:rFonts w:cs="Calibri"/>
                <w:sz w:val="16"/>
                <w:szCs w:val="16"/>
              </w:rPr>
              <w:t>3.7</w:t>
            </w:r>
          </w:p>
        </w:tc>
        <w:tc>
          <w:tcPr>
            <w:tcW w:w="423" w:type="pct"/>
            <w:noWrap/>
            <w:hideMark/>
          </w:tcPr>
          <w:p w14:paraId="5C241EA4" w14:textId="77777777" w:rsidR="00B96C5C" w:rsidRPr="00D96063" w:rsidRDefault="00B96C5C" w:rsidP="00765D22">
            <w:pPr>
              <w:jc w:val="right"/>
              <w:rPr>
                <w:rFonts w:cs="Calibri"/>
                <w:sz w:val="16"/>
                <w:szCs w:val="16"/>
              </w:rPr>
            </w:pPr>
            <w:r w:rsidRPr="00D96063">
              <w:rPr>
                <w:rFonts w:cs="Calibri"/>
                <w:sz w:val="16"/>
                <w:szCs w:val="16"/>
              </w:rPr>
              <w:t>3.5</w:t>
            </w:r>
          </w:p>
        </w:tc>
        <w:tc>
          <w:tcPr>
            <w:tcW w:w="423" w:type="pct"/>
            <w:noWrap/>
            <w:hideMark/>
          </w:tcPr>
          <w:p w14:paraId="70B85CA1" w14:textId="77777777" w:rsidR="00B96C5C" w:rsidRPr="00D96063" w:rsidRDefault="00B96C5C" w:rsidP="00765D22">
            <w:pPr>
              <w:jc w:val="right"/>
              <w:rPr>
                <w:rFonts w:cs="Calibri"/>
                <w:sz w:val="16"/>
                <w:szCs w:val="16"/>
              </w:rPr>
            </w:pPr>
            <w:r w:rsidRPr="00D96063">
              <w:rPr>
                <w:rFonts w:cs="Calibri"/>
                <w:sz w:val="16"/>
                <w:szCs w:val="16"/>
              </w:rPr>
              <w:t>3.7</w:t>
            </w:r>
          </w:p>
        </w:tc>
        <w:tc>
          <w:tcPr>
            <w:tcW w:w="423" w:type="pct"/>
            <w:noWrap/>
            <w:hideMark/>
          </w:tcPr>
          <w:p w14:paraId="6BC691A2" w14:textId="77777777" w:rsidR="00B96C5C" w:rsidRPr="00D96063" w:rsidRDefault="00B96C5C" w:rsidP="00765D22">
            <w:pPr>
              <w:jc w:val="right"/>
              <w:rPr>
                <w:rFonts w:cs="Calibri"/>
                <w:sz w:val="16"/>
                <w:szCs w:val="16"/>
              </w:rPr>
            </w:pPr>
            <w:r w:rsidRPr="00D96063">
              <w:rPr>
                <w:rFonts w:cs="Calibri"/>
                <w:sz w:val="16"/>
                <w:szCs w:val="16"/>
              </w:rPr>
              <w:t>3.9</w:t>
            </w:r>
          </w:p>
        </w:tc>
        <w:tc>
          <w:tcPr>
            <w:tcW w:w="423" w:type="pct"/>
            <w:noWrap/>
            <w:hideMark/>
          </w:tcPr>
          <w:p w14:paraId="3BCDEB83" w14:textId="77777777" w:rsidR="00B96C5C" w:rsidRPr="00D96063" w:rsidRDefault="00B96C5C" w:rsidP="00765D22">
            <w:pPr>
              <w:jc w:val="right"/>
              <w:rPr>
                <w:rFonts w:cs="Calibri"/>
                <w:sz w:val="16"/>
                <w:szCs w:val="16"/>
              </w:rPr>
            </w:pPr>
            <w:r w:rsidRPr="00D96063">
              <w:rPr>
                <w:rFonts w:cs="Calibri"/>
                <w:sz w:val="16"/>
                <w:szCs w:val="16"/>
              </w:rPr>
              <w:t>3.8</w:t>
            </w:r>
          </w:p>
        </w:tc>
        <w:tc>
          <w:tcPr>
            <w:tcW w:w="423" w:type="pct"/>
            <w:noWrap/>
            <w:hideMark/>
          </w:tcPr>
          <w:p w14:paraId="65D0DD93" w14:textId="77777777" w:rsidR="00B96C5C" w:rsidRPr="00D96063" w:rsidRDefault="00B96C5C" w:rsidP="00765D22">
            <w:pPr>
              <w:jc w:val="right"/>
              <w:rPr>
                <w:rFonts w:cs="Calibri"/>
                <w:sz w:val="16"/>
                <w:szCs w:val="16"/>
              </w:rPr>
            </w:pPr>
            <w:r w:rsidRPr="00D96063">
              <w:rPr>
                <w:rFonts w:cs="Calibri"/>
                <w:sz w:val="16"/>
                <w:szCs w:val="16"/>
              </w:rPr>
              <w:t>3.7</w:t>
            </w:r>
          </w:p>
        </w:tc>
        <w:tc>
          <w:tcPr>
            <w:tcW w:w="425" w:type="pct"/>
            <w:noWrap/>
            <w:hideMark/>
          </w:tcPr>
          <w:p w14:paraId="18D13A34" w14:textId="77777777" w:rsidR="00B96C5C" w:rsidRPr="00D96063" w:rsidRDefault="00B96C5C" w:rsidP="00765D22">
            <w:pPr>
              <w:jc w:val="right"/>
              <w:rPr>
                <w:rFonts w:cs="Calibri"/>
                <w:sz w:val="16"/>
                <w:szCs w:val="16"/>
              </w:rPr>
            </w:pPr>
            <w:r w:rsidRPr="00D96063">
              <w:rPr>
                <w:rFonts w:cs="Calibri"/>
                <w:sz w:val="16"/>
                <w:szCs w:val="16"/>
              </w:rPr>
              <w:t>2.5</w:t>
            </w:r>
          </w:p>
        </w:tc>
      </w:tr>
      <w:tr w:rsidR="00B96C5C" w:rsidRPr="00D96063" w14:paraId="1A0F86A7"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hideMark/>
          </w:tcPr>
          <w:p w14:paraId="39169844" w14:textId="77777777" w:rsidR="00B96C5C" w:rsidRPr="00D96063" w:rsidRDefault="00B96C5C" w:rsidP="00765D22">
            <w:pPr>
              <w:ind w:left="284" w:hanging="284"/>
              <w:jc w:val="left"/>
              <w:rPr>
                <w:rFonts w:cs="Calibri"/>
                <w:sz w:val="16"/>
                <w:szCs w:val="16"/>
              </w:rPr>
            </w:pPr>
            <w:r w:rsidRPr="00D96063">
              <w:rPr>
                <w:rFonts w:cs="Calibri"/>
                <w:sz w:val="16"/>
                <w:szCs w:val="16"/>
              </w:rPr>
              <w:tab/>
              <w:t>Transport and storage</w:t>
            </w:r>
          </w:p>
        </w:tc>
        <w:tc>
          <w:tcPr>
            <w:tcW w:w="420" w:type="pct"/>
            <w:noWrap/>
            <w:hideMark/>
          </w:tcPr>
          <w:p w14:paraId="32DC3A00" w14:textId="77777777" w:rsidR="00B96C5C" w:rsidRPr="00D96063" w:rsidRDefault="00B96C5C" w:rsidP="00765D22">
            <w:pPr>
              <w:jc w:val="right"/>
              <w:rPr>
                <w:rFonts w:cs="Calibri"/>
                <w:sz w:val="16"/>
                <w:szCs w:val="16"/>
              </w:rPr>
            </w:pPr>
            <w:r w:rsidRPr="00D96063">
              <w:rPr>
                <w:rFonts w:cs="Calibri"/>
                <w:sz w:val="16"/>
                <w:szCs w:val="16"/>
              </w:rPr>
              <w:t>5.4</w:t>
            </w:r>
          </w:p>
        </w:tc>
        <w:tc>
          <w:tcPr>
            <w:tcW w:w="423" w:type="pct"/>
            <w:noWrap/>
            <w:hideMark/>
          </w:tcPr>
          <w:p w14:paraId="45A9EEE9" w14:textId="77777777" w:rsidR="00B96C5C" w:rsidRPr="00D96063" w:rsidRDefault="00B96C5C" w:rsidP="00765D22">
            <w:pPr>
              <w:jc w:val="right"/>
              <w:rPr>
                <w:rFonts w:cs="Calibri"/>
                <w:sz w:val="16"/>
                <w:szCs w:val="16"/>
              </w:rPr>
            </w:pPr>
            <w:r w:rsidRPr="00D96063">
              <w:rPr>
                <w:rFonts w:cs="Calibri"/>
                <w:sz w:val="16"/>
                <w:szCs w:val="16"/>
              </w:rPr>
              <w:t>6.0</w:t>
            </w:r>
          </w:p>
        </w:tc>
        <w:tc>
          <w:tcPr>
            <w:tcW w:w="423" w:type="pct"/>
            <w:noWrap/>
            <w:hideMark/>
          </w:tcPr>
          <w:p w14:paraId="233F437A" w14:textId="77777777" w:rsidR="00B96C5C" w:rsidRPr="00D96063" w:rsidRDefault="00B96C5C" w:rsidP="00765D22">
            <w:pPr>
              <w:jc w:val="right"/>
              <w:rPr>
                <w:rFonts w:cs="Calibri"/>
                <w:sz w:val="16"/>
                <w:szCs w:val="16"/>
              </w:rPr>
            </w:pPr>
            <w:r w:rsidRPr="00D96063">
              <w:rPr>
                <w:rFonts w:cs="Calibri"/>
                <w:sz w:val="16"/>
                <w:szCs w:val="16"/>
              </w:rPr>
              <w:t>6.5</w:t>
            </w:r>
          </w:p>
        </w:tc>
        <w:tc>
          <w:tcPr>
            <w:tcW w:w="423" w:type="pct"/>
            <w:noWrap/>
            <w:hideMark/>
          </w:tcPr>
          <w:p w14:paraId="4D0C6933" w14:textId="77777777" w:rsidR="00B96C5C" w:rsidRPr="00D96063" w:rsidRDefault="00B96C5C" w:rsidP="00765D22">
            <w:pPr>
              <w:jc w:val="right"/>
              <w:rPr>
                <w:rFonts w:cs="Calibri"/>
                <w:sz w:val="16"/>
                <w:szCs w:val="16"/>
              </w:rPr>
            </w:pPr>
            <w:r w:rsidRPr="00D96063">
              <w:rPr>
                <w:rFonts w:cs="Calibri"/>
                <w:sz w:val="16"/>
                <w:szCs w:val="16"/>
              </w:rPr>
              <w:t>7.1</w:t>
            </w:r>
          </w:p>
        </w:tc>
        <w:tc>
          <w:tcPr>
            <w:tcW w:w="423" w:type="pct"/>
            <w:noWrap/>
            <w:hideMark/>
          </w:tcPr>
          <w:p w14:paraId="702CA71C" w14:textId="77777777" w:rsidR="00B96C5C" w:rsidRPr="00D96063" w:rsidRDefault="00B96C5C" w:rsidP="00765D22">
            <w:pPr>
              <w:jc w:val="right"/>
              <w:rPr>
                <w:rFonts w:cs="Calibri"/>
                <w:sz w:val="16"/>
                <w:szCs w:val="16"/>
              </w:rPr>
            </w:pPr>
            <w:r w:rsidRPr="00D96063">
              <w:rPr>
                <w:rFonts w:cs="Calibri"/>
                <w:sz w:val="16"/>
                <w:szCs w:val="16"/>
              </w:rPr>
              <w:t>7.3</w:t>
            </w:r>
          </w:p>
        </w:tc>
        <w:tc>
          <w:tcPr>
            <w:tcW w:w="423" w:type="pct"/>
            <w:noWrap/>
            <w:hideMark/>
          </w:tcPr>
          <w:p w14:paraId="7C13D85A" w14:textId="77777777" w:rsidR="00B96C5C" w:rsidRPr="00D96063" w:rsidRDefault="00B96C5C" w:rsidP="00765D22">
            <w:pPr>
              <w:jc w:val="right"/>
              <w:rPr>
                <w:rFonts w:cs="Calibri"/>
                <w:sz w:val="16"/>
                <w:szCs w:val="16"/>
              </w:rPr>
            </w:pPr>
            <w:r w:rsidRPr="00D96063">
              <w:rPr>
                <w:rFonts w:cs="Calibri"/>
                <w:sz w:val="16"/>
                <w:szCs w:val="16"/>
              </w:rPr>
              <w:t>7.1</w:t>
            </w:r>
          </w:p>
        </w:tc>
        <w:tc>
          <w:tcPr>
            <w:tcW w:w="425" w:type="pct"/>
            <w:noWrap/>
            <w:hideMark/>
          </w:tcPr>
          <w:p w14:paraId="205FE637" w14:textId="77777777" w:rsidR="00B96C5C" w:rsidRPr="00D96063" w:rsidRDefault="00B96C5C" w:rsidP="00765D22">
            <w:pPr>
              <w:jc w:val="right"/>
              <w:rPr>
                <w:rFonts w:cs="Calibri"/>
                <w:sz w:val="16"/>
                <w:szCs w:val="16"/>
              </w:rPr>
            </w:pPr>
            <w:r w:rsidRPr="00D96063">
              <w:rPr>
                <w:rFonts w:cs="Calibri"/>
                <w:sz w:val="16"/>
                <w:szCs w:val="16"/>
              </w:rPr>
              <w:t>7.2</w:t>
            </w:r>
          </w:p>
        </w:tc>
      </w:tr>
      <w:tr w:rsidR="00B96C5C" w:rsidRPr="00D96063" w14:paraId="2C90B672" w14:textId="77777777" w:rsidTr="00765D22">
        <w:trPr>
          <w:trHeight w:val="240"/>
        </w:trPr>
        <w:tc>
          <w:tcPr>
            <w:tcW w:w="2040" w:type="pct"/>
            <w:hideMark/>
          </w:tcPr>
          <w:p w14:paraId="60AD70C2" w14:textId="77777777" w:rsidR="00B96C5C" w:rsidRPr="00D96063" w:rsidRDefault="00B96C5C" w:rsidP="00765D22">
            <w:pPr>
              <w:ind w:left="284" w:hanging="284"/>
              <w:jc w:val="left"/>
              <w:rPr>
                <w:rFonts w:cs="Calibri"/>
                <w:sz w:val="16"/>
                <w:szCs w:val="16"/>
              </w:rPr>
            </w:pPr>
            <w:r w:rsidRPr="00D96063">
              <w:rPr>
                <w:rFonts w:cs="Calibri"/>
                <w:sz w:val="16"/>
                <w:szCs w:val="16"/>
              </w:rPr>
              <w:tab/>
              <w:t>Information and communication</w:t>
            </w:r>
          </w:p>
        </w:tc>
        <w:tc>
          <w:tcPr>
            <w:tcW w:w="420" w:type="pct"/>
            <w:noWrap/>
            <w:hideMark/>
          </w:tcPr>
          <w:p w14:paraId="78CBB63D" w14:textId="77777777" w:rsidR="00B96C5C" w:rsidRPr="00D96063" w:rsidRDefault="00B96C5C" w:rsidP="00765D22">
            <w:pPr>
              <w:jc w:val="right"/>
              <w:rPr>
                <w:rFonts w:cs="Calibri"/>
                <w:sz w:val="16"/>
                <w:szCs w:val="16"/>
              </w:rPr>
            </w:pPr>
            <w:r w:rsidRPr="00D96063">
              <w:rPr>
                <w:rFonts w:cs="Calibri"/>
                <w:sz w:val="16"/>
                <w:szCs w:val="16"/>
              </w:rPr>
              <w:t>2.0</w:t>
            </w:r>
          </w:p>
        </w:tc>
        <w:tc>
          <w:tcPr>
            <w:tcW w:w="423" w:type="pct"/>
            <w:noWrap/>
            <w:hideMark/>
          </w:tcPr>
          <w:p w14:paraId="3A1B345A" w14:textId="77777777" w:rsidR="00B96C5C" w:rsidRPr="00D96063" w:rsidRDefault="00B96C5C" w:rsidP="00765D22">
            <w:pPr>
              <w:jc w:val="right"/>
              <w:rPr>
                <w:rFonts w:cs="Calibri"/>
                <w:sz w:val="16"/>
                <w:szCs w:val="16"/>
              </w:rPr>
            </w:pPr>
            <w:r w:rsidRPr="00D96063">
              <w:rPr>
                <w:rFonts w:cs="Calibri"/>
                <w:sz w:val="16"/>
                <w:szCs w:val="16"/>
              </w:rPr>
              <w:t>2.3</w:t>
            </w:r>
          </w:p>
        </w:tc>
        <w:tc>
          <w:tcPr>
            <w:tcW w:w="423" w:type="pct"/>
            <w:noWrap/>
            <w:hideMark/>
          </w:tcPr>
          <w:p w14:paraId="40B433A4" w14:textId="77777777" w:rsidR="00B96C5C" w:rsidRPr="00D96063" w:rsidRDefault="00B96C5C" w:rsidP="00765D22">
            <w:pPr>
              <w:jc w:val="right"/>
              <w:rPr>
                <w:rFonts w:cs="Calibri"/>
                <w:sz w:val="16"/>
                <w:szCs w:val="16"/>
              </w:rPr>
            </w:pPr>
            <w:r w:rsidRPr="00D96063">
              <w:rPr>
                <w:rFonts w:cs="Calibri"/>
                <w:sz w:val="16"/>
                <w:szCs w:val="16"/>
              </w:rPr>
              <w:t>2.2</w:t>
            </w:r>
          </w:p>
        </w:tc>
        <w:tc>
          <w:tcPr>
            <w:tcW w:w="423" w:type="pct"/>
            <w:noWrap/>
            <w:hideMark/>
          </w:tcPr>
          <w:p w14:paraId="5C2DF757" w14:textId="77777777" w:rsidR="00B96C5C" w:rsidRPr="00D96063" w:rsidRDefault="00B96C5C" w:rsidP="00765D22">
            <w:pPr>
              <w:jc w:val="right"/>
              <w:rPr>
                <w:rFonts w:cs="Calibri"/>
                <w:sz w:val="16"/>
                <w:szCs w:val="16"/>
              </w:rPr>
            </w:pPr>
            <w:r w:rsidRPr="00D96063">
              <w:rPr>
                <w:rFonts w:cs="Calibri"/>
                <w:sz w:val="16"/>
                <w:szCs w:val="16"/>
              </w:rPr>
              <w:t>2.1</w:t>
            </w:r>
          </w:p>
        </w:tc>
        <w:tc>
          <w:tcPr>
            <w:tcW w:w="423" w:type="pct"/>
            <w:noWrap/>
            <w:hideMark/>
          </w:tcPr>
          <w:p w14:paraId="6A76997F" w14:textId="77777777" w:rsidR="00B96C5C" w:rsidRPr="00D96063" w:rsidRDefault="00B96C5C" w:rsidP="00765D22">
            <w:pPr>
              <w:jc w:val="right"/>
              <w:rPr>
                <w:rFonts w:cs="Calibri"/>
                <w:sz w:val="16"/>
                <w:szCs w:val="16"/>
              </w:rPr>
            </w:pPr>
            <w:r w:rsidRPr="00D96063">
              <w:rPr>
                <w:rFonts w:cs="Calibri"/>
                <w:sz w:val="16"/>
                <w:szCs w:val="16"/>
              </w:rPr>
              <w:t>2.5</w:t>
            </w:r>
          </w:p>
        </w:tc>
        <w:tc>
          <w:tcPr>
            <w:tcW w:w="423" w:type="pct"/>
            <w:noWrap/>
            <w:hideMark/>
          </w:tcPr>
          <w:p w14:paraId="62EB959F" w14:textId="77777777" w:rsidR="00B96C5C" w:rsidRPr="00D96063" w:rsidRDefault="00B96C5C" w:rsidP="00765D22">
            <w:pPr>
              <w:jc w:val="right"/>
              <w:rPr>
                <w:rFonts w:cs="Calibri"/>
                <w:sz w:val="16"/>
                <w:szCs w:val="16"/>
              </w:rPr>
            </w:pPr>
            <w:r w:rsidRPr="00D96063">
              <w:rPr>
                <w:rFonts w:cs="Calibri"/>
                <w:sz w:val="16"/>
                <w:szCs w:val="16"/>
              </w:rPr>
              <w:t>3.1</w:t>
            </w:r>
          </w:p>
        </w:tc>
        <w:tc>
          <w:tcPr>
            <w:tcW w:w="425" w:type="pct"/>
            <w:noWrap/>
            <w:hideMark/>
          </w:tcPr>
          <w:p w14:paraId="02D7D19A" w14:textId="77777777" w:rsidR="00B96C5C" w:rsidRPr="00D96063" w:rsidRDefault="00B96C5C" w:rsidP="00765D22">
            <w:pPr>
              <w:jc w:val="right"/>
              <w:rPr>
                <w:rFonts w:cs="Calibri"/>
                <w:sz w:val="16"/>
                <w:szCs w:val="16"/>
              </w:rPr>
            </w:pPr>
            <w:r w:rsidRPr="00D96063">
              <w:rPr>
                <w:rFonts w:cs="Calibri"/>
                <w:sz w:val="16"/>
                <w:szCs w:val="16"/>
              </w:rPr>
              <w:t>3.6</w:t>
            </w:r>
          </w:p>
        </w:tc>
      </w:tr>
      <w:tr w:rsidR="00B96C5C" w:rsidRPr="00D96063" w14:paraId="3867C3EC"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hideMark/>
          </w:tcPr>
          <w:p w14:paraId="46B4016B" w14:textId="77777777" w:rsidR="00B96C5C" w:rsidRPr="00D96063" w:rsidRDefault="00B96C5C" w:rsidP="00765D22">
            <w:pPr>
              <w:ind w:left="284" w:hanging="284"/>
              <w:jc w:val="left"/>
              <w:rPr>
                <w:rFonts w:cs="Calibri"/>
                <w:sz w:val="16"/>
                <w:szCs w:val="16"/>
              </w:rPr>
            </w:pPr>
            <w:r w:rsidRPr="00D96063">
              <w:rPr>
                <w:rFonts w:cs="Calibri"/>
                <w:sz w:val="16"/>
                <w:szCs w:val="16"/>
              </w:rPr>
              <w:tab/>
              <w:t>Financial and insurance activities</w:t>
            </w:r>
          </w:p>
        </w:tc>
        <w:tc>
          <w:tcPr>
            <w:tcW w:w="420" w:type="pct"/>
            <w:noWrap/>
            <w:hideMark/>
          </w:tcPr>
          <w:p w14:paraId="02A733BA" w14:textId="77777777" w:rsidR="00B96C5C" w:rsidRPr="00D96063" w:rsidRDefault="00B96C5C" w:rsidP="00765D22">
            <w:pPr>
              <w:jc w:val="right"/>
              <w:rPr>
                <w:rFonts w:cs="Calibri"/>
                <w:sz w:val="16"/>
                <w:szCs w:val="16"/>
              </w:rPr>
            </w:pPr>
            <w:r w:rsidRPr="00D96063">
              <w:rPr>
                <w:rFonts w:cs="Calibri"/>
                <w:sz w:val="16"/>
                <w:szCs w:val="16"/>
              </w:rPr>
              <w:t>4.9</w:t>
            </w:r>
          </w:p>
        </w:tc>
        <w:tc>
          <w:tcPr>
            <w:tcW w:w="423" w:type="pct"/>
            <w:noWrap/>
            <w:hideMark/>
          </w:tcPr>
          <w:p w14:paraId="63780F7B" w14:textId="77777777" w:rsidR="00B96C5C" w:rsidRPr="00D96063" w:rsidRDefault="00B96C5C" w:rsidP="00765D22">
            <w:pPr>
              <w:jc w:val="right"/>
              <w:rPr>
                <w:rFonts w:cs="Calibri"/>
                <w:sz w:val="16"/>
                <w:szCs w:val="16"/>
              </w:rPr>
            </w:pPr>
            <w:r w:rsidRPr="00D96063">
              <w:rPr>
                <w:rFonts w:cs="Calibri"/>
                <w:sz w:val="16"/>
                <w:szCs w:val="16"/>
              </w:rPr>
              <w:t>5.6</w:t>
            </w:r>
          </w:p>
        </w:tc>
        <w:tc>
          <w:tcPr>
            <w:tcW w:w="423" w:type="pct"/>
            <w:noWrap/>
            <w:hideMark/>
          </w:tcPr>
          <w:p w14:paraId="0FF6C246" w14:textId="77777777" w:rsidR="00B96C5C" w:rsidRPr="00D96063" w:rsidRDefault="00B96C5C" w:rsidP="00765D22">
            <w:pPr>
              <w:jc w:val="right"/>
              <w:rPr>
                <w:rFonts w:cs="Calibri"/>
                <w:sz w:val="16"/>
                <w:szCs w:val="16"/>
              </w:rPr>
            </w:pPr>
            <w:r w:rsidRPr="00D96063">
              <w:rPr>
                <w:rFonts w:cs="Calibri"/>
                <w:sz w:val="16"/>
                <w:szCs w:val="16"/>
              </w:rPr>
              <w:t>6.6</w:t>
            </w:r>
          </w:p>
        </w:tc>
        <w:tc>
          <w:tcPr>
            <w:tcW w:w="423" w:type="pct"/>
            <w:noWrap/>
            <w:hideMark/>
          </w:tcPr>
          <w:p w14:paraId="0887A0B8" w14:textId="77777777" w:rsidR="00B96C5C" w:rsidRPr="00D96063" w:rsidRDefault="00B96C5C" w:rsidP="00765D22">
            <w:pPr>
              <w:jc w:val="right"/>
              <w:rPr>
                <w:rFonts w:cs="Calibri"/>
                <w:sz w:val="16"/>
                <w:szCs w:val="16"/>
              </w:rPr>
            </w:pPr>
            <w:r w:rsidRPr="00D96063">
              <w:rPr>
                <w:rFonts w:cs="Calibri"/>
                <w:sz w:val="16"/>
                <w:szCs w:val="16"/>
              </w:rPr>
              <w:t>4.9</w:t>
            </w:r>
          </w:p>
        </w:tc>
        <w:tc>
          <w:tcPr>
            <w:tcW w:w="423" w:type="pct"/>
            <w:noWrap/>
            <w:hideMark/>
          </w:tcPr>
          <w:p w14:paraId="562D698A" w14:textId="77777777" w:rsidR="00B96C5C" w:rsidRPr="00D96063" w:rsidRDefault="00B96C5C" w:rsidP="00765D22">
            <w:pPr>
              <w:jc w:val="right"/>
              <w:rPr>
                <w:rFonts w:cs="Calibri"/>
                <w:sz w:val="16"/>
                <w:szCs w:val="16"/>
              </w:rPr>
            </w:pPr>
            <w:r w:rsidRPr="00D96063">
              <w:rPr>
                <w:rFonts w:cs="Calibri"/>
                <w:sz w:val="16"/>
                <w:szCs w:val="16"/>
              </w:rPr>
              <w:t>4.0</w:t>
            </w:r>
          </w:p>
        </w:tc>
        <w:tc>
          <w:tcPr>
            <w:tcW w:w="423" w:type="pct"/>
            <w:noWrap/>
            <w:hideMark/>
          </w:tcPr>
          <w:p w14:paraId="2736C3E7" w14:textId="77777777" w:rsidR="00B96C5C" w:rsidRPr="00D96063" w:rsidRDefault="00B96C5C" w:rsidP="00765D22">
            <w:pPr>
              <w:jc w:val="right"/>
              <w:rPr>
                <w:rFonts w:cs="Calibri"/>
                <w:sz w:val="16"/>
                <w:szCs w:val="16"/>
              </w:rPr>
            </w:pPr>
            <w:r w:rsidRPr="00D96063">
              <w:rPr>
                <w:rFonts w:cs="Calibri"/>
                <w:sz w:val="16"/>
                <w:szCs w:val="16"/>
              </w:rPr>
              <w:t>3.8</w:t>
            </w:r>
          </w:p>
        </w:tc>
        <w:tc>
          <w:tcPr>
            <w:tcW w:w="425" w:type="pct"/>
            <w:noWrap/>
            <w:hideMark/>
          </w:tcPr>
          <w:p w14:paraId="7B06368D" w14:textId="77777777" w:rsidR="00B96C5C" w:rsidRPr="00D96063" w:rsidRDefault="00B96C5C" w:rsidP="00765D22">
            <w:pPr>
              <w:jc w:val="right"/>
              <w:rPr>
                <w:rFonts w:cs="Calibri"/>
                <w:sz w:val="16"/>
                <w:szCs w:val="16"/>
              </w:rPr>
            </w:pPr>
            <w:r w:rsidRPr="00D96063">
              <w:rPr>
                <w:rFonts w:cs="Calibri"/>
                <w:sz w:val="16"/>
                <w:szCs w:val="16"/>
              </w:rPr>
              <w:t>3.9</w:t>
            </w:r>
          </w:p>
        </w:tc>
      </w:tr>
      <w:tr w:rsidR="00B96C5C" w:rsidRPr="00D96063" w14:paraId="58EBB766" w14:textId="77777777" w:rsidTr="00765D22">
        <w:trPr>
          <w:trHeight w:val="240"/>
        </w:trPr>
        <w:tc>
          <w:tcPr>
            <w:tcW w:w="2040" w:type="pct"/>
            <w:hideMark/>
          </w:tcPr>
          <w:p w14:paraId="7FD40295" w14:textId="77777777" w:rsidR="00B96C5C" w:rsidRPr="00D96063" w:rsidRDefault="00B96C5C" w:rsidP="00765D22">
            <w:pPr>
              <w:ind w:left="284" w:hanging="284"/>
              <w:jc w:val="left"/>
              <w:rPr>
                <w:rFonts w:cs="Calibri"/>
                <w:sz w:val="16"/>
                <w:szCs w:val="16"/>
              </w:rPr>
            </w:pPr>
            <w:r w:rsidRPr="00D96063">
              <w:rPr>
                <w:rFonts w:cs="Calibri"/>
                <w:sz w:val="16"/>
                <w:szCs w:val="16"/>
              </w:rPr>
              <w:tab/>
              <w:t>Real estate</w:t>
            </w:r>
          </w:p>
        </w:tc>
        <w:tc>
          <w:tcPr>
            <w:tcW w:w="420" w:type="pct"/>
            <w:noWrap/>
            <w:hideMark/>
          </w:tcPr>
          <w:p w14:paraId="037403C5" w14:textId="77777777" w:rsidR="00B96C5C" w:rsidRPr="00D96063" w:rsidRDefault="00B96C5C" w:rsidP="00765D22">
            <w:pPr>
              <w:jc w:val="right"/>
              <w:rPr>
                <w:rFonts w:cs="Calibri"/>
                <w:sz w:val="16"/>
                <w:szCs w:val="16"/>
              </w:rPr>
            </w:pPr>
            <w:r w:rsidRPr="00D96063">
              <w:rPr>
                <w:rFonts w:cs="Calibri"/>
                <w:sz w:val="16"/>
                <w:szCs w:val="16"/>
              </w:rPr>
              <w:t>0.9</w:t>
            </w:r>
          </w:p>
        </w:tc>
        <w:tc>
          <w:tcPr>
            <w:tcW w:w="423" w:type="pct"/>
            <w:noWrap/>
            <w:hideMark/>
          </w:tcPr>
          <w:p w14:paraId="14C156F0" w14:textId="77777777" w:rsidR="00B96C5C" w:rsidRPr="00D96063" w:rsidRDefault="00B96C5C" w:rsidP="00765D22">
            <w:pPr>
              <w:jc w:val="right"/>
              <w:rPr>
                <w:rFonts w:cs="Calibri"/>
                <w:sz w:val="16"/>
                <w:szCs w:val="16"/>
              </w:rPr>
            </w:pPr>
            <w:r w:rsidRPr="00D96063">
              <w:rPr>
                <w:rFonts w:cs="Calibri"/>
                <w:sz w:val="16"/>
                <w:szCs w:val="16"/>
              </w:rPr>
              <w:t>1.3</w:t>
            </w:r>
          </w:p>
        </w:tc>
        <w:tc>
          <w:tcPr>
            <w:tcW w:w="423" w:type="pct"/>
            <w:noWrap/>
            <w:hideMark/>
          </w:tcPr>
          <w:p w14:paraId="5830FBC5" w14:textId="77777777" w:rsidR="00B96C5C" w:rsidRPr="00D96063" w:rsidRDefault="00B96C5C" w:rsidP="00765D22">
            <w:pPr>
              <w:jc w:val="right"/>
              <w:rPr>
                <w:rFonts w:cs="Calibri"/>
                <w:sz w:val="16"/>
                <w:szCs w:val="16"/>
              </w:rPr>
            </w:pPr>
            <w:r w:rsidRPr="00D96063">
              <w:rPr>
                <w:rFonts w:cs="Calibri"/>
                <w:sz w:val="16"/>
                <w:szCs w:val="16"/>
              </w:rPr>
              <w:t>1.8</w:t>
            </w:r>
          </w:p>
        </w:tc>
        <w:tc>
          <w:tcPr>
            <w:tcW w:w="423" w:type="pct"/>
            <w:noWrap/>
            <w:hideMark/>
          </w:tcPr>
          <w:p w14:paraId="6A379273" w14:textId="77777777" w:rsidR="00B96C5C" w:rsidRPr="00D96063" w:rsidRDefault="00B96C5C" w:rsidP="00765D22">
            <w:pPr>
              <w:jc w:val="right"/>
              <w:rPr>
                <w:rFonts w:cs="Calibri"/>
                <w:sz w:val="16"/>
                <w:szCs w:val="16"/>
              </w:rPr>
            </w:pPr>
            <w:r w:rsidRPr="00D96063">
              <w:rPr>
                <w:rFonts w:cs="Calibri"/>
                <w:sz w:val="16"/>
                <w:szCs w:val="16"/>
              </w:rPr>
              <w:t>2.3</w:t>
            </w:r>
          </w:p>
        </w:tc>
        <w:tc>
          <w:tcPr>
            <w:tcW w:w="423" w:type="pct"/>
            <w:noWrap/>
            <w:hideMark/>
          </w:tcPr>
          <w:p w14:paraId="70FA3678" w14:textId="77777777" w:rsidR="00B96C5C" w:rsidRPr="00D96063" w:rsidRDefault="00B96C5C" w:rsidP="00765D22">
            <w:pPr>
              <w:jc w:val="right"/>
              <w:rPr>
                <w:rFonts w:cs="Calibri"/>
                <w:sz w:val="16"/>
                <w:szCs w:val="16"/>
              </w:rPr>
            </w:pPr>
            <w:r w:rsidRPr="00D96063">
              <w:rPr>
                <w:rFonts w:cs="Calibri"/>
                <w:sz w:val="16"/>
                <w:szCs w:val="16"/>
              </w:rPr>
              <w:t>2.2</w:t>
            </w:r>
          </w:p>
        </w:tc>
        <w:tc>
          <w:tcPr>
            <w:tcW w:w="423" w:type="pct"/>
            <w:noWrap/>
            <w:hideMark/>
          </w:tcPr>
          <w:p w14:paraId="4A087AA0" w14:textId="77777777" w:rsidR="00B96C5C" w:rsidRPr="00D96063" w:rsidRDefault="00B96C5C" w:rsidP="00765D22">
            <w:pPr>
              <w:jc w:val="right"/>
              <w:rPr>
                <w:rFonts w:cs="Calibri"/>
                <w:sz w:val="16"/>
                <w:szCs w:val="16"/>
              </w:rPr>
            </w:pPr>
            <w:r w:rsidRPr="00D96063">
              <w:rPr>
                <w:rFonts w:cs="Calibri"/>
                <w:sz w:val="16"/>
                <w:szCs w:val="16"/>
              </w:rPr>
              <w:t>2.7</w:t>
            </w:r>
          </w:p>
        </w:tc>
        <w:tc>
          <w:tcPr>
            <w:tcW w:w="425" w:type="pct"/>
            <w:noWrap/>
            <w:hideMark/>
          </w:tcPr>
          <w:p w14:paraId="42552EA8" w14:textId="77777777" w:rsidR="00B96C5C" w:rsidRPr="00D96063" w:rsidRDefault="00B96C5C" w:rsidP="00765D22">
            <w:pPr>
              <w:jc w:val="right"/>
              <w:rPr>
                <w:rFonts w:cs="Calibri"/>
                <w:sz w:val="16"/>
                <w:szCs w:val="16"/>
              </w:rPr>
            </w:pPr>
            <w:r w:rsidRPr="00D96063">
              <w:rPr>
                <w:rFonts w:cs="Calibri"/>
                <w:sz w:val="16"/>
                <w:szCs w:val="16"/>
              </w:rPr>
              <w:t>3.0</w:t>
            </w:r>
          </w:p>
        </w:tc>
      </w:tr>
      <w:tr w:rsidR="00B96C5C" w:rsidRPr="00D96063" w14:paraId="04A948F3"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5000" w:type="pct"/>
            <w:gridSpan w:val="8"/>
            <w:noWrap/>
            <w:hideMark/>
          </w:tcPr>
          <w:p w14:paraId="65E7B21F" w14:textId="77777777" w:rsidR="00B96C5C" w:rsidRPr="00D96063" w:rsidRDefault="00B96C5C" w:rsidP="00765D22">
            <w:pPr>
              <w:jc w:val="left"/>
              <w:rPr>
                <w:rFonts w:cs="Calibri"/>
                <w:b/>
                <w:bCs/>
                <w:sz w:val="16"/>
                <w:szCs w:val="16"/>
              </w:rPr>
            </w:pPr>
            <w:r w:rsidRPr="00D96063">
              <w:rPr>
                <w:rFonts w:cs="Calibri"/>
                <w:b/>
                <w:bCs/>
                <w:sz w:val="16"/>
                <w:szCs w:val="16"/>
              </w:rPr>
              <w:t>Real GDP growth by economic activity (at constant 2013 prices)</w:t>
            </w:r>
          </w:p>
        </w:tc>
      </w:tr>
      <w:tr w:rsidR="00B96C5C" w:rsidRPr="00D96063" w14:paraId="46F43B30" w14:textId="77777777" w:rsidTr="00765D22">
        <w:trPr>
          <w:trHeight w:val="240"/>
        </w:trPr>
        <w:tc>
          <w:tcPr>
            <w:tcW w:w="2040" w:type="pct"/>
            <w:noWrap/>
            <w:hideMark/>
          </w:tcPr>
          <w:p w14:paraId="6D604527" w14:textId="77777777" w:rsidR="00B96C5C" w:rsidRPr="00D96063" w:rsidRDefault="00B96C5C" w:rsidP="00765D22">
            <w:pPr>
              <w:jc w:val="left"/>
              <w:rPr>
                <w:rFonts w:cs="Calibri"/>
                <w:sz w:val="16"/>
                <w:szCs w:val="16"/>
              </w:rPr>
            </w:pPr>
            <w:r w:rsidRPr="00D96063">
              <w:rPr>
                <w:rFonts w:cs="Calibri"/>
                <w:sz w:val="16"/>
                <w:szCs w:val="16"/>
              </w:rPr>
              <w:t>Agriculture</w:t>
            </w:r>
          </w:p>
        </w:tc>
        <w:tc>
          <w:tcPr>
            <w:tcW w:w="420" w:type="pct"/>
            <w:noWrap/>
            <w:hideMark/>
          </w:tcPr>
          <w:p w14:paraId="2149CFD2" w14:textId="77777777" w:rsidR="00B96C5C" w:rsidRPr="00D96063" w:rsidRDefault="00B96C5C" w:rsidP="00765D22">
            <w:pPr>
              <w:jc w:val="right"/>
              <w:rPr>
                <w:rFonts w:cs="Calibri"/>
                <w:sz w:val="16"/>
                <w:szCs w:val="16"/>
              </w:rPr>
            </w:pPr>
            <w:r w:rsidRPr="00D96063">
              <w:rPr>
                <w:rFonts w:cs="Calibri"/>
                <w:sz w:val="16"/>
                <w:szCs w:val="16"/>
              </w:rPr>
              <w:t>0.9</w:t>
            </w:r>
          </w:p>
        </w:tc>
        <w:tc>
          <w:tcPr>
            <w:tcW w:w="423" w:type="pct"/>
            <w:noWrap/>
            <w:hideMark/>
          </w:tcPr>
          <w:p w14:paraId="27B67F6F" w14:textId="77777777" w:rsidR="00B96C5C" w:rsidRPr="00D96063" w:rsidRDefault="00B96C5C" w:rsidP="00765D22">
            <w:pPr>
              <w:jc w:val="right"/>
              <w:rPr>
                <w:rFonts w:cs="Calibri"/>
                <w:sz w:val="16"/>
                <w:szCs w:val="16"/>
              </w:rPr>
            </w:pPr>
            <w:r w:rsidRPr="00D96063">
              <w:rPr>
                <w:rFonts w:cs="Calibri"/>
                <w:sz w:val="16"/>
                <w:szCs w:val="16"/>
              </w:rPr>
              <w:t>2.1</w:t>
            </w:r>
          </w:p>
        </w:tc>
        <w:tc>
          <w:tcPr>
            <w:tcW w:w="423" w:type="pct"/>
            <w:noWrap/>
            <w:hideMark/>
          </w:tcPr>
          <w:p w14:paraId="1F439E7E" w14:textId="77777777" w:rsidR="00B96C5C" w:rsidRPr="00D96063" w:rsidRDefault="00B96C5C" w:rsidP="00765D22">
            <w:pPr>
              <w:jc w:val="right"/>
              <w:rPr>
                <w:rFonts w:cs="Calibri"/>
                <w:sz w:val="16"/>
                <w:szCs w:val="16"/>
              </w:rPr>
            </w:pPr>
            <w:r w:rsidRPr="00D96063">
              <w:rPr>
                <w:rFonts w:cs="Calibri"/>
                <w:sz w:val="16"/>
                <w:szCs w:val="16"/>
              </w:rPr>
              <w:t>2.7</w:t>
            </w:r>
          </w:p>
        </w:tc>
        <w:tc>
          <w:tcPr>
            <w:tcW w:w="423" w:type="pct"/>
            <w:noWrap/>
            <w:hideMark/>
          </w:tcPr>
          <w:p w14:paraId="00240119" w14:textId="77777777" w:rsidR="00B96C5C" w:rsidRPr="00D96063" w:rsidRDefault="00B96C5C" w:rsidP="00765D22">
            <w:pPr>
              <w:jc w:val="right"/>
              <w:rPr>
                <w:rFonts w:cs="Calibri"/>
                <w:sz w:val="16"/>
                <w:szCs w:val="16"/>
              </w:rPr>
            </w:pPr>
            <w:r w:rsidRPr="00D96063">
              <w:rPr>
                <w:rFonts w:cs="Calibri"/>
                <w:sz w:val="16"/>
                <w:szCs w:val="16"/>
              </w:rPr>
              <w:t>6.2</w:t>
            </w:r>
          </w:p>
        </w:tc>
        <w:tc>
          <w:tcPr>
            <w:tcW w:w="423" w:type="pct"/>
            <w:noWrap/>
            <w:hideMark/>
          </w:tcPr>
          <w:p w14:paraId="004ACDD7" w14:textId="77777777" w:rsidR="00B96C5C" w:rsidRPr="00D96063" w:rsidRDefault="00B96C5C" w:rsidP="00765D22">
            <w:pPr>
              <w:jc w:val="right"/>
              <w:rPr>
                <w:rFonts w:cs="Calibri"/>
                <w:sz w:val="16"/>
                <w:szCs w:val="16"/>
              </w:rPr>
            </w:pPr>
            <w:r w:rsidRPr="00D96063">
              <w:rPr>
                <w:rFonts w:cs="Calibri"/>
                <w:sz w:val="16"/>
                <w:szCs w:val="16"/>
              </w:rPr>
              <w:t>4.9</w:t>
            </w:r>
          </w:p>
        </w:tc>
        <w:tc>
          <w:tcPr>
            <w:tcW w:w="423" w:type="pct"/>
            <w:noWrap/>
            <w:hideMark/>
          </w:tcPr>
          <w:p w14:paraId="50C75599" w14:textId="77777777" w:rsidR="00B96C5C" w:rsidRPr="00D96063" w:rsidRDefault="00B96C5C" w:rsidP="00765D22">
            <w:pPr>
              <w:jc w:val="right"/>
              <w:rPr>
                <w:rFonts w:cs="Calibri"/>
                <w:sz w:val="16"/>
                <w:szCs w:val="16"/>
              </w:rPr>
            </w:pPr>
            <w:r w:rsidRPr="00D96063">
              <w:rPr>
                <w:rFonts w:cs="Calibri"/>
                <w:sz w:val="16"/>
                <w:szCs w:val="16"/>
              </w:rPr>
              <w:t>4.7</w:t>
            </w:r>
          </w:p>
        </w:tc>
        <w:tc>
          <w:tcPr>
            <w:tcW w:w="425" w:type="pct"/>
            <w:noWrap/>
            <w:hideMark/>
          </w:tcPr>
          <w:p w14:paraId="0A2BA20B" w14:textId="77777777" w:rsidR="00B96C5C" w:rsidRPr="00D96063" w:rsidRDefault="00B96C5C" w:rsidP="00765D22">
            <w:pPr>
              <w:jc w:val="right"/>
              <w:rPr>
                <w:rFonts w:cs="Calibri"/>
                <w:sz w:val="16"/>
                <w:szCs w:val="16"/>
              </w:rPr>
            </w:pPr>
            <w:r w:rsidRPr="00D96063">
              <w:rPr>
                <w:rFonts w:cs="Calibri"/>
                <w:sz w:val="16"/>
                <w:szCs w:val="16"/>
              </w:rPr>
              <w:t>7.4</w:t>
            </w:r>
          </w:p>
        </w:tc>
      </w:tr>
      <w:tr w:rsidR="00B96C5C" w:rsidRPr="00D96063" w14:paraId="53A0FE34"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228F8D4F" w14:textId="77777777" w:rsidR="00B96C5C" w:rsidRPr="00D96063" w:rsidRDefault="00B96C5C" w:rsidP="00765D22">
            <w:pPr>
              <w:ind w:left="284" w:hanging="284"/>
              <w:jc w:val="left"/>
              <w:rPr>
                <w:rFonts w:cs="Calibri"/>
                <w:sz w:val="16"/>
                <w:szCs w:val="16"/>
              </w:rPr>
            </w:pPr>
            <w:r w:rsidRPr="00D96063">
              <w:rPr>
                <w:rFonts w:cs="Calibri"/>
                <w:sz w:val="16"/>
                <w:szCs w:val="16"/>
              </w:rPr>
              <w:tab/>
              <w:t>Crops</w:t>
            </w:r>
          </w:p>
        </w:tc>
        <w:tc>
          <w:tcPr>
            <w:tcW w:w="420" w:type="pct"/>
            <w:noWrap/>
            <w:hideMark/>
          </w:tcPr>
          <w:p w14:paraId="782CE69D" w14:textId="77777777" w:rsidR="00B96C5C" w:rsidRPr="00D96063" w:rsidRDefault="00B96C5C" w:rsidP="00765D22">
            <w:pPr>
              <w:jc w:val="right"/>
              <w:rPr>
                <w:rFonts w:cs="Calibri"/>
                <w:sz w:val="16"/>
                <w:szCs w:val="16"/>
              </w:rPr>
            </w:pPr>
            <w:r w:rsidRPr="00D96063">
              <w:rPr>
                <w:rFonts w:cs="Calibri"/>
                <w:sz w:val="16"/>
                <w:szCs w:val="16"/>
              </w:rPr>
              <w:t>2.8</w:t>
            </w:r>
          </w:p>
        </w:tc>
        <w:tc>
          <w:tcPr>
            <w:tcW w:w="423" w:type="pct"/>
            <w:noWrap/>
            <w:hideMark/>
          </w:tcPr>
          <w:p w14:paraId="6D9809D9" w14:textId="77777777" w:rsidR="00B96C5C" w:rsidRPr="00D96063" w:rsidRDefault="00B96C5C" w:rsidP="00765D22">
            <w:pPr>
              <w:jc w:val="right"/>
              <w:rPr>
                <w:rFonts w:cs="Calibri"/>
                <w:sz w:val="16"/>
                <w:szCs w:val="16"/>
              </w:rPr>
            </w:pPr>
            <w:r w:rsidRPr="00D96063">
              <w:rPr>
                <w:rFonts w:cs="Calibri"/>
                <w:sz w:val="16"/>
                <w:szCs w:val="16"/>
              </w:rPr>
              <w:t>1.7</w:t>
            </w:r>
          </w:p>
        </w:tc>
        <w:tc>
          <w:tcPr>
            <w:tcW w:w="423" w:type="pct"/>
            <w:noWrap/>
            <w:hideMark/>
          </w:tcPr>
          <w:p w14:paraId="7CBEAA90" w14:textId="77777777" w:rsidR="00B96C5C" w:rsidRPr="00D96063" w:rsidRDefault="00B96C5C" w:rsidP="00765D22">
            <w:pPr>
              <w:jc w:val="right"/>
              <w:rPr>
                <w:rFonts w:cs="Calibri"/>
                <w:sz w:val="16"/>
                <w:szCs w:val="16"/>
              </w:rPr>
            </w:pPr>
            <w:r w:rsidRPr="00D96063">
              <w:rPr>
                <w:rFonts w:cs="Calibri"/>
                <w:sz w:val="16"/>
                <w:szCs w:val="16"/>
              </w:rPr>
              <w:t>2.2</w:t>
            </w:r>
          </w:p>
        </w:tc>
        <w:tc>
          <w:tcPr>
            <w:tcW w:w="423" w:type="pct"/>
            <w:noWrap/>
            <w:hideMark/>
          </w:tcPr>
          <w:p w14:paraId="39A24355" w14:textId="77777777" w:rsidR="00B96C5C" w:rsidRPr="00D96063" w:rsidRDefault="00B96C5C" w:rsidP="00765D22">
            <w:pPr>
              <w:jc w:val="right"/>
              <w:rPr>
                <w:rFonts w:cs="Calibri"/>
                <w:sz w:val="16"/>
                <w:szCs w:val="16"/>
              </w:rPr>
            </w:pPr>
            <w:r w:rsidRPr="00D96063">
              <w:rPr>
                <w:rFonts w:cs="Calibri"/>
                <w:sz w:val="16"/>
                <w:szCs w:val="16"/>
              </w:rPr>
              <w:t>7.2</w:t>
            </w:r>
          </w:p>
        </w:tc>
        <w:tc>
          <w:tcPr>
            <w:tcW w:w="423" w:type="pct"/>
            <w:noWrap/>
            <w:hideMark/>
          </w:tcPr>
          <w:p w14:paraId="20FDF8CF" w14:textId="77777777" w:rsidR="00B96C5C" w:rsidRPr="00D96063" w:rsidRDefault="00B96C5C" w:rsidP="00765D22">
            <w:pPr>
              <w:jc w:val="right"/>
              <w:rPr>
                <w:rFonts w:cs="Calibri"/>
                <w:sz w:val="16"/>
                <w:szCs w:val="16"/>
              </w:rPr>
            </w:pPr>
            <w:r w:rsidRPr="00D96063">
              <w:rPr>
                <w:rFonts w:cs="Calibri"/>
                <w:sz w:val="16"/>
                <w:szCs w:val="16"/>
              </w:rPr>
              <w:t>5.8</w:t>
            </w:r>
          </w:p>
        </w:tc>
        <w:tc>
          <w:tcPr>
            <w:tcW w:w="423" w:type="pct"/>
            <w:noWrap/>
            <w:hideMark/>
          </w:tcPr>
          <w:p w14:paraId="4A3EEA60" w14:textId="77777777" w:rsidR="00B96C5C" w:rsidRPr="00D96063" w:rsidRDefault="00B96C5C" w:rsidP="00765D22">
            <w:pPr>
              <w:jc w:val="right"/>
              <w:rPr>
                <w:rFonts w:cs="Calibri"/>
                <w:sz w:val="16"/>
                <w:szCs w:val="16"/>
              </w:rPr>
            </w:pPr>
            <w:r w:rsidRPr="00D96063">
              <w:rPr>
                <w:rFonts w:cs="Calibri"/>
                <w:sz w:val="16"/>
                <w:szCs w:val="16"/>
              </w:rPr>
              <w:t>5.3</w:t>
            </w:r>
          </w:p>
        </w:tc>
        <w:tc>
          <w:tcPr>
            <w:tcW w:w="425" w:type="pct"/>
            <w:noWrap/>
            <w:hideMark/>
          </w:tcPr>
          <w:p w14:paraId="6AB24229" w14:textId="77777777" w:rsidR="00B96C5C" w:rsidRPr="00D96063" w:rsidRDefault="00B96C5C" w:rsidP="00765D22">
            <w:pPr>
              <w:jc w:val="right"/>
              <w:rPr>
                <w:rFonts w:cs="Calibri"/>
                <w:sz w:val="16"/>
                <w:szCs w:val="16"/>
              </w:rPr>
            </w:pPr>
            <w:r w:rsidRPr="00D96063">
              <w:rPr>
                <w:rFonts w:cs="Calibri"/>
                <w:sz w:val="16"/>
                <w:szCs w:val="16"/>
              </w:rPr>
              <w:t>8.7</w:t>
            </w:r>
          </w:p>
        </w:tc>
      </w:tr>
      <w:tr w:rsidR="00B96C5C" w:rsidRPr="00D96063" w14:paraId="46B58AF5" w14:textId="77777777" w:rsidTr="00765D22">
        <w:trPr>
          <w:trHeight w:val="240"/>
        </w:trPr>
        <w:tc>
          <w:tcPr>
            <w:tcW w:w="2040" w:type="pct"/>
            <w:noWrap/>
            <w:hideMark/>
          </w:tcPr>
          <w:p w14:paraId="6244EC87" w14:textId="77777777" w:rsidR="00B96C5C" w:rsidRPr="00D96063" w:rsidRDefault="00B96C5C" w:rsidP="00765D22">
            <w:pPr>
              <w:jc w:val="left"/>
              <w:rPr>
                <w:rFonts w:cs="Calibri"/>
                <w:i/>
                <w:iCs/>
                <w:sz w:val="16"/>
                <w:szCs w:val="16"/>
              </w:rPr>
            </w:pPr>
            <w:r w:rsidRPr="00D96063">
              <w:rPr>
                <w:rFonts w:cs="Calibri"/>
                <w:i/>
                <w:iCs/>
                <w:sz w:val="16"/>
                <w:szCs w:val="16"/>
              </w:rPr>
              <w:tab/>
              <w:t>of which: cocoa</w:t>
            </w:r>
          </w:p>
        </w:tc>
        <w:tc>
          <w:tcPr>
            <w:tcW w:w="420" w:type="pct"/>
            <w:noWrap/>
            <w:hideMark/>
          </w:tcPr>
          <w:p w14:paraId="0932D681" w14:textId="77777777" w:rsidR="00B96C5C" w:rsidRPr="00D96063" w:rsidRDefault="00B96C5C" w:rsidP="00765D22">
            <w:pPr>
              <w:jc w:val="right"/>
              <w:rPr>
                <w:rFonts w:cs="Calibri"/>
                <w:sz w:val="16"/>
                <w:szCs w:val="16"/>
              </w:rPr>
            </w:pPr>
            <w:r w:rsidRPr="00D96063">
              <w:rPr>
                <w:rFonts w:cs="Calibri"/>
                <w:sz w:val="16"/>
                <w:szCs w:val="16"/>
              </w:rPr>
              <w:t>4.3</w:t>
            </w:r>
          </w:p>
        </w:tc>
        <w:tc>
          <w:tcPr>
            <w:tcW w:w="423" w:type="pct"/>
            <w:noWrap/>
            <w:hideMark/>
          </w:tcPr>
          <w:p w14:paraId="7E5BD612" w14:textId="77777777" w:rsidR="00B96C5C" w:rsidRPr="00D96063" w:rsidRDefault="00B96C5C" w:rsidP="00765D22">
            <w:pPr>
              <w:jc w:val="right"/>
              <w:rPr>
                <w:rFonts w:cs="Calibri"/>
                <w:sz w:val="16"/>
                <w:szCs w:val="16"/>
              </w:rPr>
            </w:pPr>
            <w:r w:rsidRPr="00D96063">
              <w:rPr>
                <w:rFonts w:cs="Calibri"/>
                <w:sz w:val="16"/>
                <w:szCs w:val="16"/>
              </w:rPr>
              <w:t>-8.0</w:t>
            </w:r>
          </w:p>
        </w:tc>
        <w:tc>
          <w:tcPr>
            <w:tcW w:w="423" w:type="pct"/>
            <w:noWrap/>
            <w:hideMark/>
          </w:tcPr>
          <w:p w14:paraId="24306E1F" w14:textId="77777777" w:rsidR="00B96C5C" w:rsidRPr="00D96063" w:rsidRDefault="00B96C5C" w:rsidP="00765D22">
            <w:pPr>
              <w:jc w:val="right"/>
              <w:rPr>
                <w:rFonts w:cs="Calibri"/>
                <w:sz w:val="16"/>
                <w:szCs w:val="16"/>
              </w:rPr>
            </w:pPr>
            <w:r w:rsidRPr="00D96063">
              <w:rPr>
                <w:rFonts w:cs="Calibri"/>
                <w:sz w:val="16"/>
                <w:szCs w:val="16"/>
              </w:rPr>
              <w:t>-7.0</w:t>
            </w:r>
          </w:p>
        </w:tc>
        <w:tc>
          <w:tcPr>
            <w:tcW w:w="423" w:type="pct"/>
            <w:noWrap/>
            <w:hideMark/>
          </w:tcPr>
          <w:p w14:paraId="70FD5F38" w14:textId="77777777" w:rsidR="00B96C5C" w:rsidRPr="00D96063" w:rsidRDefault="00B96C5C" w:rsidP="00765D22">
            <w:pPr>
              <w:jc w:val="right"/>
              <w:rPr>
                <w:rFonts w:cs="Calibri"/>
                <w:sz w:val="16"/>
                <w:szCs w:val="16"/>
              </w:rPr>
            </w:pPr>
            <w:r w:rsidRPr="00D96063">
              <w:rPr>
                <w:rFonts w:cs="Calibri"/>
                <w:sz w:val="16"/>
                <w:szCs w:val="16"/>
              </w:rPr>
              <w:t>9.2</w:t>
            </w:r>
          </w:p>
        </w:tc>
        <w:tc>
          <w:tcPr>
            <w:tcW w:w="423" w:type="pct"/>
            <w:noWrap/>
            <w:hideMark/>
          </w:tcPr>
          <w:p w14:paraId="433ADDE1" w14:textId="77777777" w:rsidR="00B96C5C" w:rsidRPr="00D96063" w:rsidRDefault="00B96C5C" w:rsidP="00765D22">
            <w:pPr>
              <w:jc w:val="right"/>
              <w:rPr>
                <w:rFonts w:cs="Calibri"/>
                <w:sz w:val="16"/>
                <w:szCs w:val="16"/>
              </w:rPr>
            </w:pPr>
            <w:r w:rsidRPr="00D96063">
              <w:rPr>
                <w:rFonts w:cs="Calibri"/>
                <w:sz w:val="16"/>
                <w:szCs w:val="16"/>
              </w:rPr>
              <w:t>3.7</w:t>
            </w:r>
          </w:p>
        </w:tc>
        <w:tc>
          <w:tcPr>
            <w:tcW w:w="423" w:type="pct"/>
            <w:noWrap/>
            <w:hideMark/>
          </w:tcPr>
          <w:p w14:paraId="445EE85D" w14:textId="77777777" w:rsidR="00B96C5C" w:rsidRPr="00D96063" w:rsidRDefault="00B96C5C" w:rsidP="00765D22">
            <w:pPr>
              <w:jc w:val="right"/>
              <w:rPr>
                <w:rFonts w:cs="Calibri"/>
                <w:sz w:val="16"/>
                <w:szCs w:val="16"/>
              </w:rPr>
            </w:pPr>
            <w:r w:rsidRPr="00D96063">
              <w:rPr>
                <w:rFonts w:cs="Calibri"/>
                <w:sz w:val="16"/>
                <w:szCs w:val="16"/>
              </w:rPr>
              <w:t>5.4</w:t>
            </w:r>
          </w:p>
        </w:tc>
        <w:tc>
          <w:tcPr>
            <w:tcW w:w="425" w:type="pct"/>
            <w:noWrap/>
            <w:hideMark/>
          </w:tcPr>
          <w:p w14:paraId="080519A5" w14:textId="77777777" w:rsidR="00B96C5C" w:rsidRPr="00D96063" w:rsidRDefault="00B96C5C" w:rsidP="00765D22">
            <w:pPr>
              <w:jc w:val="right"/>
              <w:rPr>
                <w:rFonts w:cs="Calibri"/>
                <w:sz w:val="16"/>
                <w:szCs w:val="16"/>
              </w:rPr>
            </w:pPr>
            <w:r w:rsidRPr="00D96063">
              <w:rPr>
                <w:rFonts w:cs="Calibri"/>
                <w:sz w:val="16"/>
                <w:szCs w:val="16"/>
              </w:rPr>
              <w:t>1.9</w:t>
            </w:r>
          </w:p>
        </w:tc>
      </w:tr>
      <w:tr w:rsidR="00B96C5C" w:rsidRPr="00D96063" w14:paraId="3689707D"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3DA0C5CD" w14:textId="77777777" w:rsidR="00B96C5C" w:rsidRPr="00D96063" w:rsidRDefault="00B96C5C" w:rsidP="00765D22">
            <w:pPr>
              <w:ind w:left="284" w:hanging="284"/>
              <w:jc w:val="left"/>
              <w:rPr>
                <w:rFonts w:cs="Calibri"/>
                <w:sz w:val="16"/>
                <w:szCs w:val="16"/>
              </w:rPr>
            </w:pPr>
            <w:r w:rsidRPr="00D96063">
              <w:rPr>
                <w:rFonts w:cs="Calibri"/>
                <w:sz w:val="16"/>
                <w:szCs w:val="16"/>
              </w:rPr>
              <w:tab/>
              <w:t>Livestock</w:t>
            </w:r>
          </w:p>
        </w:tc>
        <w:tc>
          <w:tcPr>
            <w:tcW w:w="420" w:type="pct"/>
            <w:noWrap/>
            <w:hideMark/>
          </w:tcPr>
          <w:p w14:paraId="5BD1196B" w14:textId="77777777" w:rsidR="00B96C5C" w:rsidRPr="00D96063" w:rsidRDefault="00B96C5C" w:rsidP="00765D22">
            <w:pPr>
              <w:jc w:val="right"/>
              <w:rPr>
                <w:rFonts w:cs="Calibri"/>
                <w:sz w:val="16"/>
                <w:szCs w:val="16"/>
              </w:rPr>
            </w:pPr>
            <w:r w:rsidRPr="00D96063">
              <w:rPr>
                <w:rFonts w:cs="Calibri"/>
                <w:sz w:val="16"/>
                <w:szCs w:val="16"/>
              </w:rPr>
              <w:t>5.1</w:t>
            </w:r>
          </w:p>
        </w:tc>
        <w:tc>
          <w:tcPr>
            <w:tcW w:w="423" w:type="pct"/>
            <w:noWrap/>
            <w:hideMark/>
          </w:tcPr>
          <w:p w14:paraId="7FC916CD" w14:textId="77777777" w:rsidR="00B96C5C" w:rsidRPr="00D96063" w:rsidRDefault="00B96C5C" w:rsidP="00765D22">
            <w:pPr>
              <w:jc w:val="right"/>
              <w:rPr>
                <w:rFonts w:cs="Calibri"/>
                <w:sz w:val="16"/>
                <w:szCs w:val="16"/>
              </w:rPr>
            </w:pPr>
            <w:r w:rsidRPr="00D96063">
              <w:rPr>
                <w:rFonts w:cs="Calibri"/>
                <w:sz w:val="16"/>
                <w:szCs w:val="16"/>
              </w:rPr>
              <w:t>5.2</w:t>
            </w:r>
          </w:p>
        </w:tc>
        <w:tc>
          <w:tcPr>
            <w:tcW w:w="423" w:type="pct"/>
            <w:noWrap/>
            <w:hideMark/>
          </w:tcPr>
          <w:p w14:paraId="607CBD1E" w14:textId="77777777" w:rsidR="00B96C5C" w:rsidRPr="00D96063" w:rsidRDefault="00B96C5C" w:rsidP="00765D22">
            <w:pPr>
              <w:jc w:val="right"/>
              <w:rPr>
                <w:rFonts w:cs="Calibri"/>
                <w:sz w:val="16"/>
                <w:szCs w:val="16"/>
              </w:rPr>
            </w:pPr>
            <w:r w:rsidRPr="00D96063">
              <w:rPr>
                <w:rFonts w:cs="Calibri"/>
                <w:sz w:val="16"/>
                <w:szCs w:val="16"/>
              </w:rPr>
              <w:t>5.4</w:t>
            </w:r>
          </w:p>
        </w:tc>
        <w:tc>
          <w:tcPr>
            <w:tcW w:w="423" w:type="pct"/>
            <w:noWrap/>
            <w:hideMark/>
          </w:tcPr>
          <w:p w14:paraId="2C701179" w14:textId="77777777" w:rsidR="00B96C5C" w:rsidRPr="00D96063" w:rsidRDefault="00B96C5C" w:rsidP="00765D22">
            <w:pPr>
              <w:jc w:val="right"/>
              <w:rPr>
                <w:rFonts w:cs="Calibri"/>
                <w:sz w:val="16"/>
                <w:szCs w:val="16"/>
              </w:rPr>
            </w:pPr>
            <w:r w:rsidRPr="00D96063">
              <w:rPr>
                <w:rFonts w:cs="Calibri"/>
                <w:sz w:val="16"/>
                <w:szCs w:val="16"/>
              </w:rPr>
              <w:t>5.7</w:t>
            </w:r>
          </w:p>
        </w:tc>
        <w:tc>
          <w:tcPr>
            <w:tcW w:w="423" w:type="pct"/>
            <w:noWrap/>
            <w:hideMark/>
          </w:tcPr>
          <w:p w14:paraId="625B262C" w14:textId="77777777" w:rsidR="00B96C5C" w:rsidRPr="00D96063" w:rsidRDefault="00B96C5C" w:rsidP="00765D22">
            <w:pPr>
              <w:jc w:val="right"/>
              <w:rPr>
                <w:rFonts w:cs="Calibri"/>
                <w:sz w:val="16"/>
                <w:szCs w:val="16"/>
              </w:rPr>
            </w:pPr>
            <w:r w:rsidRPr="00D96063">
              <w:rPr>
                <w:rFonts w:cs="Calibri"/>
                <w:sz w:val="16"/>
                <w:szCs w:val="16"/>
              </w:rPr>
              <w:t>5.4</w:t>
            </w:r>
          </w:p>
        </w:tc>
        <w:tc>
          <w:tcPr>
            <w:tcW w:w="423" w:type="pct"/>
            <w:noWrap/>
            <w:hideMark/>
          </w:tcPr>
          <w:p w14:paraId="5DD4504E" w14:textId="77777777" w:rsidR="00B96C5C" w:rsidRPr="00D96063" w:rsidRDefault="00B96C5C" w:rsidP="00765D22">
            <w:pPr>
              <w:jc w:val="right"/>
              <w:rPr>
                <w:rFonts w:cs="Calibri"/>
                <w:sz w:val="16"/>
                <w:szCs w:val="16"/>
              </w:rPr>
            </w:pPr>
            <w:r w:rsidRPr="00D96063">
              <w:rPr>
                <w:rFonts w:cs="Calibri"/>
                <w:sz w:val="16"/>
                <w:szCs w:val="16"/>
              </w:rPr>
              <w:t>5.4</w:t>
            </w:r>
          </w:p>
        </w:tc>
        <w:tc>
          <w:tcPr>
            <w:tcW w:w="425" w:type="pct"/>
            <w:noWrap/>
            <w:hideMark/>
          </w:tcPr>
          <w:p w14:paraId="3519B6E0" w14:textId="77777777" w:rsidR="00B96C5C" w:rsidRPr="00D96063" w:rsidRDefault="00B96C5C" w:rsidP="00765D22">
            <w:pPr>
              <w:jc w:val="right"/>
              <w:rPr>
                <w:rFonts w:cs="Calibri"/>
                <w:sz w:val="16"/>
                <w:szCs w:val="16"/>
              </w:rPr>
            </w:pPr>
            <w:r w:rsidRPr="00D96063">
              <w:rPr>
                <w:rFonts w:cs="Calibri"/>
                <w:sz w:val="16"/>
                <w:szCs w:val="16"/>
              </w:rPr>
              <w:t>5.4</w:t>
            </w:r>
          </w:p>
        </w:tc>
      </w:tr>
      <w:tr w:rsidR="00B96C5C" w:rsidRPr="00D96063" w14:paraId="5DD2ED88" w14:textId="77777777" w:rsidTr="00765D22">
        <w:trPr>
          <w:trHeight w:val="240"/>
        </w:trPr>
        <w:tc>
          <w:tcPr>
            <w:tcW w:w="2040" w:type="pct"/>
            <w:noWrap/>
            <w:hideMark/>
          </w:tcPr>
          <w:p w14:paraId="51AD3F54" w14:textId="77777777" w:rsidR="00B96C5C" w:rsidRPr="00D96063" w:rsidRDefault="00B96C5C" w:rsidP="00765D22">
            <w:pPr>
              <w:ind w:left="284" w:hanging="284"/>
              <w:jc w:val="left"/>
              <w:rPr>
                <w:rFonts w:cs="Calibri"/>
                <w:sz w:val="16"/>
                <w:szCs w:val="16"/>
              </w:rPr>
            </w:pPr>
            <w:r w:rsidRPr="00D96063">
              <w:rPr>
                <w:rFonts w:cs="Calibri"/>
                <w:sz w:val="16"/>
                <w:szCs w:val="16"/>
              </w:rPr>
              <w:tab/>
              <w:t>Forestry and logging</w:t>
            </w:r>
          </w:p>
        </w:tc>
        <w:tc>
          <w:tcPr>
            <w:tcW w:w="420" w:type="pct"/>
            <w:noWrap/>
            <w:hideMark/>
          </w:tcPr>
          <w:p w14:paraId="7E636423" w14:textId="77777777" w:rsidR="00B96C5C" w:rsidRPr="00D96063" w:rsidRDefault="00B96C5C" w:rsidP="00765D22">
            <w:pPr>
              <w:jc w:val="right"/>
              <w:rPr>
                <w:rFonts w:cs="Calibri"/>
                <w:sz w:val="16"/>
                <w:szCs w:val="16"/>
              </w:rPr>
            </w:pPr>
            <w:r w:rsidRPr="00D96063">
              <w:rPr>
                <w:rFonts w:cs="Calibri"/>
                <w:sz w:val="16"/>
                <w:szCs w:val="16"/>
              </w:rPr>
              <w:t>-1.5</w:t>
            </w:r>
          </w:p>
        </w:tc>
        <w:tc>
          <w:tcPr>
            <w:tcW w:w="423" w:type="pct"/>
            <w:noWrap/>
            <w:hideMark/>
          </w:tcPr>
          <w:p w14:paraId="46057EC3" w14:textId="77777777" w:rsidR="00B96C5C" w:rsidRPr="00D96063" w:rsidRDefault="00B96C5C" w:rsidP="00765D22">
            <w:pPr>
              <w:jc w:val="right"/>
              <w:rPr>
                <w:rFonts w:cs="Calibri"/>
                <w:sz w:val="16"/>
                <w:szCs w:val="16"/>
              </w:rPr>
            </w:pPr>
            <w:r w:rsidRPr="00D96063">
              <w:rPr>
                <w:rFonts w:cs="Calibri"/>
                <w:sz w:val="16"/>
                <w:szCs w:val="16"/>
              </w:rPr>
              <w:t>-3.9</w:t>
            </w:r>
          </w:p>
        </w:tc>
        <w:tc>
          <w:tcPr>
            <w:tcW w:w="423" w:type="pct"/>
            <w:noWrap/>
            <w:hideMark/>
          </w:tcPr>
          <w:p w14:paraId="5BDCD5FB" w14:textId="77777777" w:rsidR="00B96C5C" w:rsidRPr="00D96063" w:rsidRDefault="00B96C5C" w:rsidP="00765D22">
            <w:pPr>
              <w:jc w:val="right"/>
              <w:rPr>
                <w:rFonts w:cs="Calibri"/>
                <w:sz w:val="16"/>
                <w:szCs w:val="16"/>
              </w:rPr>
            </w:pPr>
            <w:r w:rsidRPr="00D96063">
              <w:rPr>
                <w:rFonts w:cs="Calibri"/>
                <w:sz w:val="16"/>
                <w:szCs w:val="16"/>
              </w:rPr>
              <w:t>2.9</w:t>
            </w:r>
          </w:p>
        </w:tc>
        <w:tc>
          <w:tcPr>
            <w:tcW w:w="423" w:type="pct"/>
            <w:noWrap/>
            <w:hideMark/>
          </w:tcPr>
          <w:p w14:paraId="4209E18A" w14:textId="77777777" w:rsidR="00B96C5C" w:rsidRPr="00D96063" w:rsidRDefault="00B96C5C" w:rsidP="00765D22">
            <w:pPr>
              <w:jc w:val="right"/>
              <w:rPr>
                <w:rFonts w:cs="Calibri"/>
                <w:sz w:val="16"/>
                <w:szCs w:val="16"/>
              </w:rPr>
            </w:pPr>
            <w:r w:rsidRPr="00D96063">
              <w:rPr>
                <w:rFonts w:cs="Calibri"/>
                <w:sz w:val="16"/>
                <w:szCs w:val="16"/>
              </w:rPr>
              <w:t>3.4</w:t>
            </w:r>
          </w:p>
        </w:tc>
        <w:tc>
          <w:tcPr>
            <w:tcW w:w="423" w:type="pct"/>
            <w:noWrap/>
            <w:hideMark/>
          </w:tcPr>
          <w:p w14:paraId="101E3F6E" w14:textId="77777777" w:rsidR="00B96C5C" w:rsidRPr="00D96063" w:rsidRDefault="00B96C5C" w:rsidP="00765D22">
            <w:pPr>
              <w:jc w:val="right"/>
              <w:rPr>
                <w:rFonts w:cs="Calibri"/>
                <w:sz w:val="16"/>
                <w:szCs w:val="16"/>
              </w:rPr>
            </w:pPr>
            <w:r w:rsidRPr="00D96063">
              <w:rPr>
                <w:rFonts w:cs="Calibri"/>
                <w:sz w:val="16"/>
                <w:szCs w:val="16"/>
              </w:rPr>
              <w:t>2.4</w:t>
            </w:r>
          </w:p>
        </w:tc>
        <w:tc>
          <w:tcPr>
            <w:tcW w:w="423" w:type="pct"/>
            <w:noWrap/>
            <w:hideMark/>
          </w:tcPr>
          <w:p w14:paraId="73741FB2" w14:textId="77777777" w:rsidR="00B96C5C" w:rsidRPr="00D96063" w:rsidRDefault="00B96C5C" w:rsidP="00765D22">
            <w:pPr>
              <w:jc w:val="right"/>
              <w:rPr>
                <w:rFonts w:cs="Calibri"/>
                <w:sz w:val="16"/>
                <w:szCs w:val="16"/>
              </w:rPr>
            </w:pPr>
            <w:r w:rsidRPr="00D96063">
              <w:rPr>
                <w:rFonts w:cs="Calibri"/>
                <w:sz w:val="16"/>
                <w:szCs w:val="16"/>
              </w:rPr>
              <w:t>-1.7</w:t>
            </w:r>
          </w:p>
        </w:tc>
        <w:tc>
          <w:tcPr>
            <w:tcW w:w="425" w:type="pct"/>
            <w:noWrap/>
            <w:hideMark/>
          </w:tcPr>
          <w:p w14:paraId="48F0ED78" w14:textId="77777777" w:rsidR="00B96C5C" w:rsidRPr="00D96063" w:rsidRDefault="00B96C5C" w:rsidP="00765D22">
            <w:pPr>
              <w:jc w:val="right"/>
              <w:rPr>
                <w:rFonts w:cs="Calibri"/>
                <w:sz w:val="16"/>
                <w:szCs w:val="16"/>
              </w:rPr>
            </w:pPr>
            <w:r w:rsidRPr="00D96063">
              <w:rPr>
                <w:rFonts w:cs="Calibri"/>
                <w:sz w:val="16"/>
                <w:szCs w:val="16"/>
              </w:rPr>
              <w:t>-9.2</w:t>
            </w:r>
          </w:p>
        </w:tc>
      </w:tr>
      <w:tr w:rsidR="00B96C5C" w:rsidRPr="00D96063" w14:paraId="517AD353"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7FEF6B8B" w14:textId="77777777" w:rsidR="00B96C5C" w:rsidRPr="00D96063" w:rsidRDefault="00B96C5C" w:rsidP="00765D22">
            <w:pPr>
              <w:ind w:left="284" w:hanging="284"/>
              <w:jc w:val="left"/>
              <w:rPr>
                <w:rFonts w:cs="Calibri"/>
                <w:sz w:val="16"/>
                <w:szCs w:val="16"/>
              </w:rPr>
            </w:pPr>
            <w:r w:rsidRPr="00D96063">
              <w:rPr>
                <w:rFonts w:cs="Calibri"/>
                <w:sz w:val="16"/>
                <w:szCs w:val="16"/>
              </w:rPr>
              <w:tab/>
              <w:t>Fishing</w:t>
            </w:r>
          </w:p>
        </w:tc>
        <w:tc>
          <w:tcPr>
            <w:tcW w:w="420" w:type="pct"/>
            <w:noWrap/>
            <w:hideMark/>
          </w:tcPr>
          <w:p w14:paraId="1EFDBE57" w14:textId="77777777" w:rsidR="00B96C5C" w:rsidRPr="00D96063" w:rsidRDefault="00B96C5C" w:rsidP="00765D22">
            <w:pPr>
              <w:jc w:val="right"/>
              <w:rPr>
                <w:rFonts w:cs="Calibri"/>
                <w:sz w:val="16"/>
                <w:szCs w:val="16"/>
              </w:rPr>
            </w:pPr>
            <w:r w:rsidRPr="00D96063">
              <w:rPr>
                <w:rFonts w:cs="Calibri"/>
                <w:sz w:val="16"/>
                <w:szCs w:val="16"/>
              </w:rPr>
              <w:t>-23.3</w:t>
            </w:r>
          </w:p>
        </w:tc>
        <w:tc>
          <w:tcPr>
            <w:tcW w:w="423" w:type="pct"/>
            <w:noWrap/>
            <w:hideMark/>
          </w:tcPr>
          <w:p w14:paraId="077BD96A" w14:textId="77777777" w:rsidR="00B96C5C" w:rsidRPr="00D96063" w:rsidRDefault="00B96C5C" w:rsidP="00765D22">
            <w:pPr>
              <w:jc w:val="right"/>
              <w:rPr>
                <w:rFonts w:cs="Calibri"/>
                <w:sz w:val="16"/>
                <w:szCs w:val="16"/>
              </w:rPr>
            </w:pPr>
            <w:r w:rsidRPr="00D96063">
              <w:rPr>
                <w:rFonts w:cs="Calibri"/>
                <w:sz w:val="16"/>
                <w:szCs w:val="16"/>
              </w:rPr>
              <w:t>8.5</w:t>
            </w:r>
          </w:p>
        </w:tc>
        <w:tc>
          <w:tcPr>
            <w:tcW w:w="423" w:type="pct"/>
            <w:noWrap/>
            <w:hideMark/>
          </w:tcPr>
          <w:p w14:paraId="355067C3" w14:textId="77777777" w:rsidR="00B96C5C" w:rsidRPr="00D96063" w:rsidRDefault="00B96C5C" w:rsidP="00765D22">
            <w:pPr>
              <w:jc w:val="right"/>
              <w:rPr>
                <w:rFonts w:cs="Calibri"/>
                <w:sz w:val="16"/>
                <w:szCs w:val="16"/>
              </w:rPr>
            </w:pPr>
            <w:r w:rsidRPr="00D96063">
              <w:rPr>
                <w:rFonts w:cs="Calibri"/>
                <w:sz w:val="16"/>
                <w:szCs w:val="16"/>
              </w:rPr>
              <w:t>3.1</w:t>
            </w:r>
          </w:p>
        </w:tc>
        <w:tc>
          <w:tcPr>
            <w:tcW w:w="423" w:type="pct"/>
            <w:noWrap/>
            <w:hideMark/>
          </w:tcPr>
          <w:p w14:paraId="68A97CC7" w14:textId="77777777" w:rsidR="00B96C5C" w:rsidRPr="00D96063" w:rsidRDefault="00B96C5C" w:rsidP="00765D22">
            <w:pPr>
              <w:jc w:val="right"/>
              <w:rPr>
                <w:rFonts w:cs="Calibri"/>
                <w:sz w:val="16"/>
                <w:szCs w:val="16"/>
              </w:rPr>
            </w:pPr>
            <w:r w:rsidRPr="00D96063">
              <w:rPr>
                <w:rFonts w:cs="Calibri"/>
                <w:sz w:val="16"/>
                <w:szCs w:val="16"/>
              </w:rPr>
              <w:t>-1.4</w:t>
            </w:r>
          </w:p>
        </w:tc>
        <w:tc>
          <w:tcPr>
            <w:tcW w:w="423" w:type="pct"/>
            <w:noWrap/>
            <w:hideMark/>
          </w:tcPr>
          <w:p w14:paraId="4924CF6F" w14:textId="77777777" w:rsidR="00B96C5C" w:rsidRPr="00D96063" w:rsidRDefault="00B96C5C" w:rsidP="00765D22">
            <w:pPr>
              <w:jc w:val="right"/>
              <w:rPr>
                <w:rFonts w:cs="Calibri"/>
                <w:sz w:val="16"/>
                <w:szCs w:val="16"/>
              </w:rPr>
            </w:pPr>
            <w:r w:rsidRPr="00D96063">
              <w:rPr>
                <w:rFonts w:cs="Calibri"/>
                <w:sz w:val="16"/>
                <w:szCs w:val="16"/>
              </w:rPr>
              <w:t>-6.8</w:t>
            </w:r>
          </w:p>
        </w:tc>
        <w:tc>
          <w:tcPr>
            <w:tcW w:w="423" w:type="pct"/>
            <w:noWrap/>
            <w:hideMark/>
          </w:tcPr>
          <w:p w14:paraId="2436B9CE" w14:textId="77777777" w:rsidR="00B96C5C" w:rsidRPr="00D96063" w:rsidRDefault="00B96C5C" w:rsidP="00765D22">
            <w:pPr>
              <w:jc w:val="right"/>
              <w:rPr>
                <w:rFonts w:cs="Calibri"/>
                <w:sz w:val="16"/>
                <w:szCs w:val="16"/>
              </w:rPr>
            </w:pPr>
            <w:r w:rsidRPr="00D96063">
              <w:rPr>
                <w:rFonts w:cs="Calibri"/>
                <w:sz w:val="16"/>
                <w:szCs w:val="16"/>
              </w:rPr>
              <w:t>1.7</w:t>
            </w:r>
          </w:p>
        </w:tc>
        <w:tc>
          <w:tcPr>
            <w:tcW w:w="425" w:type="pct"/>
            <w:noWrap/>
            <w:hideMark/>
          </w:tcPr>
          <w:p w14:paraId="6282DD90" w14:textId="77777777" w:rsidR="00B96C5C" w:rsidRPr="00D96063" w:rsidRDefault="00B96C5C" w:rsidP="00765D22">
            <w:pPr>
              <w:jc w:val="right"/>
              <w:rPr>
                <w:rFonts w:cs="Calibri"/>
                <w:sz w:val="16"/>
                <w:szCs w:val="16"/>
              </w:rPr>
            </w:pPr>
            <w:r w:rsidRPr="00D96063">
              <w:rPr>
                <w:rFonts w:cs="Calibri"/>
                <w:sz w:val="16"/>
                <w:szCs w:val="16"/>
              </w:rPr>
              <w:t>14.4</w:t>
            </w:r>
          </w:p>
        </w:tc>
      </w:tr>
      <w:tr w:rsidR="00B96C5C" w:rsidRPr="00D96063" w14:paraId="649EFDA0" w14:textId="77777777" w:rsidTr="00765D22">
        <w:trPr>
          <w:trHeight w:val="240"/>
        </w:trPr>
        <w:tc>
          <w:tcPr>
            <w:tcW w:w="2040" w:type="pct"/>
            <w:noWrap/>
            <w:hideMark/>
          </w:tcPr>
          <w:p w14:paraId="7009F436" w14:textId="77777777" w:rsidR="00B96C5C" w:rsidRPr="00D96063" w:rsidRDefault="00B96C5C" w:rsidP="00765D22">
            <w:pPr>
              <w:jc w:val="left"/>
              <w:rPr>
                <w:rFonts w:cs="Calibri"/>
                <w:sz w:val="16"/>
                <w:szCs w:val="16"/>
              </w:rPr>
            </w:pPr>
            <w:r w:rsidRPr="00D96063">
              <w:rPr>
                <w:rFonts w:cs="Calibri"/>
                <w:sz w:val="16"/>
                <w:szCs w:val="16"/>
              </w:rPr>
              <w:t>Mining and quarrying</w:t>
            </w:r>
          </w:p>
        </w:tc>
        <w:tc>
          <w:tcPr>
            <w:tcW w:w="420" w:type="pct"/>
            <w:noWrap/>
            <w:hideMark/>
          </w:tcPr>
          <w:p w14:paraId="48EAAC62" w14:textId="77777777" w:rsidR="00B96C5C" w:rsidRPr="00D96063" w:rsidRDefault="00B96C5C" w:rsidP="00765D22">
            <w:pPr>
              <w:jc w:val="right"/>
              <w:rPr>
                <w:rFonts w:cs="Calibri"/>
                <w:sz w:val="16"/>
                <w:szCs w:val="16"/>
              </w:rPr>
            </w:pPr>
            <w:r w:rsidRPr="00D96063">
              <w:rPr>
                <w:rFonts w:cs="Calibri"/>
                <w:sz w:val="16"/>
                <w:szCs w:val="16"/>
              </w:rPr>
              <w:t>5.4</w:t>
            </w:r>
          </w:p>
        </w:tc>
        <w:tc>
          <w:tcPr>
            <w:tcW w:w="423" w:type="pct"/>
            <w:noWrap/>
            <w:hideMark/>
          </w:tcPr>
          <w:p w14:paraId="6DE413AD" w14:textId="77777777" w:rsidR="00B96C5C" w:rsidRPr="00D96063" w:rsidRDefault="00B96C5C" w:rsidP="00765D22">
            <w:pPr>
              <w:jc w:val="right"/>
              <w:rPr>
                <w:rFonts w:cs="Calibri"/>
                <w:sz w:val="16"/>
                <w:szCs w:val="16"/>
              </w:rPr>
            </w:pPr>
            <w:r w:rsidRPr="00D96063">
              <w:rPr>
                <w:rFonts w:cs="Calibri"/>
                <w:sz w:val="16"/>
                <w:szCs w:val="16"/>
              </w:rPr>
              <w:t>-8.3</w:t>
            </w:r>
          </w:p>
        </w:tc>
        <w:tc>
          <w:tcPr>
            <w:tcW w:w="423" w:type="pct"/>
            <w:noWrap/>
            <w:hideMark/>
          </w:tcPr>
          <w:p w14:paraId="61D3B926" w14:textId="77777777" w:rsidR="00B96C5C" w:rsidRPr="00D96063" w:rsidRDefault="00B96C5C" w:rsidP="00765D22">
            <w:pPr>
              <w:jc w:val="right"/>
              <w:rPr>
                <w:rFonts w:cs="Calibri"/>
                <w:sz w:val="16"/>
                <w:szCs w:val="16"/>
              </w:rPr>
            </w:pPr>
            <w:r w:rsidRPr="00D96063">
              <w:rPr>
                <w:rFonts w:cs="Calibri"/>
                <w:sz w:val="16"/>
                <w:szCs w:val="16"/>
              </w:rPr>
              <w:t>-0.2</w:t>
            </w:r>
          </w:p>
        </w:tc>
        <w:tc>
          <w:tcPr>
            <w:tcW w:w="423" w:type="pct"/>
            <w:noWrap/>
            <w:hideMark/>
          </w:tcPr>
          <w:p w14:paraId="1272D6D3" w14:textId="77777777" w:rsidR="00B96C5C" w:rsidRPr="00D96063" w:rsidRDefault="00B96C5C" w:rsidP="00765D22">
            <w:pPr>
              <w:jc w:val="right"/>
              <w:rPr>
                <w:rFonts w:cs="Calibri"/>
                <w:sz w:val="16"/>
                <w:szCs w:val="16"/>
              </w:rPr>
            </w:pPr>
            <w:r w:rsidRPr="00D96063">
              <w:rPr>
                <w:rFonts w:cs="Calibri"/>
                <w:sz w:val="16"/>
                <w:szCs w:val="16"/>
              </w:rPr>
              <w:t>30.8</w:t>
            </w:r>
          </w:p>
        </w:tc>
        <w:tc>
          <w:tcPr>
            <w:tcW w:w="423" w:type="pct"/>
            <w:noWrap/>
            <w:hideMark/>
          </w:tcPr>
          <w:p w14:paraId="5AA82555" w14:textId="77777777" w:rsidR="00B96C5C" w:rsidRPr="00D96063" w:rsidRDefault="00B96C5C" w:rsidP="00765D22">
            <w:pPr>
              <w:jc w:val="right"/>
              <w:rPr>
                <w:rFonts w:cs="Calibri"/>
                <w:sz w:val="16"/>
                <w:szCs w:val="16"/>
              </w:rPr>
            </w:pPr>
            <w:r w:rsidRPr="00D96063">
              <w:rPr>
                <w:rFonts w:cs="Calibri"/>
                <w:sz w:val="16"/>
                <w:szCs w:val="16"/>
              </w:rPr>
              <w:t>23.3</w:t>
            </w:r>
          </w:p>
        </w:tc>
        <w:tc>
          <w:tcPr>
            <w:tcW w:w="423" w:type="pct"/>
            <w:noWrap/>
            <w:hideMark/>
          </w:tcPr>
          <w:p w14:paraId="7FAD0F0F" w14:textId="77777777" w:rsidR="00B96C5C" w:rsidRPr="00D96063" w:rsidRDefault="00B96C5C" w:rsidP="00765D22">
            <w:pPr>
              <w:jc w:val="right"/>
              <w:rPr>
                <w:rFonts w:cs="Calibri"/>
                <w:sz w:val="16"/>
                <w:szCs w:val="16"/>
              </w:rPr>
            </w:pPr>
            <w:r w:rsidRPr="00D96063">
              <w:rPr>
                <w:rFonts w:cs="Calibri"/>
                <w:sz w:val="16"/>
                <w:szCs w:val="16"/>
              </w:rPr>
              <w:t>12.6</w:t>
            </w:r>
          </w:p>
        </w:tc>
        <w:tc>
          <w:tcPr>
            <w:tcW w:w="425" w:type="pct"/>
            <w:noWrap/>
            <w:hideMark/>
          </w:tcPr>
          <w:p w14:paraId="2D27A2D8" w14:textId="77777777" w:rsidR="00B96C5C" w:rsidRPr="00D96063" w:rsidRDefault="00B96C5C" w:rsidP="00765D22">
            <w:pPr>
              <w:jc w:val="right"/>
              <w:rPr>
                <w:rFonts w:cs="Calibri"/>
                <w:sz w:val="16"/>
                <w:szCs w:val="16"/>
              </w:rPr>
            </w:pPr>
            <w:r w:rsidRPr="00D96063">
              <w:rPr>
                <w:rFonts w:cs="Calibri"/>
                <w:sz w:val="16"/>
                <w:szCs w:val="16"/>
              </w:rPr>
              <w:t>-11.0</w:t>
            </w:r>
          </w:p>
        </w:tc>
      </w:tr>
      <w:tr w:rsidR="00B96C5C" w:rsidRPr="00D96063" w14:paraId="3BEE7172"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4274D611" w14:textId="77777777" w:rsidR="00B96C5C" w:rsidRPr="00D96063" w:rsidRDefault="00B96C5C" w:rsidP="00765D22">
            <w:pPr>
              <w:ind w:left="284" w:hanging="284"/>
              <w:jc w:val="left"/>
              <w:rPr>
                <w:rFonts w:cs="Calibri"/>
                <w:i/>
                <w:iCs/>
                <w:sz w:val="16"/>
                <w:szCs w:val="16"/>
              </w:rPr>
            </w:pPr>
            <w:r w:rsidRPr="00D96063">
              <w:rPr>
                <w:rFonts w:cs="Calibri"/>
                <w:sz w:val="16"/>
                <w:szCs w:val="16"/>
              </w:rPr>
              <w:tab/>
            </w:r>
            <w:r w:rsidRPr="00D96063">
              <w:rPr>
                <w:rFonts w:cs="Calibri"/>
                <w:i/>
                <w:iCs/>
                <w:sz w:val="16"/>
                <w:szCs w:val="16"/>
              </w:rPr>
              <w:t>of which: oil and gas</w:t>
            </w:r>
          </w:p>
        </w:tc>
        <w:tc>
          <w:tcPr>
            <w:tcW w:w="420" w:type="pct"/>
            <w:noWrap/>
            <w:hideMark/>
          </w:tcPr>
          <w:p w14:paraId="17451615" w14:textId="77777777" w:rsidR="00B96C5C" w:rsidRPr="00D96063" w:rsidRDefault="00B96C5C" w:rsidP="00765D22">
            <w:pPr>
              <w:jc w:val="right"/>
              <w:rPr>
                <w:rFonts w:cs="Calibri"/>
                <w:sz w:val="16"/>
                <w:szCs w:val="16"/>
              </w:rPr>
            </w:pPr>
            <w:r w:rsidRPr="00D96063">
              <w:rPr>
                <w:rFonts w:cs="Calibri"/>
                <w:sz w:val="16"/>
                <w:szCs w:val="16"/>
              </w:rPr>
              <w:t>9.3</w:t>
            </w:r>
          </w:p>
        </w:tc>
        <w:tc>
          <w:tcPr>
            <w:tcW w:w="423" w:type="pct"/>
            <w:noWrap/>
            <w:hideMark/>
          </w:tcPr>
          <w:p w14:paraId="506CD72E" w14:textId="77777777" w:rsidR="00B96C5C" w:rsidRPr="00D96063" w:rsidRDefault="00B96C5C" w:rsidP="00765D22">
            <w:pPr>
              <w:jc w:val="right"/>
              <w:rPr>
                <w:rFonts w:cs="Calibri"/>
                <w:sz w:val="16"/>
                <w:szCs w:val="16"/>
              </w:rPr>
            </w:pPr>
            <w:r w:rsidRPr="00D96063">
              <w:rPr>
                <w:rFonts w:cs="Calibri"/>
                <w:sz w:val="16"/>
                <w:szCs w:val="16"/>
              </w:rPr>
              <w:t>2.0</w:t>
            </w:r>
          </w:p>
        </w:tc>
        <w:tc>
          <w:tcPr>
            <w:tcW w:w="423" w:type="pct"/>
            <w:noWrap/>
            <w:hideMark/>
          </w:tcPr>
          <w:p w14:paraId="7A87D859" w14:textId="77777777" w:rsidR="00B96C5C" w:rsidRPr="00D96063" w:rsidRDefault="00B96C5C" w:rsidP="00765D22">
            <w:pPr>
              <w:jc w:val="right"/>
              <w:rPr>
                <w:rFonts w:cs="Calibri"/>
                <w:sz w:val="16"/>
                <w:szCs w:val="16"/>
              </w:rPr>
            </w:pPr>
            <w:r w:rsidRPr="00D96063">
              <w:rPr>
                <w:rFonts w:cs="Calibri"/>
                <w:sz w:val="16"/>
                <w:szCs w:val="16"/>
              </w:rPr>
              <w:t>-15.6</w:t>
            </w:r>
          </w:p>
        </w:tc>
        <w:tc>
          <w:tcPr>
            <w:tcW w:w="423" w:type="pct"/>
            <w:noWrap/>
            <w:hideMark/>
          </w:tcPr>
          <w:p w14:paraId="4883C9F7" w14:textId="77777777" w:rsidR="00B96C5C" w:rsidRPr="00D96063" w:rsidRDefault="00B96C5C" w:rsidP="00765D22">
            <w:pPr>
              <w:jc w:val="right"/>
              <w:rPr>
                <w:rFonts w:cs="Calibri"/>
                <w:sz w:val="16"/>
                <w:szCs w:val="16"/>
              </w:rPr>
            </w:pPr>
            <w:r w:rsidRPr="00D96063">
              <w:rPr>
                <w:rFonts w:cs="Calibri"/>
                <w:sz w:val="16"/>
                <w:szCs w:val="16"/>
              </w:rPr>
              <w:t>80.3</w:t>
            </w:r>
          </w:p>
        </w:tc>
        <w:tc>
          <w:tcPr>
            <w:tcW w:w="423" w:type="pct"/>
            <w:noWrap/>
            <w:hideMark/>
          </w:tcPr>
          <w:p w14:paraId="02E7D77C" w14:textId="77777777" w:rsidR="00B96C5C" w:rsidRPr="00D96063" w:rsidRDefault="00B96C5C" w:rsidP="00765D22">
            <w:pPr>
              <w:jc w:val="right"/>
              <w:rPr>
                <w:rFonts w:cs="Calibri"/>
                <w:sz w:val="16"/>
                <w:szCs w:val="16"/>
              </w:rPr>
            </w:pPr>
            <w:r w:rsidRPr="00D96063">
              <w:rPr>
                <w:rFonts w:cs="Calibri"/>
                <w:sz w:val="16"/>
                <w:szCs w:val="16"/>
              </w:rPr>
              <w:t>7.9</w:t>
            </w:r>
          </w:p>
        </w:tc>
        <w:tc>
          <w:tcPr>
            <w:tcW w:w="423" w:type="pct"/>
            <w:noWrap/>
            <w:hideMark/>
          </w:tcPr>
          <w:p w14:paraId="13425FDB" w14:textId="77777777" w:rsidR="00B96C5C" w:rsidRPr="00D96063" w:rsidRDefault="00B96C5C" w:rsidP="00765D22">
            <w:pPr>
              <w:jc w:val="right"/>
              <w:rPr>
                <w:rFonts w:cs="Calibri"/>
                <w:sz w:val="16"/>
                <w:szCs w:val="16"/>
              </w:rPr>
            </w:pPr>
            <w:r w:rsidRPr="00D96063">
              <w:rPr>
                <w:rFonts w:cs="Calibri"/>
                <w:sz w:val="16"/>
                <w:szCs w:val="16"/>
              </w:rPr>
              <w:t>14.4</w:t>
            </w:r>
          </w:p>
        </w:tc>
        <w:tc>
          <w:tcPr>
            <w:tcW w:w="425" w:type="pct"/>
            <w:noWrap/>
            <w:hideMark/>
          </w:tcPr>
          <w:p w14:paraId="746403B0" w14:textId="77777777" w:rsidR="00B96C5C" w:rsidRPr="00D96063" w:rsidRDefault="00B96C5C" w:rsidP="00765D22">
            <w:pPr>
              <w:jc w:val="right"/>
              <w:rPr>
                <w:rFonts w:cs="Calibri"/>
                <w:sz w:val="16"/>
                <w:szCs w:val="16"/>
              </w:rPr>
            </w:pPr>
            <w:r w:rsidRPr="00D96063">
              <w:rPr>
                <w:rFonts w:cs="Calibri"/>
                <w:sz w:val="16"/>
                <w:szCs w:val="16"/>
              </w:rPr>
              <w:t>-4.6</w:t>
            </w:r>
          </w:p>
        </w:tc>
      </w:tr>
      <w:tr w:rsidR="00B96C5C" w:rsidRPr="00D96063" w14:paraId="78F412EB" w14:textId="77777777" w:rsidTr="00765D22">
        <w:trPr>
          <w:trHeight w:val="240"/>
        </w:trPr>
        <w:tc>
          <w:tcPr>
            <w:tcW w:w="2040" w:type="pct"/>
            <w:noWrap/>
            <w:hideMark/>
          </w:tcPr>
          <w:p w14:paraId="4582FBA7" w14:textId="77777777" w:rsidR="00B96C5C" w:rsidRPr="00D96063" w:rsidRDefault="00B96C5C" w:rsidP="00765D22">
            <w:pPr>
              <w:ind w:left="284" w:hanging="284"/>
              <w:jc w:val="left"/>
              <w:rPr>
                <w:rFonts w:cs="Calibri"/>
                <w:i/>
                <w:iCs/>
                <w:sz w:val="16"/>
                <w:szCs w:val="16"/>
              </w:rPr>
            </w:pPr>
            <w:r w:rsidRPr="00D96063">
              <w:rPr>
                <w:rFonts w:cs="Calibri"/>
                <w:sz w:val="16"/>
                <w:szCs w:val="16"/>
              </w:rPr>
              <w:tab/>
            </w:r>
            <w:r w:rsidRPr="00D96063">
              <w:rPr>
                <w:rFonts w:cs="Calibri"/>
                <w:i/>
                <w:iCs/>
                <w:sz w:val="16"/>
                <w:szCs w:val="16"/>
              </w:rPr>
              <w:t>of which: gold</w:t>
            </w:r>
          </w:p>
        </w:tc>
        <w:tc>
          <w:tcPr>
            <w:tcW w:w="420" w:type="pct"/>
            <w:noWrap/>
            <w:hideMark/>
          </w:tcPr>
          <w:p w14:paraId="4CFD1C52" w14:textId="77777777" w:rsidR="00B96C5C" w:rsidRPr="00D96063" w:rsidRDefault="00B96C5C" w:rsidP="00765D22">
            <w:pPr>
              <w:jc w:val="right"/>
              <w:rPr>
                <w:rFonts w:cs="Calibri"/>
                <w:sz w:val="16"/>
                <w:szCs w:val="16"/>
              </w:rPr>
            </w:pPr>
            <w:r w:rsidRPr="00D96063">
              <w:rPr>
                <w:rFonts w:cs="Calibri"/>
                <w:sz w:val="16"/>
                <w:szCs w:val="16"/>
              </w:rPr>
              <w:t>1.7</w:t>
            </w:r>
          </w:p>
        </w:tc>
        <w:tc>
          <w:tcPr>
            <w:tcW w:w="423" w:type="pct"/>
            <w:noWrap/>
            <w:hideMark/>
          </w:tcPr>
          <w:p w14:paraId="253449C9" w14:textId="77777777" w:rsidR="00B96C5C" w:rsidRPr="00D96063" w:rsidRDefault="00B96C5C" w:rsidP="00765D22">
            <w:pPr>
              <w:jc w:val="right"/>
              <w:rPr>
                <w:rFonts w:cs="Calibri"/>
                <w:sz w:val="16"/>
                <w:szCs w:val="16"/>
              </w:rPr>
            </w:pPr>
            <w:r w:rsidRPr="00D96063">
              <w:rPr>
                <w:rFonts w:cs="Calibri"/>
                <w:sz w:val="16"/>
                <w:szCs w:val="16"/>
              </w:rPr>
              <w:t>-19.0</w:t>
            </w:r>
          </w:p>
        </w:tc>
        <w:tc>
          <w:tcPr>
            <w:tcW w:w="423" w:type="pct"/>
            <w:noWrap/>
            <w:hideMark/>
          </w:tcPr>
          <w:p w14:paraId="61FF6F3F" w14:textId="77777777" w:rsidR="00B96C5C" w:rsidRPr="00D96063" w:rsidRDefault="00B96C5C" w:rsidP="00765D22">
            <w:pPr>
              <w:jc w:val="right"/>
              <w:rPr>
                <w:rFonts w:cs="Calibri"/>
                <w:sz w:val="16"/>
                <w:szCs w:val="16"/>
              </w:rPr>
            </w:pPr>
            <w:r w:rsidRPr="00D96063">
              <w:rPr>
                <w:rFonts w:cs="Calibri"/>
                <w:sz w:val="16"/>
                <w:szCs w:val="16"/>
              </w:rPr>
              <w:t>17.2</w:t>
            </w:r>
          </w:p>
        </w:tc>
        <w:tc>
          <w:tcPr>
            <w:tcW w:w="423" w:type="pct"/>
            <w:noWrap/>
            <w:hideMark/>
          </w:tcPr>
          <w:p w14:paraId="1F5BABD1" w14:textId="77777777" w:rsidR="00B96C5C" w:rsidRPr="00D96063" w:rsidRDefault="00B96C5C" w:rsidP="00765D22">
            <w:pPr>
              <w:jc w:val="right"/>
              <w:rPr>
                <w:rFonts w:cs="Calibri"/>
                <w:sz w:val="16"/>
                <w:szCs w:val="16"/>
              </w:rPr>
            </w:pPr>
            <w:r w:rsidRPr="00D96063">
              <w:rPr>
                <w:rFonts w:cs="Calibri"/>
                <w:sz w:val="16"/>
                <w:szCs w:val="16"/>
              </w:rPr>
              <w:t>-2.8</w:t>
            </w:r>
          </w:p>
        </w:tc>
        <w:tc>
          <w:tcPr>
            <w:tcW w:w="423" w:type="pct"/>
            <w:noWrap/>
            <w:hideMark/>
          </w:tcPr>
          <w:p w14:paraId="1ADB21EE" w14:textId="77777777" w:rsidR="00B96C5C" w:rsidRPr="00D96063" w:rsidRDefault="00B96C5C" w:rsidP="00765D22">
            <w:pPr>
              <w:jc w:val="right"/>
              <w:rPr>
                <w:rFonts w:cs="Calibri"/>
                <w:sz w:val="16"/>
                <w:szCs w:val="16"/>
              </w:rPr>
            </w:pPr>
            <w:r w:rsidRPr="00D96063">
              <w:rPr>
                <w:rFonts w:cs="Calibri"/>
                <w:sz w:val="16"/>
                <w:szCs w:val="16"/>
              </w:rPr>
              <w:t>19.6</w:t>
            </w:r>
          </w:p>
        </w:tc>
        <w:tc>
          <w:tcPr>
            <w:tcW w:w="423" w:type="pct"/>
            <w:noWrap/>
            <w:hideMark/>
          </w:tcPr>
          <w:p w14:paraId="63B1795B" w14:textId="77777777" w:rsidR="00B96C5C" w:rsidRPr="00D96063" w:rsidRDefault="00B96C5C" w:rsidP="00765D22">
            <w:pPr>
              <w:jc w:val="right"/>
              <w:rPr>
                <w:rFonts w:cs="Calibri"/>
                <w:sz w:val="16"/>
                <w:szCs w:val="16"/>
              </w:rPr>
            </w:pPr>
            <w:r w:rsidRPr="00D96063">
              <w:rPr>
                <w:rFonts w:cs="Calibri"/>
                <w:sz w:val="16"/>
                <w:szCs w:val="16"/>
              </w:rPr>
              <w:t>-5.6</w:t>
            </w:r>
          </w:p>
        </w:tc>
        <w:tc>
          <w:tcPr>
            <w:tcW w:w="425" w:type="pct"/>
            <w:noWrap/>
            <w:hideMark/>
          </w:tcPr>
          <w:p w14:paraId="2A89865B" w14:textId="77777777" w:rsidR="00B96C5C" w:rsidRPr="00D96063" w:rsidRDefault="00B96C5C" w:rsidP="00765D22">
            <w:pPr>
              <w:jc w:val="right"/>
              <w:rPr>
                <w:rFonts w:cs="Calibri"/>
                <w:sz w:val="16"/>
                <w:szCs w:val="16"/>
              </w:rPr>
            </w:pPr>
            <w:r w:rsidRPr="00D96063">
              <w:rPr>
                <w:rFonts w:cs="Calibri"/>
                <w:sz w:val="16"/>
                <w:szCs w:val="16"/>
              </w:rPr>
              <w:t>-12.2</w:t>
            </w:r>
          </w:p>
        </w:tc>
      </w:tr>
      <w:tr w:rsidR="00B96C5C" w:rsidRPr="00D96063" w14:paraId="3B327011"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4686B49C" w14:textId="77777777" w:rsidR="00B96C5C" w:rsidRPr="00D96063" w:rsidRDefault="00B96C5C" w:rsidP="00765D22">
            <w:pPr>
              <w:jc w:val="left"/>
              <w:rPr>
                <w:rFonts w:cs="Calibri"/>
                <w:sz w:val="16"/>
                <w:szCs w:val="16"/>
              </w:rPr>
            </w:pPr>
            <w:r w:rsidRPr="00D96063">
              <w:rPr>
                <w:rFonts w:cs="Calibri"/>
                <w:sz w:val="16"/>
                <w:szCs w:val="16"/>
              </w:rPr>
              <w:t>Manufacturing</w:t>
            </w:r>
          </w:p>
        </w:tc>
        <w:tc>
          <w:tcPr>
            <w:tcW w:w="420" w:type="pct"/>
            <w:noWrap/>
            <w:hideMark/>
          </w:tcPr>
          <w:p w14:paraId="38CBAC99" w14:textId="77777777" w:rsidR="00B96C5C" w:rsidRPr="00D96063" w:rsidRDefault="00B96C5C" w:rsidP="00765D22">
            <w:pPr>
              <w:jc w:val="right"/>
              <w:rPr>
                <w:rFonts w:cs="Calibri"/>
                <w:sz w:val="16"/>
                <w:szCs w:val="16"/>
              </w:rPr>
            </w:pPr>
            <w:r w:rsidRPr="00D96063">
              <w:rPr>
                <w:rFonts w:cs="Calibri"/>
                <w:sz w:val="16"/>
                <w:szCs w:val="16"/>
              </w:rPr>
              <w:t>-2.6</w:t>
            </w:r>
          </w:p>
        </w:tc>
        <w:tc>
          <w:tcPr>
            <w:tcW w:w="423" w:type="pct"/>
            <w:noWrap/>
            <w:hideMark/>
          </w:tcPr>
          <w:p w14:paraId="78A940F2" w14:textId="77777777" w:rsidR="00B96C5C" w:rsidRPr="00D96063" w:rsidRDefault="00B96C5C" w:rsidP="00765D22">
            <w:pPr>
              <w:jc w:val="right"/>
              <w:rPr>
                <w:rFonts w:cs="Calibri"/>
                <w:sz w:val="16"/>
                <w:szCs w:val="16"/>
              </w:rPr>
            </w:pPr>
            <w:r w:rsidRPr="00D96063">
              <w:rPr>
                <w:rFonts w:cs="Calibri"/>
                <w:sz w:val="16"/>
                <w:szCs w:val="16"/>
              </w:rPr>
              <w:t>3.7</w:t>
            </w:r>
          </w:p>
        </w:tc>
        <w:tc>
          <w:tcPr>
            <w:tcW w:w="423" w:type="pct"/>
            <w:noWrap/>
            <w:hideMark/>
          </w:tcPr>
          <w:p w14:paraId="102D7C2D" w14:textId="77777777" w:rsidR="00B96C5C" w:rsidRPr="00D96063" w:rsidRDefault="00B96C5C" w:rsidP="00765D22">
            <w:pPr>
              <w:jc w:val="right"/>
              <w:rPr>
                <w:rFonts w:cs="Calibri"/>
                <w:sz w:val="16"/>
                <w:szCs w:val="16"/>
              </w:rPr>
            </w:pPr>
            <w:r w:rsidRPr="00D96063">
              <w:rPr>
                <w:rFonts w:cs="Calibri"/>
                <w:sz w:val="16"/>
                <w:szCs w:val="16"/>
              </w:rPr>
              <w:t>7.9</w:t>
            </w:r>
          </w:p>
        </w:tc>
        <w:tc>
          <w:tcPr>
            <w:tcW w:w="423" w:type="pct"/>
            <w:noWrap/>
            <w:hideMark/>
          </w:tcPr>
          <w:p w14:paraId="3C01925B" w14:textId="77777777" w:rsidR="00B96C5C" w:rsidRPr="00D96063" w:rsidRDefault="00B96C5C" w:rsidP="00765D22">
            <w:pPr>
              <w:jc w:val="right"/>
              <w:rPr>
                <w:rFonts w:cs="Calibri"/>
                <w:sz w:val="16"/>
                <w:szCs w:val="16"/>
              </w:rPr>
            </w:pPr>
            <w:r w:rsidRPr="00D96063">
              <w:rPr>
                <w:rFonts w:cs="Calibri"/>
                <w:sz w:val="16"/>
                <w:szCs w:val="16"/>
              </w:rPr>
              <w:t>9.5</w:t>
            </w:r>
          </w:p>
        </w:tc>
        <w:tc>
          <w:tcPr>
            <w:tcW w:w="423" w:type="pct"/>
            <w:noWrap/>
            <w:hideMark/>
          </w:tcPr>
          <w:p w14:paraId="235875E4" w14:textId="77777777" w:rsidR="00B96C5C" w:rsidRPr="00D96063" w:rsidRDefault="00B96C5C" w:rsidP="00765D22">
            <w:pPr>
              <w:jc w:val="right"/>
              <w:rPr>
                <w:rFonts w:cs="Calibri"/>
                <w:sz w:val="16"/>
                <w:szCs w:val="16"/>
              </w:rPr>
            </w:pPr>
            <w:r w:rsidRPr="00D96063">
              <w:rPr>
                <w:rFonts w:cs="Calibri"/>
                <w:sz w:val="16"/>
                <w:szCs w:val="16"/>
              </w:rPr>
              <w:t>4.1</w:t>
            </w:r>
          </w:p>
        </w:tc>
        <w:tc>
          <w:tcPr>
            <w:tcW w:w="423" w:type="pct"/>
            <w:noWrap/>
            <w:hideMark/>
          </w:tcPr>
          <w:p w14:paraId="13AF7496" w14:textId="77777777" w:rsidR="00B96C5C" w:rsidRPr="00D96063" w:rsidRDefault="00B96C5C" w:rsidP="00765D22">
            <w:pPr>
              <w:jc w:val="right"/>
              <w:rPr>
                <w:rFonts w:cs="Calibri"/>
                <w:sz w:val="16"/>
                <w:szCs w:val="16"/>
              </w:rPr>
            </w:pPr>
            <w:r w:rsidRPr="00D96063">
              <w:rPr>
                <w:rFonts w:cs="Calibri"/>
                <w:sz w:val="16"/>
                <w:szCs w:val="16"/>
              </w:rPr>
              <w:t>6.3</w:t>
            </w:r>
          </w:p>
        </w:tc>
        <w:tc>
          <w:tcPr>
            <w:tcW w:w="425" w:type="pct"/>
            <w:noWrap/>
            <w:hideMark/>
          </w:tcPr>
          <w:p w14:paraId="4D186047" w14:textId="77777777" w:rsidR="00B96C5C" w:rsidRPr="00D96063" w:rsidRDefault="00B96C5C" w:rsidP="00765D22">
            <w:pPr>
              <w:jc w:val="right"/>
              <w:rPr>
                <w:rFonts w:cs="Calibri"/>
                <w:sz w:val="16"/>
                <w:szCs w:val="16"/>
              </w:rPr>
            </w:pPr>
            <w:r w:rsidRPr="00D96063">
              <w:rPr>
                <w:rFonts w:cs="Calibri"/>
                <w:sz w:val="16"/>
                <w:szCs w:val="16"/>
              </w:rPr>
              <w:t>1.4</w:t>
            </w:r>
          </w:p>
        </w:tc>
      </w:tr>
      <w:tr w:rsidR="00B96C5C" w:rsidRPr="00D96063" w14:paraId="56EF26B6" w14:textId="77777777" w:rsidTr="00765D22">
        <w:trPr>
          <w:trHeight w:val="240"/>
        </w:trPr>
        <w:tc>
          <w:tcPr>
            <w:tcW w:w="2040" w:type="pct"/>
            <w:noWrap/>
            <w:hideMark/>
          </w:tcPr>
          <w:p w14:paraId="190201B6" w14:textId="77777777" w:rsidR="00B96C5C" w:rsidRPr="00D96063" w:rsidRDefault="00B96C5C" w:rsidP="00765D22">
            <w:pPr>
              <w:jc w:val="left"/>
              <w:rPr>
                <w:rFonts w:cs="Calibri"/>
                <w:sz w:val="16"/>
                <w:szCs w:val="16"/>
              </w:rPr>
            </w:pPr>
            <w:r w:rsidRPr="00D96063">
              <w:rPr>
                <w:rFonts w:cs="Calibri"/>
                <w:sz w:val="16"/>
                <w:szCs w:val="16"/>
              </w:rPr>
              <w:t xml:space="preserve">Electricity </w:t>
            </w:r>
          </w:p>
        </w:tc>
        <w:tc>
          <w:tcPr>
            <w:tcW w:w="420" w:type="pct"/>
            <w:noWrap/>
            <w:hideMark/>
          </w:tcPr>
          <w:p w14:paraId="7D086C2B" w14:textId="77777777" w:rsidR="00B96C5C" w:rsidRPr="00D96063" w:rsidRDefault="00B96C5C" w:rsidP="00765D22">
            <w:pPr>
              <w:jc w:val="right"/>
              <w:rPr>
                <w:rFonts w:cs="Calibri"/>
                <w:sz w:val="16"/>
                <w:szCs w:val="16"/>
              </w:rPr>
            </w:pPr>
            <w:r w:rsidRPr="00D96063">
              <w:rPr>
                <w:rFonts w:cs="Calibri"/>
                <w:sz w:val="16"/>
                <w:szCs w:val="16"/>
              </w:rPr>
              <w:t>1.3</w:t>
            </w:r>
          </w:p>
        </w:tc>
        <w:tc>
          <w:tcPr>
            <w:tcW w:w="423" w:type="pct"/>
            <w:noWrap/>
            <w:hideMark/>
          </w:tcPr>
          <w:p w14:paraId="472AB1A5" w14:textId="77777777" w:rsidR="00B96C5C" w:rsidRPr="00D96063" w:rsidRDefault="00B96C5C" w:rsidP="00765D22">
            <w:pPr>
              <w:jc w:val="right"/>
              <w:rPr>
                <w:rFonts w:cs="Calibri"/>
                <w:sz w:val="16"/>
                <w:szCs w:val="16"/>
              </w:rPr>
            </w:pPr>
            <w:r w:rsidRPr="00D96063">
              <w:rPr>
                <w:rFonts w:cs="Calibri"/>
                <w:sz w:val="16"/>
                <w:szCs w:val="16"/>
              </w:rPr>
              <w:t>17.7</w:t>
            </w:r>
          </w:p>
        </w:tc>
        <w:tc>
          <w:tcPr>
            <w:tcW w:w="423" w:type="pct"/>
            <w:noWrap/>
            <w:hideMark/>
          </w:tcPr>
          <w:p w14:paraId="4BEDE2E1" w14:textId="77777777" w:rsidR="00B96C5C" w:rsidRPr="00D96063" w:rsidRDefault="00B96C5C" w:rsidP="00765D22">
            <w:pPr>
              <w:jc w:val="right"/>
              <w:rPr>
                <w:rFonts w:cs="Calibri"/>
                <w:sz w:val="16"/>
                <w:szCs w:val="16"/>
              </w:rPr>
            </w:pPr>
            <w:r w:rsidRPr="00D96063">
              <w:rPr>
                <w:rFonts w:cs="Calibri"/>
                <w:sz w:val="16"/>
                <w:szCs w:val="16"/>
              </w:rPr>
              <w:t>-5.8</w:t>
            </w:r>
          </w:p>
        </w:tc>
        <w:tc>
          <w:tcPr>
            <w:tcW w:w="423" w:type="pct"/>
            <w:noWrap/>
            <w:hideMark/>
          </w:tcPr>
          <w:p w14:paraId="0025A6B6" w14:textId="77777777" w:rsidR="00B96C5C" w:rsidRPr="00D96063" w:rsidRDefault="00B96C5C" w:rsidP="00765D22">
            <w:pPr>
              <w:jc w:val="right"/>
              <w:rPr>
                <w:rFonts w:cs="Calibri"/>
                <w:sz w:val="16"/>
                <w:szCs w:val="16"/>
              </w:rPr>
            </w:pPr>
            <w:r w:rsidRPr="00D96063">
              <w:rPr>
                <w:rFonts w:cs="Calibri"/>
                <w:sz w:val="16"/>
                <w:szCs w:val="16"/>
              </w:rPr>
              <w:t>19.4</w:t>
            </w:r>
          </w:p>
        </w:tc>
        <w:tc>
          <w:tcPr>
            <w:tcW w:w="423" w:type="pct"/>
            <w:noWrap/>
            <w:hideMark/>
          </w:tcPr>
          <w:p w14:paraId="3F7946D8" w14:textId="77777777" w:rsidR="00B96C5C" w:rsidRPr="00D96063" w:rsidRDefault="00B96C5C" w:rsidP="00765D22">
            <w:pPr>
              <w:jc w:val="right"/>
              <w:rPr>
                <w:rFonts w:cs="Calibri"/>
                <w:sz w:val="16"/>
                <w:szCs w:val="16"/>
              </w:rPr>
            </w:pPr>
            <w:r w:rsidRPr="00D96063">
              <w:rPr>
                <w:rFonts w:cs="Calibri"/>
                <w:sz w:val="16"/>
                <w:szCs w:val="16"/>
              </w:rPr>
              <w:t>5.5</w:t>
            </w:r>
          </w:p>
        </w:tc>
        <w:tc>
          <w:tcPr>
            <w:tcW w:w="423" w:type="pct"/>
            <w:noWrap/>
            <w:hideMark/>
          </w:tcPr>
          <w:p w14:paraId="2A9FA530" w14:textId="77777777" w:rsidR="00B96C5C" w:rsidRPr="00D96063" w:rsidRDefault="00B96C5C" w:rsidP="00765D22">
            <w:pPr>
              <w:jc w:val="right"/>
              <w:rPr>
                <w:rFonts w:cs="Calibri"/>
                <w:sz w:val="16"/>
                <w:szCs w:val="16"/>
              </w:rPr>
            </w:pPr>
            <w:r w:rsidRPr="00D96063">
              <w:rPr>
                <w:rFonts w:cs="Calibri"/>
                <w:sz w:val="16"/>
                <w:szCs w:val="16"/>
              </w:rPr>
              <w:t>6.0</w:t>
            </w:r>
          </w:p>
        </w:tc>
        <w:tc>
          <w:tcPr>
            <w:tcW w:w="425" w:type="pct"/>
            <w:noWrap/>
            <w:hideMark/>
          </w:tcPr>
          <w:p w14:paraId="4990E6B2" w14:textId="77777777" w:rsidR="00B96C5C" w:rsidRPr="00D96063" w:rsidRDefault="00B96C5C" w:rsidP="00765D22">
            <w:pPr>
              <w:jc w:val="right"/>
              <w:rPr>
                <w:rFonts w:cs="Calibri"/>
                <w:sz w:val="16"/>
                <w:szCs w:val="16"/>
              </w:rPr>
            </w:pPr>
            <w:r w:rsidRPr="00D96063">
              <w:rPr>
                <w:rFonts w:cs="Calibri"/>
                <w:sz w:val="16"/>
                <w:szCs w:val="16"/>
              </w:rPr>
              <w:t>7.9</w:t>
            </w:r>
          </w:p>
        </w:tc>
      </w:tr>
      <w:tr w:rsidR="00B96C5C" w:rsidRPr="00D96063" w14:paraId="1D425778"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2FACEB1C" w14:textId="77777777" w:rsidR="00B96C5C" w:rsidRPr="00D96063" w:rsidRDefault="00B96C5C" w:rsidP="00765D22">
            <w:pPr>
              <w:jc w:val="left"/>
              <w:rPr>
                <w:rFonts w:cs="Calibri"/>
                <w:sz w:val="16"/>
                <w:szCs w:val="16"/>
              </w:rPr>
            </w:pPr>
            <w:r w:rsidRPr="00D96063">
              <w:rPr>
                <w:rFonts w:cs="Calibri"/>
                <w:sz w:val="16"/>
                <w:szCs w:val="16"/>
              </w:rPr>
              <w:t>Construction</w:t>
            </w:r>
          </w:p>
        </w:tc>
        <w:tc>
          <w:tcPr>
            <w:tcW w:w="420" w:type="pct"/>
            <w:noWrap/>
            <w:hideMark/>
          </w:tcPr>
          <w:p w14:paraId="17C46698" w14:textId="77777777" w:rsidR="00B96C5C" w:rsidRPr="00D96063" w:rsidRDefault="00B96C5C" w:rsidP="00765D22">
            <w:pPr>
              <w:jc w:val="right"/>
              <w:rPr>
                <w:rFonts w:cs="Calibri"/>
                <w:sz w:val="16"/>
                <w:szCs w:val="16"/>
              </w:rPr>
            </w:pPr>
            <w:r w:rsidRPr="00D96063">
              <w:rPr>
                <w:rFonts w:cs="Calibri"/>
                <w:sz w:val="16"/>
                <w:szCs w:val="16"/>
              </w:rPr>
              <w:t>-0.4</w:t>
            </w:r>
          </w:p>
        </w:tc>
        <w:tc>
          <w:tcPr>
            <w:tcW w:w="423" w:type="pct"/>
            <w:noWrap/>
            <w:hideMark/>
          </w:tcPr>
          <w:p w14:paraId="64A08B64" w14:textId="77777777" w:rsidR="00B96C5C" w:rsidRPr="00D96063" w:rsidRDefault="00B96C5C" w:rsidP="00765D22">
            <w:pPr>
              <w:jc w:val="right"/>
              <w:rPr>
                <w:rFonts w:cs="Calibri"/>
                <w:sz w:val="16"/>
                <w:szCs w:val="16"/>
              </w:rPr>
            </w:pPr>
            <w:r w:rsidRPr="00D96063">
              <w:rPr>
                <w:rFonts w:cs="Calibri"/>
                <w:sz w:val="16"/>
                <w:szCs w:val="16"/>
              </w:rPr>
              <w:t>9.5</w:t>
            </w:r>
          </w:p>
        </w:tc>
        <w:tc>
          <w:tcPr>
            <w:tcW w:w="423" w:type="pct"/>
            <w:noWrap/>
            <w:hideMark/>
          </w:tcPr>
          <w:p w14:paraId="7E1061AD" w14:textId="77777777" w:rsidR="00B96C5C" w:rsidRPr="00D96063" w:rsidRDefault="00B96C5C" w:rsidP="00765D22">
            <w:pPr>
              <w:jc w:val="right"/>
              <w:rPr>
                <w:rFonts w:cs="Calibri"/>
                <w:sz w:val="16"/>
                <w:szCs w:val="16"/>
              </w:rPr>
            </w:pPr>
            <w:r w:rsidRPr="00D96063">
              <w:rPr>
                <w:rFonts w:cs="Calibri"/>
                <w:sz w:val="16"/>
                <w:szCs w:val="16"/>
              </w:rPr>
              <w:t>8.4</w:t>
            </w:r>
          </w:p>
        </w:tc>
        <w:tc>
          <w:tcPr>
            <w:tcW w:w="423" w:type="pct"/>
            <w:noWrap/>
            <w:hideMark/>
          </w:tcPr>
          <w:p w14:paraId="55802EB2" w14:textId="77777777" w:rsidR="00B96C5C" w:rsidRPr="00D96063" w:rsidRDefault="00B96C5C" w:rsidP="00765D22">
            <w:pPr>
              <w:jc w:val="right"/>
              <w:rPr>
                <w:rFonts w:cs="Calibri"/>
                <w:sz w:val="16"/>
                <w:szCs w:val="16"/>
              </w:rPr>
            </w:pPr>
            <w:r w:rsidRPr="00D96063">
              <w:rPr>
                <w:rFonts w:cs="Calibri"/>
                <w:sz w:val="16"/>
                <w:szCs w:val="16"/>
              </w:rPr>
              <w:t>5.1</w:t>
            </w:r>
          </w:p>
        </w:tc>
        <w:tc>
          <w:tcPr>
            <w:tcW w:w="423" w:type="pct"/>
            <w:noWrap/>
            <w:hideMark/>
          </w:tcPr>
          <w:p w14:paraId="318C3E74" w14:textId="77777777" w:rsidR="00B96C5C" w:rsidRPr="00D96063" w:rsidRDefault="00B96C5C" w:rsidP="00765D22">
            <w:pPr>
              <w:jc w:val="right"/>
              <w:rPr>
                <w:rFonts w:cs="Calibri"/>
                <w:sz w:val="16"/>
                <w:szCs w:val="16"/>
              </w:rPr>
            </w:pPr>
            <w:r w:rsidRPr="00D96063">
              <w:rPr>
                <w:rFonts w:cs="Calibri"/>
                <w:sz w:val="16"/>
                <w:szCs w:val="16"/>
              </w:rPr>
              <w:t>1.1</w:t>
            </w:r>
          </w:p>
        </w:tc>
        <w:tc>
          <w:tcPr>
            <w:tcW w:w="423" w:type="pct"/>
            <w:noWrap/>
            <w:hideMark/>
          </w:tcPr>
          <w:p w14:paraId="6C44AF2C" w14:textId="77777777" w:rsidR="00B96C5C" w:rsidRPr="00D96063" w:rsidRDefault="00B96C5C" w:rsidP="00765D22">
            <w:pPr>
              <w:jc w:val="right"/>
              <w:rPr>
                <w:rFonts w:cs="Calibri"/>
                <w:sz w:val="16"/>
                <w:szCs w:val="16"/>
              </w:rPr>
            </w:pPr>
            <w:r w:rsidRPr="00D96063">
              <w:rPr>
                <w:rFonts w:cs="Calibri"/>
                <w:sz w:val="16"/>
                <w:szCs w:val="16"/>
              </w:rPr>
              <w:t>-4.4</w:t>
            </w:r>
          </w:p>
        </w:tc>
        <w:tc>
          <w:tcPr>
            <w:tcW w:w="425" w:type="pct"/>
            <w:noWrap/>
            <w:hideMark/>
          </w:tcPr>
          <w:p w14:paraId="22010C52" w14:textId="77777777" w:rsidR="00B96C5C" w:rsidRPr="00D96063" w:rsidRDefault="00B96C5C" w:rsidP="00765D22">
            <w:pPr>
              <w:jc w:val="right"/>
              <w:rPr>
                <w:rFonts w:cs="Calibri"/>
                <w:sz w:val="16"/>
                <w:szCs w:val="16"/>
              </w:rPr>
            </w:pPr>
            <w:r w:rsidRPr="00D96063">
              <w:rPr>
                <w:rFonts w:cs="Calibri"/>
                <w:sz w:val="16"/>
                <w:szCs w:val="16"/>
              </w:rPr>
              <w:t>2.9</w:t>
            </w:r>
          </w:p>
        </w:tc>
      </w:tr>
      <w:tr w:rsidR="00B96C5C" w:rsidRPr="00D96063" w14:paraId="6CD51F77" w14:textId="77777777" w:rsidTr="00765D22">
        <w:trPr>
          <w:trHeight w:val="240"/>
        </w:trPr>
        <w:tc>
          <w:tcPr>
            <w:tcW w:w="2040" w:type="pct"/>
            <w:noWrap/>
            <w:hideMark/>
          </w:tcPr>
          <w:p w14:paraId="15225A7B" w14:textId="77777777" w:rsidR="00B96C5C" w:rsidRPr="00D96063" w:rsidRDefault="00B96C5C" w:rsidP="00765D22">
            <w:pPr>
              <w:jc w:val="left"/>
              <w:rPr>
                <w:rFonts w:cs="Calibri"/>
                <w:sz w:val="16"/>
                <w:szCs w:val="16"/>
              </w:rPr>
            </w:pPr>
            <w:r w:rsidRPr="00D96063">
              <w:rPr>
                <w:rFonts w:cs="Calibri"/>
                <w:sz w:val="16"/>
                <w:szCs w:val="16"/>
              </w:rPr>
              <w:t>Services</w:t>
            </w:r>
          </w:p>
        </w:tc>
        <w:tc>
          <w:tcPr>
            <w:tcW w:w="420" w:type="pct"/>
            <w:noWrap/>
            <w:hideMark/>
          </w:tcPr>
          <w:p w14:paraId="61F5E9E3" w14:textId="77777777" w:rsidR="00B96C5C" w:rsidRPr="00D96063" w:rsidRDefault="00B96C5C" w:rsidP="00765D22">
            <w:pPr>
              <w:jc w:val="right"/>
              <w:rPr>
                <w:rFonts w:cs="Calibri"/>
                <w:sz w:val="16"/>
                <w:szCs w:val="16"/>
              </w:rPr>
            </w:pPr>
            <w:r w:rsidRPr="00D96063">
              <w:rPr>
                <w:rFonts w:cs="Calibri"/>
                <w:sz w:val="16"/>
                <w:szCs w:val="16"/>
              </w:rPr>
              <w:t>5.2</w:t>
            </w:r>
          </w:p>
        </w:tc>
        <w:tc>
          <w:tcPr>
            <w:tcW w:w="423" w:type="pct"/>
            <w:noWrap/>
            <w:hideMark/>
          </w:tcPr>
          <w:p w14:paraId="321A9510" w14:textId="77777777" w:rsidR="00B96C5C" w:rsidRPr="00D96063" w:rsidRDefault="00B96C5C" w:rsidP="00765D22">
            <w:pPr>
              <w:jc w:val="right"/>
              <w:rPr>
                <w:rFonts w:cs="Calibri"/>
                <w:sz w:val="16"/>
                <w:szCs w:val="16"/>
              </w:rPr>
            </w:pPr>
            <w:r w:rsidRPr="00D96063">
              <w:rPr>
                <w:rFonts w:cs="Calibri"/>
                <w:sz w:val="16"/>
                <w:szCs w:val="16"/>
              </w:rPr>
              <w:t>2.9</w:t>
            </w:r>
          </w:p>
        </w:tc>
        <w:tc>
          <w:tcPr>
            <w:tcW w:w="423" w:type="pct"/>
            <w:noWrap/>
            <w:hideMark/>
          </w:tcPr>
          <w:p w14:paraId="40D55A5C" w14:textId="77777777" w:rsidR="00B96C5C" w:rsidRPr="00D96063" w:rsidRDefault="00B96C5C" w:rsidP="00765D22">
            <w:pPr>
              <w:jc w:val="right"/>
              <w:rPr>
                <w:rFonts w:cs="Calibri"/>
                <w:sz w:val="16"/>
                <w:szCs w:val="16"/>
              </w:rPr>
            </w:pPr>
            <w:r w:rsidRPr="00D96063">
              <w:rPr>
                <w:rFonts w:cs="Calibri"/>
                <w:sz w:val="16"/>
                <w:szCs w:val="16"/>
              </w:rPr>
              <w:t>2.8</w:t>
            </w:r>
          </w:p>
        </w:tc>
        <w:tc>
          <w:tcPr>
            <w:tcW w:w="423" w:type="pct"/>
            <w:noWrap/>
            <w:hideMark/>
          </w:tcPr>
          <w:p w14:paraId="53F84334" w14:textId="77777777" w:rsidR="00B96C5C" w:rsidRPr="00D96063" w:rsidRDefault="00B96C5C" w:rsidP="00765D22">
            <w:pPr>
              <w:jc w:val="right"/>
              <w:rPr>
                <w:rFonts w:cs="Calibri"/>
                <w:sz w:val="16"/>
                <w:szCs w:val="16"/>
              </w:rPr>
            </w:pPr>
            <w:r w:rsidRPr="00D96063">
              <w:rPr>
                <w:rFonts w:cs="Calibri"/>
                <w:sz w:val="16"/>
                <w:szCs w:val="16"/>
              </w:rPr>
              <w:t>3.4</w:t>
            </w:r>
          </w:p>
        </w:tc>
        <w:tc>
          <w:tcPr>
            <w:tcW w:w="423" w:type="pct"/>
            <w:noWrap/>
            <w:hideMark/>
          </w:tcPr>
          <w:p w14:paraId="7636FC2D" w14:textId="77777777" w:rsidR="00B96C5C" w:rsidRPr="00D96063" w:rsidRDefault="00B96C5C" w:rsidP="00765D22">
            <w:pPr>
              <w:jc w:val="right"/>
              <w:rPr>
                <w:rFonts w:cs="Calibri"/>
                <w:sz w:val="16"/>
                <w:szCs w:val="16"/>
              </w:rPr>
            </w:pPr>
            <w:r w:rsidRPr="00D96063">
              <w:rPr>
                <w:rFonts w:cs="Calibri"/>
                <w:sz w:val="16"/>
                <w:szCs w:val="16"/>
              </w:rPr>
              <w:t>2.8</w:t>
            </w:r>
          </w:p>
        </w:tc>
        <w:tc>
          <w:tcPr>
            <w:tcW w:w="423" w:type="pct"/>
            <w:noWrap/>
            <w:hideMark/>
          </w:tcPr>
          <w:p w14:paraId="367545D5" w14:textId="77777777" w:rsidR="00B96C5C" w:rsidRPr="00D96063" w:rsidRDefault="00B96C5C" w:rsidP="00765D22">
            <w:pPr>
              <w:jc w:val="right"/>
              <w:rPr>
                <w:rFonts w:cs="Calibri"/>
                <w:sz w:val="16"/>
                <w:szCs w:val="16"/>
              </w:rPr>
            </w:pPr>
            <w:r w:rsidRPr="00D96063">
              <w:rPr>
                <w:rFonts w:cs="Calibri"/>
                <w:sz w:val="16"/>
                <w:szCs w:val="16"/>
              </w:rPr>
              <w:t>7.6</w:t>
            </w:r>
          </w:p>
        </w:tc>
        <w:tc>
          <w:tcPr>
            <w:tcW w:w="425" w:type="pct"/>
            <w:noWrap/>
            <w:hideMark/>
          </w:tcPr>
          <w:p w14:paraId="4C04BD0B" w14:textId="77777777" w:rsidR="00B96C5C" w:rsidRPr="00D96063" w:rsidRDefault="00B96C5C" w:rsidP="00765D22">
            <w:pPr>
              <w:jc w:val="right"/>
              <w:rPr>
                <w:rFonts w:cs="Calibri"/>
                <w:sz w:val="16"/>
                <w:szCs w:val="16"/>
              </w:rPr>
            </w:pPr>
            <w:r w:rsidRPr="00D96063">
              <w:rPr>
                <w:rFonts w:cs="Calibri"/>
                <w:sz w:val="16"/>
                <w:szCs w:val="16"/>
              </w:rPr>
              <w:t>1.5</w:t>
            </w:r>
          </w:p>
        </w:tc>
      </w:tr>
      <w:tr w:rsidR="00B96C5C" w:rsidRPr="00D96063" w14:paraId="32E12AAA"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hideMark/>
          </w:tcPr>
          <w:p w14:paraId="47251B94" w14:textId="77777777" w:rsidR="00B96C5C" w:rsidRPr="00D96063" w:rsidRDefault="00B96C5C" w:rsidP="00765D22">
            <w:pPr>
              <w:ind w:left="284" w:hanging="284"/>
              <w:jc w:val="left"/>
              <w:rPr>
                <w:rFonts w:cs="Calibri"/>
                <w:sz w:val="16"/>
                <w:szCs w:val="16"/>
              </w:rPr>
            </w:pPr>
            <w:r w:rsidRPr="00D96063">
              <w:rPr>
                <w:rFonts w:cs="Calibri"/>
                <w:sz w:val="16"/>
                <w:szCs w:val="16"/>
              </w:rPr>
              <w:tab/>
              <w:t>Trade; repair of vehicles, household goods</w:t>
            </w:r>
          </w:p>
        </w:tc>
        <w:tc>
          <w:tcPr>
            <w:tcW w:w="420" w:type="pct"/>
            <w:noWrap/>
            <w:hideMark/>
          </w:tcPr>
          <w:p w14:paraId="759FE6A3" w14:textId="77777777" w:rsidR="00B96C5C" w:rsidRPr="00D96063" w:rsidRDefault="00B96C5C" w:rsidP="00765D22">
            <w:pPr>
              <w:jc w:val="right"/>
              <w:rPr>
                <w:rFonts w:cs="Calibri"/>
                <w:sz w:val="16"/>
                <w:szCs w:val="16"/>
              </w:rPr>
            </w:pPr>
            <w:r w:rsidRPr="00D96063">
              <w:rPr>
                <w:rFonts w:cs="Calibri"/>
                <w:sz w:val="16"/>
                <w:szCs w:val="16"/>
              </w:rPr>
              <w:t>2.0</w:t>
            </w:r>
          </w:p>
        </w:tc>
        <w:tc>
          <w:tcPr>
            <w:tcW w:w="423" w:type="pct"/>
            <w:noWrap/>
            <w:hideMark/>
          </w:tcPr>
          <w:p w14:paraId="125FEE4F" w14:textId="77777777" w:rsidR="00B96C5C" w:rsidRPr="00D96063" w:rsidRDefault="00B96C5C" w:rsidP="00765D22">
            <w:pPr>
              <w:jc w:val="right"/>
              <w:rPr>
                <w:rFonts w:cs="Calibri"/>
                <w:sz w:val="16"/>
                <w:szCs w:val="16"/>
              </w:rPr>
            </w:pPr>
            <w:r w:rsidRPr="00D96063">
              <w:rPr>
                <w:rFonts w:cs="Calibri"/>
                <w:sz w:val="16"/>
                <w:szCs w:val="16"/>
              </w:rPr>
              <w:t>0.5</w:t>
            </w:r>
          </w:p>
        </w:tc>
        <w:tc>
          <w:tcPr>
            <w:tcW w:w="423" w:type="pct"/>
            <w:noWrap/>
            <w:hideMark/>
          </w:tcPr>
          <w:p w14:paraId="0546002E" w14:textId="77777777" w:rsidR="00B96C5C" w:rsidRPr="00D96063" w:rsidRDefault="00B96C5C" w:rsidP="00765D22">
            <w:pPr>
              <w:jc w:val="right"/>
              <w:rPr>
                <w:rFonts w:cs="Calibri"/>
                <w:sz w:val="16"/>
                <w:szCs w:val="16"/>
              </w:rPr>
            </w:pPr>
            <w:r w:rsidRPr="00D96063">
              <w:rPr>
                <w:rFonts w:cs="Calibri"/>
                <w:sz w:val="16"/>
                <w:szCs w:val="16"/>
              </w:rPr>
              <w:t>-0.4</w:t>
            </w:r>
          </w:p>
        </w:tc>
        <w:tc>
          <w:tcPr>
            <w:tcW w:w="423" w:type="pct"/>
            <w:noWrap/>
            <w:hideMark/>
          </w:tcPr>
          <w:p w14:paraId="69819004" w14:textId="77777777" w:rsidR="00B96C5C" w:rsidRPr="00D96063" w:rsidRDefault="00B96C5C" w:rsidP="00765D22">
            <w:pPr>
              <w:jc w:val="right"/>
              <w:rPr>
                <w:rFonts w:cs="Calibri"/>
                <w:sz w:val="16"/>
                <w:szCs w:val="16"/>
              </w:rPr>
            </w:pPr>
            <w:r w:rsidRPr="00D96063">
              <w:rPr>
                <w:rFonts w:cs="Calibri"/>
                <w:sz w:val="16"/>
                <w:szCs w:val="16"/>
              </w:rPr>
              <w:t>8.2</w:t>
            </w:r>
          </w:p>
        </w:tc>
        <w:tc>
          <w:tcPr>
            <w:tcW w:w="423" w:type="pct"/>
            <w:noWrap/>
            <w:hideMark/>
          </w:tcPr>
          <w:p w14:paraId="2A7EE935" w14:textId="77777777" w:rsidR="00B96C5C" w:rsidRPr="00D96063" w:rsidRDefault="00B96C5C" w:rsidP="00765D22">
            <w:pPr>
              <w:jc w:val="right"/>
              <w:rPr>
                <w:rFonts w:cs="Calibri"/>
                <w:sz w:val="16"/>
                <w:szCs w:val="16"/>
              </w:rPr>
            </w:pPr>
            <w:r w:rsidRPr="00D96063">
              <w:rPr>
                <w:rFonts w:cs="Calibri"/>
                <w:sz w:val="16"/>
                <w:szCs w:val="16"/>
              </w:rPr>
              <w:t>2.8</w:t>
            </w:r>
          </w:p>
        </w:tc>
        <w:tc>
          <w:tcPr>
            <w:tcW w:w="423" w:type="pct"/>
            <w:noWrap/>
            <w:hideMark/>
          </w:tcPr>
          <w:p w14:paraId="61C5647A" w14:textId="77777777" w:rsidR="00B96C5C" w:rsidRPr="00D96063" w:rsidRDefault="00B96C5C" w:rsidP="00765D22">
            <w:pPr>
              <w:jc w:val="right"/>
              <w:rPr>
                <w:rFonts w:cs="Calibri"/>
                <w:sz w:val="16"/>
                <w:szCs w:val="16"/>
              </w:rPr>
            </w:pPr>
            <w:r w:rsidRPr="00D96063">
              <w:rPr>
                <w:rFonts w:cs="Calibri"/>
                <w:sz w:val="16"/>
                <w:szCs w:val="16"/>
              </w:rPr>
              <w:t>3.7</w:t>
            </w:r>
          </w:p>
        </w:tc>
        <w:tc>
          <w:tcPr>
            <w:tcW w:w="425" w:type="pct"/>
            <w:noWrap/>
            <w:hideMark/>
          </w:tcPr>
          <w:p w14:paraId="6CAC8E6F" w14:textId="77777777" w:rsidR="00B96C5C" w:rsidRPr="00D96063" w:rsidRDefault="00B96C5C" w:rsidP="00765D22">
            <w:pPr>
              <w:jc w:val="right"/>
              <w:rPr>
                <w:rFonts w:cs="Calibri"/>
                <w:sz w:val="16"/>
                <w:szCs w:val="16"/>
              </w:rPr>
            </w:pPr>
            <w:r w:rsidRPr="00D96063">
              <w:rPr>
                <w:rFonts w:cs="Calibri"/>
                <w:sz w:val="16"/>
                <w:szCs w:val="16"/>
              </w:rPr>
              <w:t>-1.1</w:t>
            </w:r>
          </w:p>
        </w:tc>
      </w:tr>
      <w:tr w:rsidR="00B96C5C" w:rsidRPr="00D96063" w14:paraId="235183A9" w14:textId="77777777" w:rsidTr="00765D22">
        <w:trPr>
          <w:trHeight w:val="240"/>
        </w:trPr>
        <w:tc>
          <w:tcPr>
            <w:tcW w:w="2040" w:type="pct"/>
            <w:hideMark/>
          </w:tcPr>
          <w:p w14:paraId="032E9CCB" w14:textId="77777777" w:rsidR="00B96C5C" w:rsidRPr="00D96063" w:rsidRDefault="00B96C5C" w:rsidP="00765D22">
            <w:pPr>
              <w:ind w:left="284" w:hanging="284"/>
              <w:jc w:val="left"/>
              <w:rPr>
                <w:rFonts w:cs="Calibri"/>
                <w:sz w:val="16"/>
                <w:szCs w:val="16"/>
              </w:rPr>
            </w:pPr>
            <w:r w:rsidRPr="00D96063">
              <w:rPr>
                <w:rFonts w:cs="Calibri"/>
                <w:sz w:val="16"/>
                <w:szCs w:val="16"/>
              </w:rPr>
              <w:tab/>
              <w:t>Hotels and restaurants</w:t>
            </w:r>
          </w:p>
        </w:tc>
        <w:tc>
          <w:tcPr>
            <w:tcW w:w="420" w:type="pct"/>
            <w:noWrap/>
            <w:hideMark/>
          </w:tcPr>
          <w:p w14:paraId="2E41D3D7" w14:textId="77777777" w:rsidR="00B96C5C" w:rsidRPr="00D96063" w:rsidRDefault="00B96C5C" w:rsidP="00765D22">
            <w:pPr>
              <w:jc w:val="right"/>
              <w:rPr>
                <w:rFonts w:cs="Calibri"/>
                <w:sz w:val="16"/>
                <w:szCs w:val="16"/>
              </w:rPr>
            </w:pPr>
            <w:r w:rsidRPr="00D96063">
              <w:rPr>
                <w:rFonts w:cs="Calibri"/>
                <w:sz w:val="16"/>
                <w:szCs w:val="16"/>
              </w:rPr>
              <w:t>1.5</w:t>
            </w:r>
          </w:p>
        </w:tc>
        <w:tc>
          <w:tcPr>
            <w:tcW w:w="423" w:type="pct"/>
            <w:noWrap/>
            <w:hideMark/>
          </w:tcPr>
          <w:p w14:paraId="2E68AC83" w14:textId="77777777" w:rsidR="00B96C5C" w:rsidRPr="00D96063" w:rsidRDefault="00B96C5C" w:rsidP="00765D22">
            <w:pPr>
              <w:jc w:val="right"/>
              <w:rPr>
                <w:rFonts w:cs="Calibri"/>
                <w:sz w:val="16"/>
                <w:szCs w:val="16"/>
              </w:rPr>
            </w:pPr>
            <w:r w:rsidRPr="00D96063">
              <w:rPr>
                <w:rFonts w:cs="Calibri"/>
                <w:sz w:val="16"/>
                <w:szCs w:val="16"/>
              </w:rPr>
              <w:t>4.1</w:t>
            </w:r>
          </w:p>
        </w:tc>
        <w:tc>
          <w:tcPr>
            <w:tcW w:w="423" w:type="pct"/>
            <w:noWrap/>
            <w:hideMark/>
          </w:tcPr>
          <w:p w14:paraId="00AEDA10" w14:textId="77777777" w:rsidR="00B96C5C" w:rsidRPr="00D96063" w:rsidRDefault="00B96C5C" w:rsidP="00765D22">
            <w:pPr>
              <w:jc w:val="right"/>
              <w:rPr>
                <w:rFonts w:cs="Calibri"/>
                <w:sz w:val="16"/>
                <w:szCs w:val="16"/>
              </w:rPr>
            </w:pPr>
            <w:r w:rsidRPr="00D96063">
              <w:rPr>
                <w:rFonts w:cs="Calibri"/>
                <w:sz w:val="16"/>
                <w:szCs w:val="16"/>
              </w:rPr>
              <w:t>2.3</w:t>
            </w:r>
          </w:p>
        </w:tc>
        <w:tc>
          <w:tcPr>
            <w:tcW w:w="423" w:type="pct"/>
            <w:noWrap/>
            <w:hideMark/>
          </w:tcPr>
          <w:p w14:paraId="4EF03B54" w14:textId="77777777" w:rsidR="00B96C5C" w:rsidRPr="00D96063" w:rsidRDefault="00B96C5C" w:rsidP="00765D22">
            <w:pPr>
              <w:jc w:val="right"/>
              <w:rPr>
                <w:rFonts w:cs="Calibri"/>
                <w:sz w:val="16"/>
                <w:szCs w:val="16"/>
              </w:rPr>
            </w:pPr>
            <w:r w:rsidRPr="00D96063">
              <w:rPr>
                <w:rFonts w:cs="Calibri"/>
                <w:sz w:val="16"/>
                <w:szCs w:val="16"/>
              </w:rPr>
              <w:t>7.6</w:t>
            </w:r>
          </w:p>
        </w:tc>
        <w:tc>
          <w:tcPr>
            <w:tcW w:w="423" w:type="pct"/>
            <w:noWrap/>
            <w:hideMark/>
          </w:tcPr>
          <w:p w14:paraId="7120E319" w14:textId="77777777" w:rsidR="00B96C5C" w:rsidRPr="00D96063" w:rsidRDefault="00B96C5C" w:rsidP="00765D22">
            <w:pPr>
              <w:jc w:val="right"/>
              <w:rPr>
                <w:rFonts w:cs="Calibri"/>
                <w:sz w:val="16"/>
                <w:szCs w:val="16"/>
              </w:rPr>
            </w:pPr>
            <w:r w:rsidRPr="00D96063">
              <w:rPr>
                <w:rFonts w:cs="Calibri"/>
                <w:sz w:val="16"/>
                <w:szCs w:val="16"/>
              </w:rPr>
              <w:t>3.2</w:t>
            </w:r>
          </w:p>
        </w:tc>
        <w:tc>
          <w:tcPr>
            <w:tcW w:w="423" w:type="pct"/>
            <w:noWrap/>
            <w:hideMark/>
          </w:tcPr>
          <w:p w14:paraId="15B53CBB" w14:textId="77777777" w:rsidR="00B96C5C" w:rsidRPr="00D96063" w:rsidRDefault="00B96C5C" w:rsidP="00765D22">
            <w:pPr>
              <w:jc w:val="right"/>
              <w:rPr>
                <w:rFonts w:cs="Calibri"/>
                <w:sz w:val="16"/>
                <w:szCs w:val="16"/>
              </w:rPr>
            </w:pPr>
            <w:r w:rsidRPr="00D96063">
              <w:rPr>
                <w:rFonts w:cs="Calibri"/>
                <w:sz w:val="16"/>
                <w:szCs w:val="16"/>
              </w:rPr>
              <w:t>6.0</w:t>
            </w:r>
          </w:p>
        </w:tc>
        <w:tc>
          <w:tcPr>
            <w:tcW w:w="425" w:type="pct"/>
            <w:noWrap/>
            <w:hideMark/>
          </w:tcPr>
          <w:p w14:paraId="64E79524" w14:textId="77777777" w:rsidR="00B96C5C" w:rsidRPr="00D96063" w:rsidRDefault="00B96C5C" w:rsidP="00765D22">
            <w:pPr>
              <w:jc w:val="right"/>
              <w:rPr>
                <w:rFonts w:cs="Calibri"/>
                <w:sz w:val="16"/>
                <w:szCs w:val="16"/>
              </w:rPr>
            </w:pPr>
            <w:r w:rsidRPr="00D96063">
              <w:rPr>
                <w:rFonts w:cs="Calibri"/>
                <w:sz w:val="16"/>
                <w:szCs w:val="16"/>
              </w:rPr>
              <w:t>-34.8</w:t>
            </w:r>
          </w:p>
        </w:tc>
      </w:tr>
      <w:tr w:rsidR="00B96C5C" w:rsidRPr="00D96063" w14:paraId="70B2B131"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hideMark/>
          </w:tcPr>
          <w:p w14:paraId="0934AE5C" w14:textId="77777777" w:rsidR="00B96C5C" w:rsidRPr="00D96063" w:rsidRDefault="00B96C5C" w:rsidP="00765D22">
            <w:pPr>
              <w:ind w:left="284" w:hanging="284"/>
              <w:jc w:val="left"/>
              <w:rPr>
                <w:rFonts w:cs="Calibri"/>
                <w:sz w:val="16"/>
                <w:szCs w:val="16"/>
              </w:rPr>
            </w:pPr>
            <w:r w:rsidRPr="00D96063">
              <w:rPr>
                <w:rFonts w:cs="Calibri"/>
                <w:sz w:val="16"/>
                <w:szCs w:val="16"/>
              </w:rPr>
              <w:tab/>
              <w:t>Transport and storage</w:t>
            </w:r>
          </w:p>
        </w:tc>
        <w:tc>
          <w:tcPr>
            <w:tcW w:w="420" w:type="pct"/>
            <w:noWrap/>
            <w:hideMark/>
          </w:tcPr>
          <w:p w14:paraId="4511A93B" w14:textId="77777777" w:rsidR="00B96C5C" w:rsidRPr="00D96063" w:rsidRDefault="00B96C5C" w:rsidP="00765D22">
            <w:pPr>
              <w:jc w:val="right"/>
              <w:rPr>
                <w:rFonts w:cs="Calibri"/>
                <w:sz w:val="16"/>
                <w:szCs w:val="16"/>
              </w:rPr>
            </w:pPr>
            <w:r w:rsidRPr="00D96063">
              <w:rPr>
                <w:rFonts w:cs="Calibri"/>
                <w:sz w:val="16"/>
                <w:szCs w:val="16"/>
              </w:rPr>
              <w:t>5.8</w:t>
            </w:r>
          </w:p>
        </w:tc>
        <w:tc>
          <w:tcPr>
            <w:tcW w:w="423" w:type="pct"/>
            <w:noWrap/>
            <w:hideMark/>
          </w:tcPr>
          <w:p w14:paraId="519623E9" w14:textId="77777777" w:rsidR="00B96C5C" w:rsidRPr="00D96063" w:rsidRDefault="00B96C5C" w:rsidP="00765D22">
            <w:pPr>
              <w:jc w:val="right"/>
              <w:rPr>
                <w:rFonts w:cs="Calibri"/>
                <w:sz w:val="16"/>
                <w:szCs w:val="16"/>
              </w:rPr>
            </w:pPr>
            <w:r w:rsidRPr="00D96063">
              <w:rPr>
                <w:rFonts w:cs="Calibri"/>
                <w:sz w:val="16"/>
                <w:szCs w:val="16"/>
              </w:rPr>
              <w:t>2.6</w:t>
            </w:r>
          </w:p>
        </w:tc>
        <w:tc>
          <w:tcPr>
            <w:tcW w:w="423" w:type="pct"/>
            <w:noWrap/>
            <w:hideMark/>
          </w:tcPr>
          <w:p w14:paraId="07EC7591" w14:textId="77777777" w:rsidR="00B96C5C" w:rsidRPr="00D96063" w:rsidRDefault="00B96C5C" w:rsidP="00765D22">
            <w:pPr>
              <w:jc w:val="right"/>
              <w:rPr>
                <w:rFonts w:cs="Calibri"/>
                <w:sz w:val="16"/>
                <w:szCs w:val="16"/>
              </w:rPr>
            </w:pPr>
            <w:r w:rsidRPr="00D96063">
              <w:rPr>
                <w:rFonts w:cs="Calibri"/>
                <w:sz w:val="16"/>
                <w:szCs w:val="16"/>
              </w:rPr>
              <w:t>1.1</w:t>
            </w:r>
          </w:p>
        </w:tc>
        <w:tc>
          <w:tcPr>
            <w:tcW w:w="423" w:type="pct"/>
            <w:noWrap/>
            <w:hideMark/>
          </w:tcPr>
          <w:p w14:paraId="1566FFF0" w14:textId="77777777" w:rsidR="00B96C5C" w:rsidRPr="00D96063" w:rsidRDefault="00B96C5C" w:rsidP="00765D22">
            <w:pPr>
              <w:jc w:val="right"/>
              <w:rPr>
                <w:rFonts w:cs="Calibri"/>
                <w:sz w:val="16"/>
                <w:szCs w:val="16"/>
              </w:rPr>
            </w:pPr>
            <w:r w:rsidRPr="00D96063">
              <w:rPr>
                <w:rFonts w:cs="Calibri"/>
                <w:sz w:val="16"/>
                <w:szCs w:val="16"/>
              </w:rPr>
              <w:t>8.9</w:t>
            </w:r>
          </w:p>
        </w:tc>
        <w:tc>
          <w:tcPr>
            <w:tcW w:w="423" w:type="pct"/>
            <w:noWrap/>
            <w:hideMark/>
          </w:tcPr>
          <w:p w14:paraId="2B755FDF" w14:textId="77777777" w:rsidR="00B96C5C" w:rsidRPr="00D96063" w:rsidRDefault="00B96C5C" w:rsidP="00765D22">
            <w:pPr>
              <w:jc w:val="right"/>
              <w:rPr>
                <w:rFonts w:cs="Calibri"/>
                <w:sz w:val="16"/>
                <w:szCs w:val="16"/>
              </w:rPr>
            </w:pPr>
            <w:r w:rsidRPr="00D96063">
              <w:rPr>
                <w:rFonts w:cs="Calibri"/>
                <w:sz w:val="16"/>
                <w:szCs w:val="16"/>
              </w:rPr>
              <w:t>1.1</w:t>
            </w:r>
          </w:p>
        </w:tc>
        <w:tc>
          <w:tcPr>
            <w:tcW w:w="423" w:type="pct"/>
            <w:noWrap/>
            <w:hideMark/>
          </w:tcPr>
          <w:p w14:paraId="50EBC501" w14:textId="77777777" w:rsidR="00B96C5C" w:rsidRPr="00D96063" w:rsidRDefault="00B96C5C" w:rsidP="00765D22">
            <w:pPr>
              <w:jc w:val="right"/>
              <w:rPr>
                <w:rFonts w:cs="Calibri"/>
                <w:sz w:val="16"/>
                <w:szCs w:val="16"/>
              </w:rPr>
            </w:pPr>
            <w:r w:rsidRPr="00D96063">
              <w:rPr>
                <w:rFonts w:cs="Calibri"/>
                <w:sz w:val="16"/>
                <w:szCs w:val="16"/>
              </w:rPr>
              <w:t>4.3</w:t>
            </w:r>
          </w:p>
        </w:tc>
        <w:tc>
          <w:tcPr>
            <w:tcW w:w="425" w:type="pct"/>
            <w:noWrap/>
            <w:hideMark/>
          </w:tcPr>
          <w:p w14:paraId="7FF18CC7" w14:textId="77777777" w:rsidR="00B96C5C" w:rsidRPr="00D96063" w:rsidRDefault="00B96C5C" w:rsidP="00765D22">
            <w:pPr>
              <w:jc w:val="right"/>
              <w:rPr>
                <w:rFonts w:cs="Calibri"/>
                <w:sz w:val="16"/>
                <w:szCs w:val="16"/>
              </w:rPr>
            </w:pPr>
            <w:r w:rsidRPr="00D96063">
              <w:rPr>
                <w:rFonts w:cs="Calibri"/>
                <w:sz w:val="16"/>
                <w:szCs w:val="16"/>
              </w:rPr>
              <w:t>3.7</w:t>
            </w:r>
          </w:p>
        </w:tc>
      </w:tr>
      <w:tr w:rsidR="00B96C5C" w:rsidRPr="00D96063" w14:paraId="4F49AE6A" w14:textId="77777777" w:rsidTr="00765D22">
        <w:trPr>
          <w:trHeight w:val="240"/>
        </w:trPr>
        <w:tc>
          <w:tcPr>
            <w:tcW w:w="2040" w:type="pct"/>
            <w:hideMark/>
          </w:tcPr>
          <w:p w14:paraId="12448B3B" w14:textId="77777777" w:rsidR="00B96C5C" w:rsidRPr="00D96063" w:rsidRDefault="00B96C5C" w:rsidP="00765D22">
            <w:pPr>
              <w:ind w:left="284" w:hanging="284"/>
              <w:jc w:val="left"/>
              <w:rPr>
                <w:rFonts w:cs="Calibri"/>
                <w:sz w:val="16"/>
                <w:szCs w:val="16"/>
              </w:rPr>
            </w:pPr>
            <w:r w:rsidRPr="00D96063">
              <w:rPr>
                <w:rFonts w:cs="Calibri"/>
                <w:sz w:val="16"/>
                <w:szCs w:val="16"/>
              </w:rPr>
              <w:tab/>
              <w:t>Information and communication</w:t>
            </w:r>
          </w:p>
        </w:tc>
        <w:tc>
          <w:tcPr>
            <w:tcW w:w="420" w:type="pct"/>
            <w:noWrap/>
            <w:hideMark/>
          </w:tcPr>
          <w:p w14:paraId="6A9E1599" w14:textId="77777777" w:rsidR="00B96C5C" w:rsidRPr="00D96063" w:rsidRDefault="00B96C5C" w:rsidP="00765D22">
            <w:pPr>
              <w:jc w:val="right"/>
              <w:rPr>
                <w:rFonts w:cs="Calibri"/>
                <w:sz w:val="16"/>
                <w:szCs w:val="16"/>
              </w:rPr>
            </w:pPr>
            <w:r w:rsidRPr="00D96063">
              <w:rPr>
                <w:rFonts w:cs="Calibri"/>
                <w:sz w:val="16"/>
                <w:szCs w:val="16"/>
              </w:rPr>
              <w:t>29.7</w:t>
            </w:r>
          </w:p>
        </w:tc>
        <w:tc>
          <w:tcPr>
            <w:tcW w:w="423" w:type="pct"/>
            <w:noWrap/>
            <w:hideMark/>
          </w:tcPr>
          <w:p w14:paraId="4DAF6D24" w14:textId="77777777" w:rsidR="00B96C5C" w:rsidRPr="00D96063" w:rsidRDefault="00B96C5C" w:rsidP="00765D22">
            <w:pPr>
              <w:jc w:val="right"/>
              <w:rPr>
                <w:rFonts w:cs="Calibri"/>
                <w:sz w:val="16"/>
                <w:szCs w:val="16"/>
              </w:rPr>
            </w:pPr>
            <w:r w:rsidRPr="00D96063">
              <w:rPr>
                <w:rFonts w:cs="Calibri"/>
                <w:sz w:val="16"/>
                <w:szCs w:val="16"/>
              </w:rPr>
              <w:t>11.9</w:t>
            </w:r>
          </w:p>
        </w:tc>
        <w:tc>
          <w:tcPr>
            <w:tcW w:w="423" w:type="pct"/>
            <w:noWrap/>
            <w:hideMark/>
          </w:tcPr>
          <w:p w14:paraId="5DFAE0C2" w14:textId="77777777" w:rsidR="00B96C5C" w:rsidRPr="00D96063" w:rsidRDefault="00B96C5C" w:rsidP="00765D22">
            <w:pPr>
              <w:jc w:val="right"/>
              <w:rPr>
                <w:rFonts w:cs="Calibri"/>
                <w:sz w:val="16"/>
                <w:szCs w:val="16"/>
              </w:rPr>
            </w:pPr>
            <w:r w:rsidRPr="00D96063">
              <w:rPr>
                <w:rFonts w:cs="Calibri"/>
                <w:sz w:val="16"/>
                <w:szCs w:val="16"/>
              </w:rPr>
              <w:t>5.6</w:t>
            </w:r>
          </w:p>
        </w:tc>
        <w:tc>
          <w:tcPr>
            <w:tcW w:w="423" w:type="pct"/>
            <w:noWrap/>
            <w:hideMark/>
          </w:tcPr>
          <w:p w14:paraId="7C8D54C7" w14:textId="77777777" w:rsidR="00B96C5C" w:rsidRPr="00D96063" w:rsidRDefault="00B96C5C" w:rsidP="00765D22">
            <w:pPr>
              <w:jc w:val="right"/>
              <w:rPr>
                <w:rFonts w:cs="Calibri"/>
                <w:sz w:val="16"/>
                <w:szCs w:val="16"/>
              </w:rPr>
            </w:pPr>
            <w:r w:rsidRPr="00D96063">
              <w:rPr>
                <w:rFonts w:cs="Calibri"/>
                <w:sz w:val="16"/>
                <w:szCs w:val="16"/>
              </w:rPr>
              <w:t>4.2</w:t>
            </w:r>
          </w:p>
        </w:tc>
        <w:tc>
          <w:tcPr>
            <w:tcW w:w="423" w:type="pct"/>
            <w:noWrap/>
            <w:hideMark/>
          </w:tcPr>
          <w:p w14:paraId="54FA627C" w14:textId="77777777" w:rsidR="00B96C5C" w:rsidRPr="00D96063" w:rsidRDefault="00B96C5C" w:rsidP="00765D22">
            <w:pPr>
              <w:jc w:val="right"/>
              <w:rPr>
                <w:rFonts w:cs="Calibri"/>
                <w:sz w:val="16"/>
                <w:szCs w:val="16"/>
              </w:rPr>
            </w:pPr>
            <w:r w:rsidRPr="00D96063">
              <w:rPr>
                <w:rFonts w:cs="Calibri"/>
                <w:sz w:val="16"/>
                <w:szCs w:val="16"/>
              </w:rPr>
              <w:t>13.1</w:t>
            </w:r>
          </w:p>
        </w:tc>
        <w:tc>
          <w:tcPr>
            <w:tcW w:w="423" w:type="pct"/>
            <w:noWrap/>
            <w:hideMark/>
          </w:tcPr>
          <w:p w14:paraId="24A10331" w14:textId="77777777" w:rsidR="00B96C5C" w:rsidRPr="00D96063" w:rsidRDefault="00B96C5C" w:rsidP="00765D22">
            <w:pPr>
              <w:jc w:val="right"/>
              <w:rPr>
                <w:rFonts w:cs="Calibri"/>
                <w:sz w:val="16"/>
                <w:szCs w:val="16"/>
              </w:rPr>
            </w:pPr>
            <w:r w:rsidRPr="00D96063">
              <w:rPr>
                <w:rFonts w:cs="Calibri"/>
                <w:sz w:val="16"/>
                <w:szCs w:val="16"/>
              </w:rPr>
              <w:t>46.5</w:t>
            </w:r>
          </w:p>
        </w:tc>
        <w:tc>
          <w:tcPr>
            <w:tcW w:w="425" w:type="pct"/>
            <w:noWrap/>
            <w:hideMark/>
          </w:tcPr>
          <w:p w14:paraId="500447F7" w14:textId="77777777" w:rsidR="00B96C5C" w:rsidRPr="00D96063" w:rsidRDefault="00B96C5C" w:rsidP="00765D22">
            <w:pPr>
              <w:jc w:val="right"/>
              <w:rPr>
                <w:rFonts w:cs="Calibri"/>
                <w:sz w:val="16"/>
                <w:szCs w:val="16"/>
              </w:rPr>
            </w:pPr>
            <w:r w:rsidRPr="00D96063">
              <w:rPr>
                <w:rFonts w:cs="Calibri"/>
                <w:sz w:val="16"/>
                <w:szCs w:val="16"/>
              </w:rPr>
              <w:t>22.5</w:t>
            </w:r>
          </w:p>
        </w:tc>
      </w:tr>
      <w:tr w:rsidR="00B96C5C" w:rsidRPr="00D96063" w14:paraId="3BEAA10C"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hideMark/>
          </w:tcPr>
          <w:p w14:paraId="58B4F09F" w14:textId="77777777" w:rsidR="00B96C5C" w:rsidRPr="00D96063" w:rsidRDefault="00B96C5C" w:rsidP="00765D22">
            <w:pPr>
              <w:ind w:left="284" w:hanging="284"/>
              <w:jc w:val="left"/>
              <w:rPr>
                <w:rFonts w:cs="Calibri"/>
                <w:sz w:val="16"/>
                <w:szCs w:val="16"/>
              </w:rPr>
            </w:pPr>
            <w:r w:rsidRPr="00D96063">
              <w:rPr>
                <w:rFonts w:cs="Calibri"/>
                <w:sz w:val="16"/>
                <w:szCs w:val="16"/>
              </w:rPr>
              <w:tab/>
              <w:t>Financial and insurance activities</w:t>
            </w:r>
          </w:p>
        </w:tc>
        <w:tc>
          <w:tcPr>
            <w:tcW w:w="420" w:type="pct"/>
            <w:noWrap/>
            <w:hideMark/>
          </w:tcPr>
          <w:p w14:paraId="307FF4FB" w14:textId="77777777" w:rsidR="00B96C5C" w:rsidRPr="00D96063" w:rsidRDefault="00B96C5C" w:rsidP="00765D22">
            <w:pPr>
              <w:jc w:val="right"/>
              <w:rPr>
                <w:rFonts w:cs="Calibri"/>
                <w:sz w:val="16"/>
                <w:szCs w:val="16"/>
              </w:rPr>
            </w:pPr>
            <w:r w:rsidRPr="00D96063">
              <w:rPr>
                <w:rFonts w:cs="Calibri"/>
                <w:sz w:val="16"/>
                <w:szCs w:val="16"/>
              </w:rPr>
              <w:t>21.4</w:t>
            </w:r>
          </w:p>
        </w:tc>
        <w:tc>
          <w:tcPr>
            <w:tcW w:w="423" w:type="pct"/>
            <w:noWrap/>
            <w:hideMark/>
          </w:tcPr>
          <w:p w14:paraId="37E60645" w14:textId="77777777" w:rsidR="00B96C5C" w:rsidRPr="00D96063" w:rsidRDefault="00B96C5C" w:rsidP="00765D22">
            <w:pPr>
              <w:jc w:val="right"/>
              <w:rPr>
                <w:rFonts w:cs="Calibri"/>
                <w:sz w:val="16"/>
                <w:szCs w:val="16"/>
              </w:rPr>
            </w:pPr>
            <w:r w:rsidRPr="00D96063">
              <w:rPr>
                <w:rFonts w:cs="Calibri"/>
                <w:sz w:val="16"/>
                <w:szCs w:val="16"/>
              </w:rPr>
              <w:t>12.9</w:t>
            </w:r>
          </w:p>
        </w:tc>
        <w:tc>
          <w:tcPr>
            <w:tcW w:w="423" w:type="pct"/>
            <w:noWrap/>
            <w:hideMark/>
          </w:tcPr>
          <w:p w14:paraId="0E8B4AAE" w14:textId="77777777" w:rsidR="00B96C5C" w:rsidRPr="00D96063" w:rsidRDefault="00B96C5C" w:rsidP="00765D22">
            <w:pPr>
              <w:jc w:val="right"/>
              <w:rPr>
                <w:rFonts w:cs="Calibri"/>
                <w:sz w:val="16"/>
                <w:szCs w:val="16"/>
              </w:rPr>
            </w:pPr>
            <w:r w:rsidRPr="00D96063">
              <w:rPr>
                <w:rFonts w:cs="Calibri"/>
                <w:sz w:val="16"/>
                <w:szCs w:val="16"/>
              </w:rPr>
              <w:t>8.0</w:t>
            </w:r>
          </w:p>
        </w:tc>
        <w:tc>
          <w:tcPr>
            <w:tcW w:w="423" w:type="pct"/>
            <w:noWrap/>
            <w:hideMark/>
          </w:tcPr>
          <w:p w14:paraId="10BC9EE0" w14:textId="77777777" w:rsidR="00B96C5C" w:rsidRPr="00D96063" w:rsidRDefault="00B96C5C" w:rsidP="00765D22">
            <w:pPr>
              <w:jc w:val="right"/>
              <w:rPr>
                <w:rFonts w:cs="Calibri"/>
                <w:sz w:val="16"/>
                <w:szCs w:val="16"/>
              </w:rPr>
            </w:pPr>
            <w:r w:rsidRPr="00D96063">
              <w:rPr>
                <w:rFonts w:cs="Calibri"/>
                <w:sz w:val="16"/>
                <w:szCs w:val="16"/>
              </w:rPr>
              <w:t>-17.7</w:t>
            </w:r>
          </w:p>
        </w:tc>
        <w:tc>
          <w:tcPr>
            <w:tcW w:w="423" w:type="pct"/>
            <w:noWrap/>
            <w:hideMark/>
          </w:tcPr>
          <w:p w14:paraId="2F27AA8D" w14:textId="77777777" w:rsidR="00B96C5C" w:rsidRPr="00D96063" w:rsidRDefault="00B96C5C" w:rsidP="00765D22">
            <w:pPr>
              <w:jc w:val="right"/>
              <w:rPr>
                <w:rFonts w:cs="Calibri"/>
                <w:sz w:val="16"/>
                <w:szCs w:val="16"/>
              </w:rPr>
            </w:pPr>
            <w:r w:rsidRPr="00D96063">
              <w:rPr>
                <w:rFonts w:cs="Calibri"/>
                <w:sz w:val="16"/>
                <w:szCs w:val="16"/>
              </w:rPr>
              <w:t>-8.2</w:t>
            </w:r>
          </w:p>
        </w:tc>
        <w:tc>
          <w:tcPr>
            <w:tcW w:w="423" w:type="pct"/>
            <w:noWrap/>
            <w:hideMark/>
          </w:tcPr>
          <w:p w14:paraId="1FC6BF63" w14:textId="77777777" w:rsidR="00B96C5C" w:rsidRPr="00D96063" w:rsidRDefault="00B96C5C" w:rsidP="00765D22">
            <w:pPr>
              <w:jc w:val="right"/>
              <w:rPr>
                <w:rFonts w:cs="Calibri"/>
                <w:sz w:val="16"/>
                <w:szCs w:val="16"/>
              </w:rPr>
            </w:pPr>
            <w:r w:rsidRPr="00D96063">
              <w:rPr>
                <w:rFonts w:cs="Calibri"/>
                <w:sz w:val="16"/>
                <w:szCs w:val="16"/>
              </w:rPr>
              <w:t>1.6</w:t>
            </w:r>
          </w:p>
        </w:tc>
        <w:tc>
          <w:tcPr>
            <w:tcW w:w="425" w:type="pct"/>
            <w:noWrap/>
            <w:hideMark/>
          </w:tcPr>
          <w:p w14:paraId="26A8FC7A" w14:textId="77777777" w:rsidR="00B96C5C" w:rsidRPr="00D96063" w:rsidRDefault="00B96C5C" w:rsidP="00765D22">
            <w:pPr>
              <w:jc w:val="right"/>
              <w:rPr>
                <w:rFonts w:cs="Calibri"/>
                <w:sz w:val="16"/>
                <w:szCs w:val="16"/>
              </w:rPr>
            </w:pPr>
            <w:r w:rsidRPr="00D96063">
              <w:rPr>
                <w:rFonts w:cs="Calibri"/>
                <w:sz w:val="16"/>
                <w:szCs w:val="16"/>
              </w:rPr>
              <w:t>5.5</w:t>
            </w:r>
          </w:p>
        </w:tc>
      </w:tr>
      <w:tr w:rsidR="00B96C5C" w:rsidRPr="00D96063" w14:paraId="360C9C4C" w14:textId="77777777" w:rsidTr="00765D22">
        <w:trPr>
          <w:trHeight w:val="240"/>
        </w:trPr>
        <w:tc>
          <w:tcPr>
            <w:tcW w:w="2040" w:type="pct"/>
            <w:hideMark/>
          </w:tcPr>
          <w:p w14:paraId="33312333" w14:textId="77777777" w:rsidR="00B96C5C" w:rsidRPr="00D96063" w:rsidRDefault="00B96C5C" w:rsidP="00765D22">
            <w:pPr>
              <w:ind w:left="284" w:hanging="284"/>
              <w:jc w:val="left"/>
              <w:rPr>
                <w:rFonts w:cs="Calibri"/>
                <w:sz w:val="16"/>
                <w:szCs w:val="16"/>
              </w:rPr>
            </w:pPr>
            <w:r w:rsidRPr="00D96063">
              <w:rPr>
                <w:rFonts w:cs="Calibri"/>
                <w:sz w:val="16"/>
                <w:szCs w:val="16"/>
              </w:rPr>
              <w:tab/>
              <w:t>Real estate</w:t>
            </w:r>
          </w:p>
        </w:tc>
        <w:tc>
          <w:tcPr>
            <w:tcW w:w="420" w:type="pct"/>
            <w:noWrap/>
            <w:hideMark/>
          </w:tcPr>
          <w:p w14:paraId="7F202D32" w14:textId="77777777" w:rsidR="00B96C5C" w:rsidRPr="00D96063" w:rsidRDefault="00B96C5C" w:rsidP="00765D22">
            <w:pPr>
              <w:jc w:val="right"/>
              <w:rPr>
                <w:rFonts w:cs="Calibri"/>
                <w:sz w:val="16"/>
                <w:szCs w:val="16"/>
              </w:rPr>
            </w:pPr>
            <w:r w:rsidRPr="00D96063">
              <w:rPr>
                <w:rFonts w:cs="Calibri"/>
                <w:sz w:val="16"/>
                <w:szCs w:val="16"/>
              </w:rPr>
              <w:t>-0.3</w:t>
            </w:r>
          </w:p>
        </w:tc>
        <w:tc>
          <w:tcPr>
            <w:tcW w:w="423" w:type="pct"/>
            <w:noWrap/>
            <w:hideMark/>
          </w:tcPr>
          <w:p w14:paraId="1072D6EC" w14:textId="77777777" w:rsidR="00B96C5C" w:rsidRPr="00D96063" w:rsidRDefault="00B96C5C" w:rsidP="00765D22">
            <w:pPr>
              <w:jc w:val="right"/>
              <w:rPr>
                <w:rFonts w:cs="Calibri"/>
                <w:sz w:val="16"/>
                <w:szCs w:val="16"/>
              </w:rPr>
            </w:pPr>
            <w:r w:rsidRPr="00D96063">
              <w:rPr>
                <w:rFonts w:cs="Calibri"/>
                <w:sz w:val="16"/>
                <w:szCs w:val="16"/>
              </w:rPr>
              <w:t>3.1</w:t>
            </w:r>
          </w:p>
        </w:tc>
        <w:tc>
          <w:tcPr>
            <w:tcW w:w="423" w:type="pct"/>
            <w:noWrap/>
            <w:hideMark/>
          </w:tcPr>
          <w:p w14:paraId="20ABC3AC" w14:textId="77777777" w:rsidR="00B96C5C" w:rsidRPr="00D96063" w:rsidRDefault="00B96C5C" w:rsidP="00765D22">
            <w:pPr>
              <w:jc w:val="right"/>
              <w:rPr>
                <w:rFonts w:cs="Calibri"/>
                <w:sz w:val="16"/>
                <w:szCs w:val="16"/>
              </w:rPr>
            </w:pPr>
            <w:r w:rsidRPr="00D96063">
              <w:rPr>
                <w:rFonts w:cs="Calibri"/>
                <w:sz w:val="16"/>
                <w:szCs w:val="16"/>
              </w:rPr>
              <w:t>3.2</w:t>
            </w:r>
          </w:p>
        </w:tc>
        <w:tc>
          <w:tcPr>
            <w:tcW w:w="423" w:type="pct"/>
            <w:noWrap/>
            <w:hideMark/>
          </w:tcPr>
          <w:p w14:paraId="787E7034" w14:textId="77777777" w:rsidR="00B96C5C" w:rsidRPr="00D96063" w:rsidRDefault="00B96C5C" w:rsidP="00765D22">
            <w:pPr>
              <w:jc w:val="right"/>
              <w:rPr>
                <w:rFonts w:cs="Calibri"/>
                <w:sz w:val="16"/>
                <w:szCs w:val="16"/>
              </w:rPr>
            </w:pPr>
            <w:r w:rsidRPr="00D96063">
              <w:rPr>
                <w:rFonts w:cs="Calibri"/>
                <w:sz w:val="16"/>
                <w:szCs w:val="16"/>
              </w:rPr>
              <w:t>3.8</w:t>
            </w:r>
          </w:p>
        </w:tc>
        <w:tc>
          <w:tcPr>
            <w:tcW w:w="423" w:type="pct"/>
            <w:noWrap/>
            <w:hideMark/>
          </w:tcPr>
          <w:p w14:paraId="25A3691D" w14:textId="77777777" w:rsidR="00B96C5C" w:rsidRPr="00D96063" w:rsidRDefault="00B96C5C" w:rsidP="00765D22">
            <w:pPr>
              <w:jc w:val="right"/>
              <w:rPr>
                <w:rFonts w:cs="Calibri"/>
                <w:sz w:val="16"/>
                <w:szCs w:val="16"/>
              </w:rPr>
            </w:pPr>
            <w:r w:rsidRPr="00D96063">
              <w:rPr>
                <w:rFonts w:cs="Calibri"/>
                <w:sz w:val="16"/>
                <w:szCs w:val="16"/>
              </w:rPr>
              <w:t>-6.5</w:t>
            </w:r>
          </w:p>
        </w:tc>
        <w:tc>
          <w:tcPr>
            <w:tcW w:w="423" w:type="pct"/>
            <w:noWrap/>
            <w:hideMark/>
          </w:tcPr>
          <w:p w14:paraId="09043882" w14:textId="77777777" w:rsidR="00B96C5C" w:rsidRPr="00D96063" w:rsidRDefault="00B96C5C" w:rsidP="00765D22">
            <w:pPr>
              <w:jc w:val="right"/>
              <w:rPr>
                <w:rFonts w:cs="Calibri"/>
                <w:sz w:val="16"/>
                <w:szCs w:val="16"/>
              </w:rPr>
            </w:pPr>
            <w:r w:rsidRPr="00D96063">
              <w:rPr>
                <w:rFonts w:cs="Calibri"/>
                <w:sz w:val="16"/>
                <w:szCs w:val="16"/>
              </w:rPr>
              <w:t>19.9</w:t>
            </w:r>
          </w:p>
        </w:tc>
        <w:tc>
          <w:tcPr>
            <w:tcW w:w="425" w:type="pct"/>
            <w:noWrap/>
            <w:hideMark/>
          </w:tcPr>
          <w:p w14:paraId="01F884D5" w14:textId="77777777" w:rsidR="00B96C5C" w:rsidRPr="00D96063" w:rsidRDefault="00B96C5C" w:rsidP="00765D22">
            <w:pPr>
              <w:jc w:val="right"/>
              <w:rPr>
                <w:rFonts w:cs="Calibri"/>
                <w:sz w:val="16"/>
                <w:szCs w:val="16"/>
              </w:rPr>
            </w:pPr>
            <w:r w:rsidRPr="00D96063">
              <w:rPr>
                <w:rFonts w:cs="Calibri"/>
                <w:sz w:val="16"/>
                <w:szCs w:val="16"/>
              </w:rPr>
              <w:t>12.5</w:t>
            </w:r>
          </w:p>
        </w:tc>
      </w:tr>
      <w:tr w:rsidR="00B96C5C" w:rsidRPr="00D96063" w14:paraId="2D2CBF0D"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5000" w:type="pct"/>
            <w:gridSpan w:val="8"/>
            <w:noWrap/>
            <w:hideMark/>
          </w:tcPr>
          <w:p w14:paraId="1CD4DCF1" w14:textId="77777777" w:rsidR="00B96C5C" w:rsidRPr="00D96063" w:rsidRDefault="00B96C5C" w:rsidP="00765D22">
            <w:pPr>
              <w:jc w:val="left"/>
              <w:rPr>
                <w:rFonts w:cs="Calibri"/>
                <w:sz w:val="16"/>
                <w:szCs w:val="16"/>
              </w:rPr>
            </w:pPr>
            <w:r w:rsidRPr="00D96063">
              <w:rPr>
                <w:rFonts w:cs="Calibri"/>
                <w:b/>
                <w:bCs/>
                <w:sz w:val="16"/>
                <w:szCs w:val="16"/>
              </w:rPr>
              <w:t>Central government public finance (% of GDP)</w:t>
            </w:r>
          </w:p>
        </w:tc>
      </w:tr>
      <w:tr w:rsidR="00B96C5C" w:rsidRPr="00D96063" w14:paraId="5F4A0D17" w14:textId="77777777" w:rsidTr="00765D22">
        <w:trPr>
          <w:trHeight w:val="240"/>
        </w:trPr>
        <w:tc>
          <w:tcPr>
            <w:tcW w:w="2040" w:type="pct"/>
            <w:noWrap/>
            <w:hideMark/>
          </w:tcPr>
          <w:p w14:paraId="28AA23BA" w14:textId="77777777" w:rsidR="00B96C5C" w:rsidRPr="00D96063" w:rsidRDefault="00B96C5C" w:rsidP="00765D22">
            <w:pPr>
              <w:jc w:val="left"/>
              <w:rPr>
                <w:rFonts w:cs="Calibri"/>
                <w:sz w:val="16"/>
                <w:szCs w:val="16"/>
              </w:rPr>
            </w:pPr>
            <w:r w:rsidRPr="00D96063">
              <w:rPr>
                <w:rFonts w:cs="Calibri"/>
                <w:sz w:val="16"/>
                <w:szCs w:val="16"/>
              </w:rPr>
              <w:t>Total revenues and grants</w:t>
            </w:r>
          </w:p>
        </w:tc>
        <w:tc>
          <w:tcPr>
            <w:tcW w:w="420" w:type="pct"/>
            <w:noWrap/>
            <w:hideMark/>
          </w:tcPr>
          <w:p w14:paraId="22294D6C" w14:textId="77777777" w:rsidR="00B96C5C" w:rsidRPr="00D96063" w:rsidRDefault="00B96C5C" w:rsidP="00765D22">
            <w:pPr>
              <w:jc w:val="right"/>
              <w:rPr>
                <w:rFonts w:cs="Calibri"/>
                <w:sz w:val="16"/>
                <w:szCs w:val="16"/>
              </w:rPr>
            </w:pPr>
            <w:r w:rsidRPr="00D96063">
              <w:rPr>
                <w:rFonts w:cs="Calibri"/>
                <w:sz w:val="16"/>
                <w:szCs w:val="16"/>
              </w:rPr>
              <w:t>15.6</w:t>
            </w:r>
          </w:p>
        </w:tc>
        <w:tc>
          <w:tcPr>
            <w:tcW w:w="423" w:type="pct"/>
            <w:noWrap/>
            <w:hideMark/>
          </w:tcPr>
          <w:p w14:paraId="258BDA37" w14:textId="77777777" w:rsidR="00B96C5C" w:rsidRPr="00D96063" w:rsidRDefault="00B96C5C" w:rsidP="00765D22">
            <w:pPr>
              <w:jc w:val="right"/>
              <w:rPr>
                <w:rFonts w:cs="Calibri"/>
                <w:sz w:val="16"/>
                <w:szCs w:val="16"/>
              </w:rPr>
            </w:pPr>
            <w:r w:rsidRPr="00D96063">
              <w:rPr>
                <w:rFonts w:cs="Calibri"/>
                <w:sz w:val="16"/>
                <w:szCs w:val="16"/>
              </w:rPr>
              <w:t>17.5</w:t>
            </w:r>
          </w:p>
        </w:tc>
        <w:tc>
          <w:tcPr>
            <w:tcW w:w="423" w:type="pct"/>
            <w:noWrap/>
            <w:hideMark/>
          </w:tcPr>
          <w:p w14:paraId="013F2961" w14:textId="77777777" w:rsidR="00B96C5C" w:rsidRPr="00D96063" w:rsidRDefault="00B96C5C" w:rsidP="00765D22">
            <w:pPr>
              <w:jc w:val="right"/>
              <w:rPr>
                <w:rFonts w:cs="Calibri"/>
                <w:sz w:val="16"/>
                <w:szCs w:val="16"/>
              </w:rPr>
            </w:pPr>
            <w:r w:rsidRPr="00D96063">
              <w:rPr>
                <w:rFonts w:cs="Calibri"/>
                <w:sz w:val="16"/>
                <w:szCs w:val="16"/>
              </w:rPr>
              <w:t>15.3</w:t>
            </w:r>
          </w:p>
        </w:tc>
        <w:tc>
          <w:tcPr>
            <w:tcW w:w="423" w:type="pct"/>
            <w:noWrap/>
            <w:hideMark/>
          </w:tcPr>
          <w:p w14:paraId="6F2326F5" w14:textId="77777777" w:rsidR="00B96C5C" w:rsidRPr="00D96063" w:rsidRDefault="00B96C5C" w:rsidP="00765D22">
            <w:pPr>
              <w:jc w:val="right"/>
              <w:rPr>
                <w:rFonts w:cs="Calibri"/>
                <w:sz w:val="16"/>
                <w:szCs w:val="16"/>
              </w:rPr>
            </w:pPr>
            <w:r w:rsidRPr="00D96063">
              <w:rPr>
                <w:rFonts w:cs="Calibri"/>
                <w:sz w:val="16"/>
                <w:szCs w:val="16"/>
              </w:rPr>
              <w:t>15.8</w:t>
            </w:r>
          </w:p>
        </w:tc>
        <w:tc>
          <w:tcPr>
            <w:tcW w:w="423" w:type="pct"/>
            <w:noWrap/>
            <w:hideMark/>
          </w:tcPr>
          <w:p w14:paraId="329A721A" w14:textId="77777777" w:rsidR="00B96C5C" w:rsidRPr="00D96063" w:rsidRDefault="00B96C5C" w:rsidP="00765D22">
            <w:pPr>
              <w:jc w:val="right"/>
              <w:rPr>
                <w:rFonts w:cs="Calibri"/>
                <w:sz w:val="16"/>
                <w:szCs w:val="16"/>
              </w:rPr>
            </w:pPr>
            <w:r w:rsidRPr="00D96063">
              <w:rPr>
                <w:rFonts w:cs="Calibri"/>
                <w:sz w:val="16"/>
                <w:szCs w:val="16"/>
              </w:rPr>
              <w:t>15.4</w:t>
            </w:r>
          </w:p>
        </w:tc>
        <w:tc>
          <w:tcPr>
            <w:tcW w:w="423" w:type="pct"/>
            <w:noWrap/>
            <w:hideMark/>
          </w:tcPr>
          <w:p w14:paraId="6A182071" w14:textId="77777777" w:rsidR="00B96C5C" w:rsidRPr="00D96063" w:rsidRDefault="00B96C5C" w:rsidP="00765D22">
            <w:pPr>
              <w:jc w:val="right"/>
              <w:rPr>
                <w:rFonts w:cs="Calibri"/>
                <w:sz w:val="16"/>
                <w:szCs w:val="16"/>
              </w:rPr>
            </w:pPr>
            <w:r w:rsidRPr="00D96063">
              <w:rPr>
                <w:rFonts w:cs="Calibri"/>
                <w:sz w:val="16"/>
                <w:szCs w:val="16"/>
              </w:rPr>
              <w:t>15.0</w:t>
            </w:r>
          </w:p>
        </w:tc>
        <w:tc>
          <w:tcPr>
            <w:tcW w:w="425" w:type="pct"/>
            <w:noWrap/>
            <w:hideMark/>
          </w:tcPr>
          <w:p w14:paraId="3AA17674" w14:textId="77777777" w:rsidR="00B96C5C" w:rsidRPr="00D96063" w:rsidRDefault="00B96C5C" w:rsidP="00765D22">
            <w:pPr>
              <w:jc w:val="right"/>
              <w:rPr>
                <w:rFonts w:cs="Calibri"/>
                <w:sz w:val="16"/>
                <w:szCs w:val="16"/>
              </w:rPr>
            </w:pPr>
            <w:r w:rsidRPr="00D96063">
              <w:rPr>
                <w:rFonts w:cs="Calibri"/>
                <w:sz w:val="16"/>
                <w:szCs w:val="16"/>
              </w:rPr>
              <w:t>14.4</w:t>
            </w:r>
          </w:p>
        </w:tc>
      </w:tr>
      <w:tr w:rsidR="00B96C5C" w:rsidRPr="00D96063" w14:paraId="1A15B5EE"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36E51A1A" w14:textId="77777777" w:rsidR="00B96C5C" w:rsidRPr="00D96063" w:rsidRDefault="00B96C5C" w:rsidP="00765D22">
            <w:pPr>
              <w:jc w:val="left"/>
              <w:rPr>
                <w:rFonts w:cs="Calibri"/>
                <w:sz w:val="16"/>
                <w:szCs w:val="16"/>
              </w:rPr>
            </w:pPr>
            <w:r w:rsidRPr="00D96063">
              <w:rPr>
                <w:rFonts w:cs="Calibri"/>
                <w:sz w:val="16"/>
                <w:szCs w:val="16"/>
              </w:rPr>
              <w:t>Total expenditures</w:t>
            </w:r>
          </w:p>
        </w:tc>
        <w:tc>
          <w:tcPr>
            <w:tcW w:w="420" w:type="pct"/>
            <w:noWrap/>
            <w:hideMark/>
          </w:tcPr>
          <w:p w14:paraId="0E271CC2" w14:textId="77777777" w:rsidR="00B96C5C" w:rsidRPr="00D96063" w:rsidRDefault="00B96C5C" w:rsidP="00765D22">
            <w:pPr>
              <w:jc w:val="right"/>
              <w:rPr>
                <w:rFonts w:cs="Calibri"/>
                <w:sz w:val="16"/>
                <w:szCs w:val="16"/>
              </w:rPr>
            </w:pPr>
            <w:r w:rsidRPr="00D96063">
              <w:rPr>
                <w:rFonts w:cs="Calibri"/>
                <w:sz w:val="16"/>
                <w:szCs w:val="16"/>
              </w:rPr>
              <w:t>20.1</w:t>
            </w:r>
          </w:p>
        </w:tc>
        <w:tc>
          <w:tcPr>
            <w:tcW w:w="423" w:type="pct"/>
            <w:noWrap/>
            <w:hideMark/>
          </w:tcPr>
          <w:p w14:paraId="0D86F2A1" w14:textId="77777777" w:rsidR="00B96C5C" w:rsidRPr="00D96063" w:rsidRDefault="00B96C5C" w:rsidP="00765D22">
            <w:pPr>
              <w:jc w:val="right"/>
              <w:rPr>
                <w:rFonts w:cs="Calibri"/>
                <w:sz w:val="16"/>
                <w:szCs w:val="16"/>
              </w:rPr>
            </w:pPr>
            <w:r w:rsidRPr="00D96063">
              <w:rPr>
                <w:rFonts w:cs="Calibri"/>
                <w:sz w:val="16"/>
                <w:szCs w:val="16"/>
              </w:rPr>
              <w:t>21.0</w:t>
            </w:r>
          </w:p>
        </w:tc>
        <w:tc>
          <w:tcPr>
            <w:tcW w:w="423" w:type="pct"/>
            <w:noWrap/>
            <w:hideMark/>
          </w:tcPr>
          <w:p w14:paraId="0D16CE27" w14:textId="77777777" w:rsidR="00B96C5C" w:rsidRPr="00D96063" w:rsidRDefault="00B96C5C" w:rsidP="00765D22">
            <w:pPr>
              <w:jc w:val="right"/>
              <w:rPr>
                <w:rFonts w:cs="Calibri"/>
                <w:sz w:val="16"/>
                <w:szCs w:val="16"/>
              </w:rPr>
            </w:pPr>
            <w:r w:rsidRPr="00D96063">
              <w:rPr>
                <w:rFonts w:cs="Calibri"/>
                <w:sz w:val="16"/>
                <w:szCs w:val="16"/>
              </w:rPr>
              <w:t>23.3</w:t>
            </w:r>
          </w:p>
        </w:tc>
        <w:tc>
          <w:tcPr>
            <w:tcW w:w="423" w:type="pct"/>
            <w:noWrap/>
            <w:hideMark/>
          </w:tcPr>
          <w:p w14:paraId="3EEF6278" w14:textId="77777777" w:rsidR="00B96C5C" w:rsidRPr="00D96063" w:rsidRDefault="00B96C5C" w:rsidP="00765D22">
            <w:pPr>
              <w:jc w:val="right"/>
              <w:rPr>
                <w:rFonts w:cs="Calibri"/>
                <w:sz w:val="16"/>
                <w:szCs w:val="16"/>
              </w:rPr>
            </w:pPr>
            <w:r w:rsidRPr="00D96063">
              <w:rPr>
                <w:rFonts w:cs="Calibri"/>
                <w:sz w:val="16"/>
                <w:szCs w:val="16"/>
              </w:rPr>
              <w:t>19.8</w:t>
            </w:r>
          </w:p>
        </w:tc>
        <w:tc>
          <w:tcPr>
            <w:tcW w:w="423" w:type="pct"/>
            <w:noWrap/>
            <w:hideMark/>
          </w:tcPr>
          <w:p w14:paraId="00A16732" w14:textId="77777777" w:rsidR="00B96C5C" w:rsidRPr="00D96063" w:rsidRDefault="00B96C5C" w:rsidP="00765D22">
            <w:pPr>
              <w:jc w:val="right"/>
              <w:rPr>
                <w:rFonts w:cs="Calibri"/>
                <w:sz w:val="16"/>
                <w:szCs w:val="16"/>
              </w:rPr>
            </w:pPr>
            <w:r w:rsidRPr="00D96063">
              <w:rPr>
                <w:rFonts w:cs="Calibri"/>
                <w:sz w:val="16"/>
                <w:szCs w:val="16"/>
              </w:rPr>
              <w:t>18.9</w:t>
            </w:r>
          </w:p>
        </w:tc>
        <w:tc>
          <w:tcPr>
            <w:tcW w:w="423" w:type="pct"/>
            <w:noWrap/>
            <w:hideMark/>
          </w:tcPr>
          <w:p w14:paraId="4B009539" w14:textId="77777777" w:rsidR="00B96C5C" w:rsidRPr="00D96063" w:rsidRDefault="00B96C5C" w:rsidP="00765D22">
            <w:pPr>
              <w:jc w:val="right"/>
              <w:rPr>
                <w:rFonts w:cs="Calibri"/>
                <w:sz w:val="16"/>
                <w:szCs w:val="16"/>
              </w:rPr>
            </w:pPr>
            <w:r w:rsidRPr="00D96063">
              <w:rPr>
                <w:rFonts w:cs="Calibri"/>
                <w:sz w:val="16"/>
                <w:szCs w:val="16"/>
              </w:rPr>
              <w:t>19.0</w:t>
            </w:r>
          </w:p>
        </w:tc>
        <w:tc>
          <w:tcPr>
            <w:tcW w:w="425" w:type="pct"/>
            <w:noWrap/>
            <w:hideMark/>
          </w:tcPr>
          <w:p w14:paraId="70697E0D" w14:textId="77777777" w:rsidR="00B96C5C" w:rsidRPr="00D96063" w:rsidRDefault="00B96C5C" w:rsidP="00765D22">
            <w:pPr>
              <w:jc w:val="right"/>
              <w:rPr>
                <w:rFonts w:cs="Calibri"/>
                <w:sz w:val="16"/>
                <w:szCs w:val="16"/>
              </w:rPr>
            </w:pPr>
            <w:r w:rsidRPr="00D96063">
              <w:rPr>
                <w:rFonts w:cs="Calibri"/>
                <w:sz w:val="16"/>
                <w:szCs w:val="16"/>
              </w:rPr>
              <w:t>25.1</w:t>
            </w:r>
          </w:p>
        </w:tc>
      </w:tr>
      <w:tr w:rsidR="00B96C5C" w:rsidRPr="00D96063" w14:paraId="3AC69B62" w14:textId="77777777" w:rsidTr="00765D22">
        <w:trPr>
          <w:trHeight w:val="240"/>
        </w:trPr>
        <w:tc>
          <w:tcPr>
            <w:tcW w:w="2040" w:type="pct"/>
            <w:noWrap/>
            <w:hideMark/>
          </w:tcPr>
          <w:p w14:paraId="4DF13304" w14:textId="77777777" w:rsidR="00B96C5C" w:rsidRPr="00D96063" w:rsidRDefault="00B96C5C" w:rsidP="00765D22">
            <w:pPr>
              <w:jc w:val="left"/>
              <w:rPr>
                <w:rFonts w:cs="Calibri"/>
                <w:sz w:val="16"/>
                <w:szCs w:val="16"/>
              </w:rPr>
            </w:pPr>
            <w:r w:rsidRPr="00D96063">
              <w:rPr>
                <w:rFonts w:cs="Calibri"/>
                <w:sz w:val="16"/>
                <w:szCs w:val="16"/>
              </w:rPr>
              <w:t>Overall balance (commitment)</w:t>
            </w:r>
          </w:p>
        </w:tc>
        <w:tc>
          <w:tcPr>
            <w:tcW w:w="420" w:type="pct"/>
            <w:noWrap/>
            <w:hideMark/>
          </w:tcPr>
          <w:p w14:paraId="393F0C33" w14:textId="77777777" w:rsidR="00B96C5C" w:rsidRPr="00D96063" w:rsidRDefault="00B96C5C" w:rsidP="00765D22">
            <w:pPr>
              <w:jc w:val="right"/>
              <w:rPr>
                <w:rFonts w:cs="Calibri"/>
                <w:sz w:val="16"/>
                <w:szCs w:val="16"/>
              </w:rPr>
            </w:pPr>
            <w:r w:rsidRPr="00D96063">
              <w:rPr>
                <w:rFonts w:cs="Calibri"/>
                <w:sz w:val="16"/>
                <w:szCs w:val="16"/>
              </w:rPr>
              <w:t>-4.5</w:t>
            </w:r>
          </w:p>
        </w:tc>
        <w:tc>
          <w:tcPr>
            <w:tcW w:w="423" w:type="pct"/>
            <w:noWrap/>
            <w:hideMark/>
          </w:tcPr>
          <w:p w14:paraId="42C3E202" w14:textId="77777777" w:rsidR="00B96C5C" w:rsidRPr="00D96063" w:rsidRDefault="00B96C5C" w:rsidP="00765D22">
            <w:pPr>
              <w:jc w:val="right"/>
              <w:rPr>
                <w:rFonts w:cs="Calibri"/>
                <w:sz w:val="16"/>
                <w:szCs w:val="16"/>
              </w:rPr>
            </w:pPr>
            <w:r w:rsidRPr="00D96063">
              <w:rPr>
                <w:rFonts w:cs="Calibri"/>
                <w:sz w:val="16"/>
                <w:szCs w:val="16"/>
              </w:rPr>
              <w:t>-3.6</w:t>
            </w:r>
          </w:p>
        </w:tc>
        <w:tc>
          <w:tcPr>
            <w:tcW w:w="423" w:type="pct"/>
            <w:noWrap/>
            <w:hideMark/>
          </w:tcPr>
          <w:p w14:paraId="6FC24CA0" w14:textId="77777777" w:rsidR="00B96C5C" w:rsidRPr="00D96063" w:rsidRDefault="00B96C5C" w:rsidP="00765D22">
            <w:pPr>
              <w:jc w:val="right"/>
              <w:rPr>
                <w:rFonts w:cs="Calibri"/>
                <w:sz w:val="16"/>
                <w:szCs w:val="16"/>
              </w:rPr>
            </w:pPr>
            <w:r w:rsidRPr="00D96063">
              <w:rPr>
                <w:rFonts w:cs="Calibri"/>
                <w:sz w:val="16"/>
                <w:szCs w:val="16"/>
              </w:rPr>
              <w:t>-7.9</w:t>
            </w:r>
          </w:p>
        </w:tc>
        <w:tc>
          <w:tcPr>
            <w:tcW w:w="423" w:type="pct"/>
            <w:noWrap/>
            <w:hideMark/>
          </w:tcPr>
          <w:p w14:paraId="0C029788" w14:textId="77777777" w:rsidR="00B96C5C" w:rsidRPr="00D96063" w:rsidRDefault="00B96C5C" w:rsidP="00765D22">
            <w:pPr>
              <w:jc w:val="right"/>
              <w:rPr>
                <w:rFonts w:cs="Calibri"/>
                <w:sz w:val="16"/>
                <w:szCs w:val="16"/>
              </w:rPr>
            </w:pPr>
            <w:r w:rsidRPr="00D96063">
              <w:rPr>
                <w:rFonts w:cs="Calibri"/>
                <w:sz w:val="16"/>
                <w:szCs w:val="16"/>
              </w:rPr>
              <w:t>-4.0</w:t>
            </w:r>
          </w:p>
        </w:tc>
        <w:tc>
          <w:tcPr>
            <w:tcW w:w="423" w:type="pct"/>
            <w:noWrap/>
            <w:hideMark/>
          </w:tcPr>
          <w:p w14:paraId="5A7BE431" w14:textId="77777777" w:rsidR="00B96C5C" w:rsidRPr="00D96063" w:rsidRDefault="00B96C5C" w:rsidP="00765D22">
            <w:pPr>
              <w:jc w:val="right"/>
              <w:rPr>
                <w:rFonts w:cs="Calibri"/>
                <w:sz w:val="16"/>
                <w:szCs w:val="16"/>
              </w:rPr>
            </w:pPr>
            <w:r w:rsidRPr="00D96063">
              <w:rPr>
                <w:rFonts w:cs="Calibri"/>
                <w:sz w:val="16"/>
                <w:szCs w:val="16"/>
              </w:rPr>
              <w:t>-3.4</w:t>
            </w:r>
          </w:p>
        </w:tc>
        <w:tc>
          <w:tcPr>
            <w:tcW w:w="423" w:type="pct"/>
            <w:noWrap/>
            <w:hideMark/>
          </w:tcPr>
          <w:p w14:paraId="5DEE16F2" w14:textId="77777777" w:rsidR="00B96C5C" w:rsidRPr="00D96063" w:rsidRDefault="00B96C5C" w:rsidP="00765D22">
            <w:pPr>
              <w:jc w:val="right"/>
              <w:rPr>
                <w:rFonts w:cs="Calibri"/>
                <w:sz w:val="16"/>
                <w:szCs w:val="16"/>
              </w:rPr>
            </w:pPr>
            <w:r w:rsidRPr="00D96063">
              <w:rPr>
                <w:rFonts w:cs="Calibri"/>
                <w:sz w:val="16"/>
                <w:szCs w:val="16"/>
              </w:rPr>
              <w:t>-4.1</w:t>
            </w:r>
          </w:p>
        </w:tc>
        <w:tc>
          <w:tcPr>
            <w:tcW w:w="425" w:type="pct"/>
            <w:noWrap/>
            <w:hideMark/>
          </w:tcPr>
          <w:p w14:paraId="11F33861" w14:textId="77777777" w:rsidR="00B96C5C" w:rsidRPr="00D96063" w:rsidRDefault="00B96C5C" w:rsidP="00765D22">
            <w:pPr>
              <w:jc w:val="right"/>
              <w:rPr>
                <w:rFonts w:cs="Calibri"/>
                <w:sz w:val="16"/>
                <w:szCs w:val="16"/>
              </w:rPr>
            </w:pPr>
            <w:r w:rsidRPr="00D96063">
              <w:rPr>
                <w:rFonts w:cs="Calibri"/>
                <w:sz w:val="16"/>
                <w:szCs w:val="16"/>
              </w:rPr>
              <w:t>-10.8</w:t>
            </w:r>
          </w:p>
        </w:tc>
      </w:tr>
      <w:tr w:rsidR="00B96C5C" w:rsidRPr="00D96063" w14:paraId="32194AEE" w14:textId="77777777" w:rsidTr="00765D22">
        <w:trPr>
          <w:cnfStyle w:val="000000010000" w:firstRow="0" w:lastRow="0" w:firstColumn="0" w:lastColumn="0" w:oddVBand="0" w:evenVBand="0" w:oddHBand="0" w:evenHBand="1" w:firstRowFirstColumn="0" w:firstRowLastColumn="0" w:lastRowFirstColumn="0" w:lastRowLastColumn="0"/>
          <w:trHeight w:val="68"/>
        </w:trPr>
        <w:tc>
          <w:tcPr>
            <w:tcW w:w="2040" w:type="pct"/>
            <w:noWrap/>
            <w:hideMark/>
          </w:tcPr>
          <w:p w14:paraId="7043D6A4" w14:textId="77777777" w:rsidR="00B96C5C" w:rsidRPr="00D96063" w:rsidRDefault="00B96C5C" w:rsidP="00765D22">
            <w:pPr>
              <w:jc w:val="left"/>
              <w:rPr>
                <w:rFonts w:cs="Calibri"/>
                <w:sz w:val="16"/>
                <w:szCs w:val="16"/>
              </w:rPr>
            </w:pPr>
            <w:r w:rsidRPr="00D96063">
              <w:rPr>
                <w:rFonts w:cs="Calibri"/>
                <w:sz w:val="16"/>
                <w:szCs w:val="16"/>
              </w:rPr>
              <w:t>Total public debt</w:t>
            </w:r>
          </w:p>
        </w:tc>
        <w:tc>
          <w:tcPr>
            <w:tcW w:w="420" w:type="pct"/>
            <w:noWrap/>
            <w:hideMark/>
          </w:tcPr>
          <w:p w14:paraId="758E3BD3" w14:textId="77777777" w:rsidR="00B96C5C" w:rsidRPr="00D96063" w:rsidRDefault="00B96C5C" w:rsidP="00765D22">
            <w:pPr>
              <w:jc w:val="right"/>
              <w:rPr>
                <w:rFonts w:cs="Calibri"/>
                <w:sz w:val="16"/>
                <w:szCs w:val="16"/>
              </w:rPr>
            </w:pPr>
            <w:r w:rsidRPr="00D96063">
              <w:rPr>
                <w:rFonts w:cs="Calibri"/>
                <w:sz w:val="16"/>
                <w:szCs w:val="16"/>
              </w:rPr>
              <w:t>50.1</w:t>
            </w:r>
          </w:p>
        </w:tc>
        <w:tc>
          <w:tcPr>
            <w:tcW w:w="423" w:type="pct"/>
            <w:noWrap/>
            <w:hideMark/>
          </w:tcPr>
          <w:p w14:paraId="6C99FD5E" w14:textId="77777777" w:rsidR="00B96C5C" w:rsidRPr="00D96063" w:rsidRDefault="00B96C5C" w:rsidP="00765D22">
            <w:pPr>
              <w:jc w:val="right"/>
              <w:rPr>
                <w:rFonts w:cs="Calibri"/>
                <w:sz w:val="16"/>
                <w:szCs w:val="16"/>
              </w:rPr>
            </w:pPr>
            <w:r w:rsidRPr="00D96063">
              <w:rPr>
                <w:rFonts w:cs="Calibri"/>
                <w:sz w:val="16"/>
                <w:szCs w:val="16"/>
              </w:rPr>
              <w:t>54.6</w:t>
            </w:r>
          </w:p>
        </w:tc>
        <w:tc>
          <w:tcPr>
            <w:tcW w:w="423" w:type="pct"/>
            <w:noWrap/>
            <w:hideMark/>
          </w:tcPr>
          <w:p w14:paraId="6A99F8C1" w14:textId="77777777" w:rsidR="00B96C5C" w:rsidRPr="00D96063" w:rsidRDefault="00B96C5C" w:rsidP="00765D22">
            <w:pPr>
              <w:jc w:val="right"/>
              <w:rPr>
                <w:rFonts w:cs="Calibri"/>
                <w:sz w:val="16"/>
                <w:szCs w:val="16"/>
              </w:rPr>
            </w:pPr>
            <w:r w:rsidRPr="00D96063">
              <w:rPr>
                <w:rFonts w:cs="Calibri"/>
                <w:sz w:val="16"/>
                <w:szCs w:val="16"/>
              </w:rPr>
              <w:t>55.7</w:t>
            </w:r>
          </w:p>
        </w:tc>
        <w:tc>
          <w:tcPr>
            <w:tcW w:w="423" w:type="pct"/>
            <w:noWrap/>
            <w:hideMark/>
          </w:tcPr>
          <w:p w14:paraId="2FE8FCD3" w14:textId="77777777" w:rsidR="00B96C5C" w:rsidRPr="00D96063" w:rsidRDefault="00B96C5C" w:rsidP="00765D22">
            <w:pPr>
              <w:jc w:val="right"/>
              <w:rPr>
                <w:rFonts w:cs="Calibri"/>
                <w:sz w:val="16"/>
                <w:szCs w:val="16"/>
              </w:rPr>
            </w:pPr>
            <w:r w:rsidRPr="00D96063">
              <w:rPr>
                <w:rFonts w:cs="Calibri"/>
                <w:sz w:val="16"/>
                <w:szCs w:val="16"/>
              </w:rPr>
              <w:t>54.3</w:t>
            </w:r>
          </w:p>
        </w:tc>
        <w:tc>
          <w:tcPr>
            <w:tcW w:w="423" w:type="pct"/>
            <w:noWrap/>
            <w:hideMark/>
          </w:tcPr>
          <w:p w14:paraId="1837F608" w14:textId="77777777" w:rsidR="00B96C5C" w:rsidRPr="00D96063" w:rsidRDefault="00B96C5C" w:rsidP="00765D22">
            <w:pPr>
              <w:jc w:val="right"/>
              <w:rPr>
                <w:rFonts w:cs="Calibri"/>
                <w:sz w:val="16"/>
                <w:szCs w:val="16"/>
              </w:rPr>
            </w:pPr>
            <w:r w:rsidRPr="00D96063">
              <w:rPr>
                <w:rFonts w:cs="Calibri"/>
                <w:sz w:val="16"/>
                <w:szCs w:val="16"/>
              </w:rPr>
              <w:t>56.1</w:t>
            </w:r>
          </w:p>
        </w:tc>
        <w:tc>
          <w:tcPr>
            <w:tcW w:w="423" w:type="pct"/>
            <w:noWrap/>
            <w:hideMark/>
          </w:tcPr>
          <w:p w14:paraId="35E66068" w14:textId="77777777" w:rsidR="00B96C5C" w:rsidRPr="00D96063" w:rsidRDefault="00B96C5C" w:rsidP="00765D22">
            <w:pPr>
              <w:jc w:val="right"/>
              <w:rPr>
                <w:rFonts w:cs="Calibri"/>
                <w:sz w:val="16"/>
                <w:szCs w:val="16"/>
              </w:rPr>
            </w:pPr>
            <w:r w:rsidRPr="00D96063">
              <w:rPr>
                <w:rFonts w:cs="Calibri"/>
                <w:sz w:val="16"/>
                <w:szCs w:val="16"/>
              </w:rPr>
              <w:t>61.2</w:t>
            </w:r>
          </w:p>
        </w:tc>
        <w:tc>
          <w:tcPr>
            <w:tcW w:w="425" w:type="pct"/>
            <w:noWrap/>
            <w:hideMark/>
          </w:tcPr>
          <w:p w14:paraId="620D44E7" w14:textId="77777777" w:rsidR="00B96C5C" w:rsidRPr="00D96063" w:rsidRDefault="00B96C5C" w:rsidP="00765D22">
            <w:pPr>
              <w:jc w:val="right"/>
              <w:rPr>
                <w:rFonts w:cs="Calibri"/>
                <w:sz w:val="16"/>
                <w:szCs w:val="16"/>
              </w:rPr>
            </w:pPr>
            <w:r w:rsidRPr="00D96063">
              <w:rPr>
                <w:rFonts w:cs="Calibri"/>
                <w:sz w:val="16"/>
                <w:szCs w:val="16"/>
              </w:rPr>
              <w:t>76.1</w:t>
            </w:r>
          </w:p>
        </w:tc>
      </w:tr>
      <w:tr w:rsidR="00B96C5C" w:rsidRPr="00D96063" w14:paraId="4A534FBF" w14:textId="77777777" w:rsidTr="00765D22">
        <w:trPr>
          <w:trHeight w:val="240"/>
        </w:trPr>
        <w:tc>
          <w:tcPr>
            <w:tcW w:w="2040" w:type="pct"/>
            <w:noWrap/>
            <w:hideMark/>
          </w:tcPr>
          <w:p w14:paraId="0F5C4D5A" w14:textId="77777777" w:rsidR="00B96C5C" w:rsidRPr="00D96063" w:rsidRDefault="00B96C5C" w:rsidP="00765D22">
            <w:pPr>
              <w:ind w:left="284" w:hanging="284"/>
              <w:jc w:val="left"/>
              <w:rPr>
                <w:rFonts w:cs="Calibri"/>
                <w:sz w:val="16"/>
                <w:szCs w:val="16"/>
              </w:rPr>
            </w:pPr>
            <w:r w:rsidRPr="00D96063">
              <w:rPr>
                <w:rFonts w:cs="Calibri"/>
                <w:sz w:val="16"/>
                <w:szCs w:val="16"/>
              </w:rPr>
              <w:tab/>
              <w:t>Domestic debt</w:t>
            </w:r>
          </w:p>
        </w:tc>
        <w:tc>
          <w:tcPr>
            <w:tcW w:w="420" w:type="pct"/>
            <w:noWrap/>
            <w:hideMark/>
          </w:tcPr>
          <w:p w14:paraId="631034B5" w14:textId="77777777" w:rsidR="00B96C5C" w:rsidRPr="00D96063" w:rsidRDefault="00B96C5C" w:rsidP="00765D22">
            <w:pPr>
              <w:jc w:val="right"/>
              <w:rPr>
                <w:rFonts w:cs="Calibri"/>
                <w:sz w:val="16"/>
                <w:szCs w:val="16"/>
              </w:rPr>
            </w:pPr>
            <w:r w:rsidRPr="00D96063">
              <w:rPr>
                <w:rFonts w:cs="Calibri"/>
                <w:sz w:val="16"/>
                <w:szCs w:val="16"/>
              </w:rPr>
              <w:t>22.1</w:t>
            </w:r>
          </w:p>
        </w:tc>
        <w:tc>
          <w:tcPr>
            <w:tcW w:w="423" w:type="pct"/>
            <w:noWrap/>
            <w:hideMark/>
          </w:tcPr>
          <w:p w14:paraId="7FC2FABD" w14:textId="77777777" w:rsidR="00B96C5C" w:rsidRPr="00D96063" w:rsidRDefault="00B96C5C" w:rsidP="00765D22">
            <w:pPr>
              <w:jc w:val="right"/>
              <w:rPr>
                <w:rFonts w:cs="Calibri"/>
                <w:sz w:val="16"/>
                <w:szCs w:val="16"/>
              </w:rPr>
            </w:pPr>
            <w:r w:rsidRPr="00D96063">
              <w:rPr>
                <w:rFonts w:cs="Calibri"/>
                <w:sz w:val="16"/>
                <w:szCs w:val="16"/>
              </w:rPr>
              <w:t>22.0</w:t>
            </w:r>
          </w:p>
        </w:tc>
        <w:tc>
          <w:tcPr>
            <w:tcW w:w="423" w:type="pct"/>
            <w:noWrap/>
            <w:hideMark/>
          </w:tcPr>
          <w:p w14:paraId="761A0F94" w14:textId="77777777" w:rsidR="00B96C5C" w:rsidRPr="00D96063" w:rsidRDefault="00B96C5C" w:rsidP="00765D22">
            <w:pPr>
              <w:jc w:val="right"/>
              <w:rPr>
                <w:rFonts w:cs="Calibri"/>
                <w:sz w:val="16"/>
                <w:szCs w:val="16"/>
              </w:rPr>
            </w:pPr>
            <w:r w:rsidRPr="00D96063">
              <w:rPr>
                <w:rFonts w:cs="Calibri"/>
                <w:sz w:val="16"/>
                <w:szCs w:val="16"/>
              </w:rPr>
              <w:t>24.3</w:t>
            </w:r>
          </w:p>
        </w:tc>
        <w:tc>
          <w:tcPr>
            <w:tcW w:w="423" w:type="pct"/>
            <w:noWrap/>
            <w:hideMark/>
          </w:tcPr>
          <w:p w14:paraId="60D4A8C2" w14:textId="77777777" w:rsidR="00B96C5C" w:rsidRPr="00D96063" w:rsidRDefault="00B96C5C" w:rsidP="00765D22">
            <w:pPr>
              <w:jc w:val="right"/>
              <w:rPr>
                <w:rFonts w:cs="Calibri"/>
                <w:sz w:val="16"/>
                <w:szCs w:val="16"/>
              </w:rPr>
            </w:pPr>
            <w:r w:rsidRPr="00D96063">
              <w:rPr>
                <w:rFonts w:cs="Calibri"/>
                <w:sz w:val="16"/>
                <w:szCs w:val="16"/>
              </w:rPr>
              <w:t>25.4</w:t>
            </w:r>
          </w:p>
        </w:tc>
        <w:tc>
          <w:tcPr>
            <w:tcW w:w="423" w:type="pct"/>
            <w:noWrap/>
            <w:hideMark/>
          </w:tcPr>
          <w:p w14:paraId="595B0E64" w14:textId="77777777" w:rsidR="00B96C5C" w:rsidRPr="00D96063" w:rsidRDefault="00B96C5C" w:rsidP="00765D22">
            <w:pPr>
              <w:jc w:val="right"/>
              <w:rPr>
                <w:rFonts w:cs="Calibri"/>
                <w:sz w:val="16"/>
                <w:szCs w:val="16"/>
              </w:rPr>
            </w:pPr>
            <w:r w:rsidRPr="00D96063">
              <w:rPr>
                <w:rFonts w:cs="Calibri"/>
                <w:sz w:val="16"/>
                <w:szCs w:val="16"/>
              </w:rPr>
              <w:t>28.2</w:t>
            </w:r>
          </w:p>
        </w:tc>
        <w:tc>
          <w:tcPr>
            <w:tcW w:w="423" w:type="pct"/>
            <w:noWrap/>
            <w:hideMark/>
          </w:tcPr>
          <w:p w14:paraId="1543EC18" w14:textId="77777777" w:rsidR="00B96C5C" w:rsidRPr="00D96063" w:rsidRDefault="00B96C5C" w:rsidP="00765D22">
            <w:pPr>
              <w:jc w:val="right"/>
              <w:rPr>
                <w:rFonts w:cs="Calibri"/>
                <w:sz w:val="16"/>
                <w:szCs w:val="16"/>
              </w:rPr>
            </w:pPr>
            <w:r w:rsidRPr="00D96063">
              <w:rPr>
                <w:rFonts w:cs="Calibri"/>
                <w:sz w:val="16"/>
                <w:szCs w:val="16"/>
              </w:rPr>
              <w:t>29.6</w:t>
            </w:r>
          </w:p>
        </w:tc>
        <w:tc>
          <w:tcPr>
            <w:tcW w:w="425" w:type="pct"/>
            <w:noWrap/>
            <w:hideMark/>
          </w:tcPr>
          <w:p w14:paraId="69C51F6C" w14:textId="77777777" w:rsidR="00B96C5C" w:rsidRPr="00D96063" w:rsidRDefault="00B96C5C" w:rsidP="00765D22">
            <w:pPr>
              <w:jc w:val="right"/>
              <w:rPr>
                <w:rFonts w:cs="Calibri"/>
                <w:sz w:val="16"/>
                <w:szCs w:val="16"/>
              </w:rPr>
            </w:pPr>
            <w:r w:rsidRPr="00D96063">
              <w:rPr>
                <w:rFonts w:cs="Calibri"/>
                <w:sz w:val="16"/>
                <w:szCs w:val="16"/>
              </w:rPr>
              <w:t>39.1</w:t>
            </w:r>
          </w:p>
        </w:tc>
      </w:tr>
      <w:tr w:rsidR="00B96C5C" w:rsidRPr="00D96063" w14:paraId="17A8A877"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7927203C" w14:textId="77777777" w:rsidR="00B96C5C" w:rsidRPr="00D96063" w:rsidRDefault="00B96C5C" w:rsidP="00765D22">
            <w:pPr>
              <w:ind w:left="284" w:hanging="284"/>
              <w:jc w:val="left"/>
              <w:rPr>
                <w:rFonts w:cs="Calibri"/>
                <w:sz w:val="16"/>
                <w:szCs w:val="16"/>
              </w:rPr>
            </w:pPr>
            <w:r w:rsidRPr="00D96063">
              <w:rPr>
                <w:rFonts w:cs="Calibri"/>
                <w:sz w:val="16"/>
                <w:szCs w:val="16"/>
              </w:rPr>
              <w:tab/>
              <w:t>External debt</w:t>
            </w:r>
          </w:p>
        </w:tc>
        <w:tc>
          <w:tcPr>
            <w:tcW w:w="420" w:type="pct"/>
            <w:noWrap/>
            <w:hideMark/>
          </w:tcPr>
          <w:p w14:paraId="6D0C936F" w14:textId="77777777" w:rsidR="00B96C5C" w:rsidRPr="00D96063" w:rsidRDefault="00B96C5C" w:rsidP="00765D22">
            <w:pPr>
              <w:jc w:val="right"/>
              <w:rPr>
                <w:rFonts w:cs="Calibri"/>
                <w:sz w:val="16"/>
                <w:szCs w:val="16"/>
              </w:rPr>
            </w:pPr>
            <w:r w:rsidRPr="00D96063">
              <w:rPr>
                <w:rFonts w:cs="Calibri"/>
                <w:sz w:val="16"/>
                <w:szCs w:val="16"/>
              </w:rPr>
              <w:t>28.1</w:t>
            </w:r>
          </w:p>
        </w:tc>
        <w:tc>
          <w:tcPr>
            <w:tcW w:w="423" w:type="pct"/>
            <w:noWrap/>
            <w:hideMark/>
          </w:tcPr>
          <w:p w14:paraId="1680EA0F" w14:textId="77777777" w:rsidR="00B96C5C" w:rsidRPr="00D96063" w:rsidRDefault="00B96C5C" w:rsidP="00765D22">
            <w:pPr>
              <w:jc w:val="right"/>
              <w:rPr>
                <w:rFonts w:cs="Calibri"/>
                <w:sz w:val="16"/>
                <w:szCs w:val="16"/>
              </w:rPr>
            </w:pPr>
            <w:r w:rsidRPr="00D96063">
              <w:rPr>
                <w:rFonts w:cs="Calibri"/>
                <w:sz w:val="16"/>
                <w:szCs w:val="16"/>
              </w:rPr>
              <w:t>32.6</w:t>
            </w:r>
          </w:p>
        </w:tc>
        <w:tc>
          <w:tcPr>
            <w:tcW w:w="423" w:type="pct"/>
            <w:noWrap/>
            <w:hideMark/>
          </w:tcPr>
          <w:p w14:paraId="6AA0081B" w14:textId="77777777" w:rsidR="00B96C5C" w:rsidRPr="00D96063" w:rsidRDefault="00B96C5C" w:rsidP="00765D22">
            <w:pPr>
              <w:jc w:val="right"/>
              <w:rPr>
                <w:rFonts w:cs="Calibri"/>
                <w:sz w:val="16"/>
                <w:szCs w:val="16"/>
              </w:rPr>
            </w:pPr>
            <w:r w:rsidRPr="00D96063">
              <w:rPr>
                <w:rFonts w:cs="Calibri"/>
                <w:sz w:val="16"/>
                <w:szCs w:val="16"/>
              </w:rPr>
              <w:t>31.4</w:t>
            </w:r>
          </w:p>
        </w:tc>
        <w:tc>
          <w:tcPr>
            <w:tcW w:w="423" w:type="pct"/>
            <w:noWrap/>
            <w:hideMark/>
          </w:tcPr>
          <w:p w14:paraId="1863D8AA" w14:textId="77777777" w:rsidR="00B96C5C" w:rsidRPr="00D96063" w:rsidRDefault="00B96C5C" w:rsidP="00765D22">
            <w:pPr>
              <w:jc w:val="right"/>
              <w:rPr>
                <w:rFonts w:cs="Calibri"/>
                <w:sz w:val="16"/>
                <w:szCs w:val="16"/>
              </w:rPr>
            </w:pPr>
            <w:r w:rsidRPr="00D96063">
              <w:rPr>
                <w:rFonts w:cs="Calibri"/>
                <w:sz w:val="16"/>
                <w:szCs w:val="16"/>
              </w:rPr>
              <w:t>28.9</w:t>
            </w:r>
          </w:p>
        </w:tc>
        <w:tc>
          <w:tcPr>
            <w:tcW w:w="423" w:type="pct"/>
            <w:noWrap/>
            <w:hideMark/>
          </w:tcPr>
          <w:p w14:paraId="497BB7F7" w14:textId="77777777" w:rsidR="00B96C5C" w:rsidRPr="00D96063" w:rsidRDefault="00B96C5C" w:rsidP="00765D22">
            <w:pPr>
              <w:jc w:val="right"/>
              <w:rPr>
                <w:rFonts w:cs="Calibri"/>
                <w:sz w:val="16"/>
                <w:szCs w:val="16"/>
              </w:rPr>
            </w:pPr>
            <w:r w:rsidRPr="00D96063">
              <w:rPr>
                <w:rFonts w:cs="Calibri"/>
                <w:sz w:val="16"/>
                <w:szCs w:val="16"/>
              </w:rPr>
              <w:t>27.9</w:t>
            </w:r>
          </w:p>
        </w:tc>
        <w:tc>
          <w:tcPr>
            <w:tcW w:w="423" w:type="pct"/>
            <w:noWrap/>
            <w:hideMark/>
          </w:tcPr>
          <w:p w14:paraId="2A4D6024" w14:textId="77777777" w:rsidR="00B96C5C" w:rsidRPr="00D96063" w:rsidRDefault="00B96C5C" w:rsidP="00765D22">
            <w:pPr>
              <w:jc w:val="right"/>
              <w:rPr>
                <w:rFonts w:cs="Calibri"/>
                <w:sz w:val="16"/>
                <w:szCs w:val="16"/>
              </w:rPr>
            </w:pPr>
            <w:r w:rsidRPr="00D96063">
              <w:rPr>
                <w:rFonts w:cs="Calibri"/>
                <w:sz w:val="16"/>
                <w:szCs w:val="16"/>
              </w:rPr>
              <w:t>31.6</w:t>
            </w:r>
          </w:p>
        </w:tc>
        <w:tc>
          <w:tcPr>
            <w:tcW w:w="425" w:type="pct"/>
            <w:noWrap/>
            <w:hideMark/>
          </w:tcPr>
          <w:p w14:paraId="756DFDA5" w14:textId="77777777" w:rsidR="00B96C5C" w:rsidRPr="00D96063" w:rsidRDefault="00B96C5C" w:rsidP="00765D22">
            <w:pPr>
              <w:jc w:val="right"/>
              <w:rPr>
                <w:rFonts w:cs="Calibri"/>
                <w:sz w:val="16"/>
                <w:szCs w:val="16"/>
              </w:rPr>
            </w:pPr>
            <w:r w:rsidRPr="00D96063">
              <w:rPr>
                <w:rFonts w:cs="Calibri"/>
                <w:sz w:val="16"/>
                <w:szCs w:val="16"/>
              </w:rPr>
              <w:t>37.0</w:t>
            </w:r>
          </w:p>
        </w:tc>
      </w:tr>
      <w:tr w:rsidR="00B96C5C" w:rsidRPr="00D96063" w14:paraId="70D713E6" w14:textId="77777777" w:rsidTr="00765D22">
        <w:trPr>
          <w:trHeight w:val="240"/>
        </w:trPr>
        <w:tc>
          <w:tcPr>
            <w:tcW w:w="5000" w:type="pct"/>
            <w:gridSpan w:val="8"/>
            <w:noWrap/>
            <w:hideMark/>
          </w:tcPr>
          <w:p w14:paraId="3C53AB15" w14:textId="77777777" w:rsidR="00B96C5C" w:rsidRPr="00D96063" w:rsidRDefault="00B96C5C" w:rsidP="00765D22">
            <w:pPr>
              <w:jc w:val="left"/>
              <w:rPr>
                <w:rFonts w:cs="Calibri"/>
                <w:b/>
                <w:bCs/>
                <w:sz w:val="16"/>
                <w:szCs w:val="16"/>
              </w:rPr>
            </w:pPr>
            <w:r w:rsidRPr="00D96063">
              <w:rPr>
                <w:rFonts w:cs="Calibri"/>
                <w:b/>
                <w:bCs/>
                <w:sz w:val="16"/>
                <w:szCs w:val="16"/>
              </w:rPr>
              <w:t>Money and interest rates</w:t>
            </w:r>
          </w:p>
        </w:tc>
      </w:tr>
      <w:tr w:rsidR="00B96C5C" w:rsidRPr="00D96063" w14:paraId="6D678328"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06236581" w14:textId="77777777" w:rsidR="00B96C5C" w:rsidRPr="00D96063" w:rsidRDefault="00B96C5C" w:rsidP="00765D22">
            <w:pPr>
              <w:jc w:val="left"/>
              <w:rPr>
                <w:rFonts w:cs="Calibri"/>
                <w:sz w:val="16"/>
                <w:szCs w:val="16"/>
              </w:rPr>
            </w:pPr>
            <w:r w:rsidRPr="00D96063">
              <w:rPr>
                <w:rFonts w:cs="Calibri"/>
                <w:sz w:val="16"/>
                <w:szCs w:val="16"/>
              </w:rPr>
              <w:t>Broad Money (M2) (percentage change)</w:t>
            </w:r>
          </w:p>
        </w:tc>
        <w:tc>
          <w:tcPr>
            <w:tcW w:w="420" w:type="pct"/>
            <w:hideMark/>
          </w:tcPr>
          <w:p w14:paraId="16F9BE96" w14:textId="77777777" w:rsidR="00B96C5C" w:rsidRPr="00D96063" w:rsidRDefault="00B96C5C" w:rsidP="00765D22">
            <w:pPr>
              <w:jc w:val="right"/>
              <w:rPr>
                <w:rFonts w:cs="Calibri"/>
                <w:sz w:val="16"/>
                <w:szCs w:val="16"/>
              </w:rPr>
            </w:pPr>
            <w:r w:rsidRPr="00D96063">
              <w:rPr>
                <w:rFonts w:cs="Calibri"/>
                <w:sz w:val="16"/>
                <w:szCs w:val="16"/>
              </w:rPr>
              <w:t>33.0</w:t>
            </w:r>
          </w:p>
        </w:tc>
        <w:tc>
          <w:tcPr>
            <w:tcW w:w="423" w:type="pct"/>
            <w:hideMark/>
          </w:tcPr>
          <w:p w14:paraId="0611473A" w14:textId="77777777" w:rsidR="00B96C5C" w:rsidRPr="00D96063" w:rsidRDefault="00B96C5C" w:rsidP="00765D22">
            <w:pPr>
              <w:jc w:val="right"/>
              <w:rPr>
                <w:rFonts w:cs="Calibri"/>
                <w:sz w:val="16"/>
                <w:szCs w:val="16"/>
              </w:rPr>
            </w:pPr>
            <w:r w:rsidRPr="00D96063">
              <w:rPr>
                <w:rFonts w:cs="Calibri"/>
                <w:sz w:val="16"/>
                <w:szCs w:val="16"/>
              </w:rPr>
              <w:t>26.6</w:t>
            </w:r>
          </w:p>
        </w:tc>
        <w:tc>
          <w:tcPr>
            <w:tcW w:w="423" w:type="pct"/>
            <w:hideMark/>
          </w:tcPr>
          <w:p w14:paraId="5FE64187" w14:textId="77777777" w:rsidR="00B96C5C" w:rsidRPr="00D96063" w:rsidRDefault="00B96C5C" w:rsidP="00765D22">
            <w:pPr>
              <w:jc w:val="right"/>
              <w:rPr>
                <w:rFonts w:cs="Calibri"/>
                <w:sz w:val="16"/>
                <w:szCs w:val="16"/>
              </w:rPr>
            </w:pPr>
            <w:r w:rsidRPr="00D96063">
              <w:rPr>
                <w:rFonts w:cs="Calibri"/>
                <w:sz w:val="16"/>
                <w:szCs w:val="16"/>
              </w:rPr>
              <w:t>24.6</w:t>
            </w:r>
          </w:p>
        </w:tc>
        <w:tc>
          <w:tcPr>
            <w:tcW w:w="423" w:type="pct"/>
            <w:hideMark/>
          </w:tcPr>
          <w:p w14:paraId="1F6CC07F" w14:textId="77777777" w:rsidR="00B96C5C" w:rsidRPr="00D96063" w:rsidRDefault="00B96C5C" w:rsidP="00765D22">
            <w:pPr>
              <w:jc w:val="right"/>
              <w:rPr>
                <w:rFonts w:cs="Calibri"/>
                <w:sz w:val="16"/>
                <w:szCs w:val="16"/>
              </w:rPr>
            </w:pPr>
            <w:r w:rsidRPr="00D96063">
              <w:rPr>
                <w:rFonts w:cs="Calibri"/>
                <w:sz w:val="16"/>
                <w:szCs w:val="16"/>
              </w:rPr>
              <w:t>19.8</w:t>
            </w:r>
          </w:p>
        </w:tc>
        <w:tc>
          <w:tcPr>
            <w:tcW w:w="423" w:type="pct"/>
            <w:hideMark/>
          </w:tcPr>
          <w:p w14:paraId="2A21838E" w14:textId="77777777" w:rsidR="00B96C5C" w:rsidRPr="00D96063" w:rsidRDefault="00B96C5C" w:rsidP="00765D22">
            <w:pPr>
              <w:jc w:val="right"/>
              <w:rPr>
                <w:rFonts w:cs="Calibri"/>
                <w:sz w:val="16"/>
                <w:szCs w:val="16"/>
              </w:rPr>
            </w:pPr>
            <w:r w:rsidRPr="00D96063">
              <w:rPr>
                <w:rFonts w:cs="Calibri"/>
                <w:sz w:val="16"/>
                <w:szCs w:val="16"/>
              </w:rPr>
              <w:t>16.1</w:t>
            </w:r>
          </w:p>
        </w:tc>
        <w:tc>
          <w:tcPr>
            <w:tcW w:w="423" w:type="pct"/>
            <w:hideMark/>
          </w:tcPr>
          <w:p w14:paraId="62C0B9FF" w14:textId="77777777" w:rsidR="00B96C5C" w:rsidRPr="00D96063" w:rsidRDefault="00B96C5C" w:rsidP="00765D22">
            <w:pPr>
              <w:jc w:val="right"/>
              <w:rPr>
                <w:rFonts w:cs="Calibri"/>
                <w:sz w:val="16"/>
                <w:szCs w:val="16"/>
              </w:rPr>
            </w:pPr>
            <w:r w:rsidRPr="00D96063">
              <w:rPr>
                <w:rFonts w:cs="Calibri"/>
                <w:sz w:val="16"/>
                <w:szCs w:val="16"/>
              </w:rPr>
              <w:t>16.0</w:t>
            </w:r>
          </w:p>
        </w:tc>
        <w:tc>
          <w:tcPr>
            <w:tcW w:w="425" w:type="pct"/>
            <w:hideMark/>
          </w:tcPr>
          <w:p w14:paraId="16AC5C8E" w14:textId="77777777" w:rsidR="00B96C5C" w:rsidRPr="00D96063" w:rsidRDefault="00B96C5C" w:rsidP="00765D22">
            <w:pPr>
              <w:jc w:val="right"/>
              <w:rPr>
                <w:rFonts w:cs="Calibri"/>
                <w:sz w:val="16"/>
                <w:szCs w:val="16"/>
              </w:rPr>
            </w:pPr>
            <w:r w:rsidRPr="00D96063">
              <w:rPr>
                <w:rFonts w:cs="Calibri"/>
                <w:sz w:val="16"/>
                <w:szCs w:val="16"/>
              </w:rPr>
              <w:t>35.1</w:t>
            </w:r>
          </w:p>
        </w:tc>
      </w:tr>
      <w:tr w:rsidR="00B96C5C" w:rsidRPr="00D96063" w14:paraId="1A855AB1" w14:textId="77777777" w:rsidTr="00765D22">
        <w:trPr>
          <w:trHeight w:val="240"/>
        </w:trPr>
        <w:tc>
          <w:tcPr>
            <w:tcW w:w="2040" w:type="pct"/>
            <w:noWrap/>
            <w:hideMark/>
          </w:tcPr>
          <w:p w14:paraId="371F91FD" w14:textId="77777777" w:rsidR="00B96C5C" w:rsidRPr="00D96063" w:rsidRDefault="00B96C5C" w:rsidP="00765D22">
            <w:pPr>
              <w:jc w:val="left"/>
              <w:rPr>
                <w:rFonts w:cs="Calibri"/>
                <w:sz w:val="16"/>
                <w:szCs w:val="16"/>
              </w:rPr>
            </w:pPr>
            <w:r w:rsidRPr="00D96063">
              <w:rPr>
                <w:rFonts w:cs="Calibri"/>
                <w:sz w:val="16"/>
                <w:szCs w:val="16"/>
              </w:rPr>
              <w:t>Commercial banks lending rate (%, end of period)</w:t>
            </w:r>
          </w:p>
        </w:tc>
        <w:tc>
          <w:tcPr>
            <w:tcW w:w="420" w:type="pct"/>
            <w:noWrap/>
            <w:hideMark/>
          </w:tcPr>
          <w:p w14:paraId="51306582" w14:textId="77777777" w:rsidR="00B96C5C" w:rsidRPr="00D96063" w:rsidRDefault="00B96C5C" w:rsidP="00765D22">
            <w:pPr>
              <w:jc w:val="right"/>
              <w:rPr>
                <w:rFonts w:cs="Calibri"/>
                <w:sz w:val="16"/>
                <w:szCs w:val="16"/>
              </w:rPr>
            </w:pPr>
            <w:r w:rsidRPr="00D96063">
              <w:rPr>
                <w:rFonts w:cs="Calibri"/>
                <w:sz w:val="16"/>
                <w:szCs w:val="16"/>
              </w:rPr>
              <w:t>29.0</w:t>
            </w:r>
          </w:p>
        </w:tc>
        <w:tc>
          <w:tcPr>
            <w:tcW w:w="423" w:type="pct"/>
            <w:noWrap/>
            <w:hideMark/>
          </w:tcPr>
          <w:p w14:paraId="48B31AD2" w14:textId="77777777" w:rsidR="00B96C5C" w:rsidRPr="00D96063" w:rsidRDefault="00B96C5C" w:rsidP="00765D22">
            <w:pPr>
              <w:jc w:val="right"/>
              <w:rPr>
                <w:rFonts w:cs="Calibri"/>
                <w:sz w:val="16"/>
                <w:szCs w:val="16"/>
              </w:rPr>
            </w:pPr>
            <w:r w:rsidRPr="00D96063">
              <w:rPr>
                <w:rFonts w:cs="Calibri"/>
                <w:sz w:val="16"/>
                <w:szCs w:val="16"/>
              </w:rPr>
              <w:t>27.5</w:t>
            </w:r>
          </w:p>
        </w:tc>
        <w:tc>
          <w:tcPr>
            <w:tcW w:w="423" w:type="pct"/>
            <w:noWrap/>
            <w:hideMark/>
          </w:tcPr>
          <w:p w14:paraId="1A18C807" w14:textId="77777777" w:rsidR="00B96C5C" w:rsidRPr="00D96063" w:rsidRDefault="00B96C5C" w:rsidP="00765D22">
            <w:pPr>
              <w:jc w:val="right"/>
              <w:rPr>
                <w:rFonts w:cs="Calibri"/>
                <w:sz w:val="16"/>
                <w:szCs w:val="16"/>
              </w:rPr>
            </w:pPr>
            <w:r w:rsidRPr="00D96063">
              <w:rPr>
                <w:rFonts w:cs="Calibri"/>
                <w:sz w:val="16"/>
                <w:szCs w:val="16"/>
              </w:rPr>
              <w:t>28.1</w:t>
            </w:r>
          </w:p>
        </w:tc>
        <w:tc>
          <w:tcPr>
            <w:tcW w:w="423" w:type="pct"/>
            <w:noWrap/>
            <w:hideMark/>
          </w:tcPr>
          <w:p w14:paraId="43BE70EF" w14:textId="77777777" w:rsidR="00B96C5C" w:rsidRPr="00D96063" w:rsidRDefault="00B96C5C" w:rsidP="00765D22">
            <w:pPr>
              <w:jc w:val="right"/>
              <w:rPr>
                <w:rFonts w:cs="Calibri"/>
                <w:sz w:val="16"/>
                <w:szCs w:val="16"/>
              </w:rPr>
            </w:pPr>
            <w:r w:rsidRPr="00D96063">
              <w:rPr>
                <w:rFonts w:cs="Calibri"/>
                <w:sz w:val="16"/>
                <w:szCs w:val="16"/>
              </w:rPr>
              <w:t>26.2</w:t>
            </w:r>
          </w:p>
        </w:tc>
        <w:tc>
          <w:tcPr>
            <w:tcW w:w="423" w:type="pct"/>
            <w:noWrap/>
            <w:hideMark/>
          </w:tcPr>
          <w:p w14:paraId="7BFF6A18" w14:textId="77777777" w:rsidR="00B96C5C" w:rsidRPr="00D96063" w:rsidRDefault="00B96C5C" w:rsidP="00765D22">
            <w:pPr>
              <w:jc w:val="right"/>
              <w:rPr>
                <w:rFonts w:cs="Calibri"/>
                <w:sz w:val="16"/>
                <w:szCs w:val="16"/>
              </w:rPr>
            </w:pPr>
            <w:r w:rsidRPr="00D96063">
              <w:rPr>
                <w:rFonts w:cs="Calibri"/>
                <w:sz w:val="16"/>
                <w:szCs w:val="16"/>
              </w:rPr>
              <w:t>24.0</w:t>
            </w:r>
          </w:p>
        </w:tc>
        <w:tc>
          <w:tcPr>
            <w:tcW w:w="423" w:type="pct"/>
            <w:noWrap/>
            <w:hideMark/>
          </w:tcPr>
          <w:p w14:paraId="109622CB" w14:textId="77777777" w:rsidR="00B96C5C" w:rsidRPr="00D96063" w:rsidRDefault="00B96C5C" w:rsidP="00765D22">
            <w:pPr>
              <w:jc w:val="right"/>
              <w:rPr>
                <w:rFonts w:cs="Calibri"/>
                <w:sz w:val="16"/>
                <w:szCs w:val="16"/>
              </w:rPr>
            </w:pPr>
            <w:r w:rsidRPr="00D96063">
              <w:rPr>
                <w:rFonts w:cs="Calibri"/>
                <w:sz w:val="16"/>
                <w:szCs w:val="16"/>
              </w:rPr>
              <w:t>23.7</w:t>
            </w:r>
          </w:p>
        </w:tc>
        <w:tc>
          <w:tcPr>
            <w:tcW w:w="425" w:type="pct"/>
            <w:noWrap/>
            <w:hideMark/>
          </w:tcPr>
          <w:p w14:paraId="6AC173D3" w14:textId="77777777" w:rsidR="00B96C5C" w:rsidRPr="00D96063" w:rsidRDefault="00B96C5C" w:rsidP="00765D22">
            <w:pPr>
              <w:jc w:val="right"/>
              <w:rPr>
                <w:rFonts w:cs="Calibri"/>
                <w:sz w:val="16"/>
                <w:szCs w:val="16"/>
              </w:rPr>
            </w:pPr>
            <w:r w:rsidRPr="00D96063">
              <w:rPr>
                <w:rFonts w:cs="Calibri"/>
                <w:sz w:val="16"/>
                <w:szCs w:val="16"/>
              </w:rPr>
              <w:t>21.1</w:t>
            </w:r>
          </w:p>
        </w:tc>
      </w:tr>
      <w:tr w:rsidR="00B96C5C" w:rsidRPr="00D96063" w14:paraId="7E78F5A5"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08F50781" w14:textId="77777777" w:rsidR="00B96C5C" w:rsidRPr="00D96063" w:rsidRDefault="00B96C5C" w:rsidP="00765D22">
            <w:pPr>
              <w:jc w:val="left"/>
              <w:rPr>
                <w:rFonts w:cs="Calibri"/>
                <w:sz w:val="16"/>
                <w:szCs w:val="16"/>
              </w:rPr>
            </w:pPr>
            <w:r w:rsidRPr="00D96063">
              <w:rPr>
                <w:rFonts w:cs="Calibri"/>
                <w:sz w:val="16"/>
                <w:szCs w:val="16"/>
              </w:rPr>
              <w:t>Savings deposit rate (%, end of period)</w:t>
            </w:r>
          </w:p>
        </w:tc>
        <w:tc>
          <w:tcPr>
            <w:tcW w:w="420" w:type="pct"/>
            <w:noWrap/>
            <w:hideMark/>
          </w:tcPr>
          <w:p w14:paraId="3B2D931D" w14:textId="77777777" w:rsidR="00B96C5C" w:rsidRPr="00D96063" w:rsidRDefault="00B96C5C" w:rsidP="00765D22">
            <w:pPr>
              <w:jc w:val="right"/>
              <w:rPr>
                <w:rFonts w:cs="Calibri"/>
                <w:sz w:val="16"/>
                <w:szCs w:val="16"/>
              </w:rPr>
            </w:pPr>
            <w:r w:rsidRPr="00D96063">
              <w:rPr>
                <w:rFonts w:cs="Calibri"/>
                <w:sz w:val="16"/>
                <w:szCs w:val="16"/>
              </w:rPr>
              <w:t>5.0</w:t>
            </w:r>
          </w:p>
        </w:tc>
        <w:tc>
          <w:tcPr>
            <w:tcW w:w="423" w:type="pct"/>
            <w:noWrap/>
            <w:hideMark/>
          </w:tcPr>
          <w:p w14:paraId="5E71A2AA" w14:textId="77777777" w:rsidR="00B96C5C" w:rsidRPr="00D96063" w:rsidRDefault="00B96C5C" w:rsidP="00765D22">
            <w:pPr>
              <w:jc w:val="right"/>
              <w:rPr>
                <w:rFonts w:cs="Calibri"/>
                <w:sz w:val="16"/>
                <w:szCs w:val="16"/>
              </w:rPr>
            </w:pPr>
            <w:r w:rsidRPr="00D96063">
              <w:rPr>
                <w:rFonts w:cs="Calibri"/>
                <w:sz w:val="16"/>
                <w:szCs w:val="16"/>
              </w:rPr>
              <w:t>6.1</w:t>
            </w:r>
          </w:p>
        </w:tc>
        <w:tc>
          <w:tcPr>
            <w:tcW w:w="423" w:type="pct"/>
            <w:noWrap/>
            <w:hideMark/>
          </w:tcPr>
          <w:p w14:paraId="487A3983" w14:textId="77777777" w:rsidR="00B96C5C" w:rsidRPr="00D96063" w:rsidRDefault="00B96C5C" w:rsidP="00765D22">
            <w:pPr>
              <w:jc w:val="right"/>
              <w:rPr>
                <w:rFonts w:cs="Calibri"/>
                <w:sz w:val="16"/>
                <w:szCs w:val="16"/>
              </w:rPr>
            </w:pPr>
            <w:r w:rsidRPr="00D96063">
              <w:rPr>
                <w:rFonts w:cs="Calibri"/>
                <w:sz w:val="16"/>
                <w:szCs w:val="16"/>
              </w:rPr>
              <w:t>6.1</w:t>
            </w:r>
          </w:p>
        </w:tc>
        <w:tc>
          <w:tcPr>
            <w:tcW w:w="423" w:type="pct"/>
            <w:noWrap/>
            <w:hideMark/>
          </w:tcPr>
          <w:p w14:paraId="13FD23B2" w14:textId="77777777" w:rsidR="00B96C5C" w:rsidRPr="00D96063" w:rsidRDefault="00B96C5C" w:rsidP="00765D22">
            <w:pPr>
              <w:jc w:val="right"/>
              <w:rPr>
                <w:rFonts w:cs="Calibri"/>
                <w:sz w:val="16"/>
                <w:szCs w:val="16"/>
              </w:rPr>
            </w:pPr>
            <w:r w:rsidRPr="00D96063">
              <w:rPr>
                <w:rFonts w:cs="Calibri"/>
                <w:sz w:val="16"/>
                <w:szCs w:val="16"/>
              </w:rPr>
              <w:t>7.6</w:t>
            </w:r>
          </w:p>
        </w:tc>
        <w:tc>
          <w:tcPr>
            <w:tcW w:w="423" w:type="pct"/>
            <w:noWrap/>
            <w:hideMark/>
          </w:tcPr>
          <w:p w14:paraId="714F139E" w14:textId="77777777" w:rsidR="00B96C5C" w:rsidRPr="00D96063" w:rsidRDefault="00B96C5C" w:rsidP="00765D22">
            <w:pPr>
              <w:jc w:val="right"/>
              <w:rPr>
                <w:rFonts w:cs="Calibri"/>
                <w:sz w:val="16"/>
                <w:szCs w:val="16"/>
              </w:rPr>
            </w:pPr>
            <w:r w:rsidRPr="00D96063">
              <w:rPr>
                <w:rFonts w:cs="Calibri"/>
                <w:sz w:val="16"/>
                <w:szCs w:val="16"/>
              </w:rPr>
              <w:t>7.6</w:t>
            </w:r>
          </w:p>
        </w:tc>
        <w:tc>
          <w:tcPr>
            <w:tcW w:w="423" w:type="pct"/>
            <w:noWrap/>
            <w:hideMark/>
          </w:tcPr>
          <w:p w14:paraId="01B077D5" w14:textId="77777777" w:rsidR="00B96C5C" w:rsidRPr="00D96063" w:rsidRDefault="00B96C5C" w:rsidP="00765D22">
            <w:pPr>
              <w:jc w:val="right"/>
              <w:rPr>
                <w:rFonts w:cs="Calibri"/>
                <w:sz w:val="16"/>
                <w:szCs w:val="16"/>
              </w:rPr>
            </w:pPr>
            <w:r w:rsidRPr="00D96063">
              <w:rPr>
                <w:rFonts w:cs="Calibri"/>
                <w:sz w:val="16"/>
                <w:szCs w:val="16"/>
              </w:rPr>
              <w:t>7.6</w:t>
            </w:r>
          </w:p>
        </w:tc>
        <w:tc>
          <w:tcPr>
            <w:tcW w:w="425" w:type="pct"/>
            <w:noWrap/>
            <w:hideMark/>
          </w:tcPr>
          <w:p w14:paraId="69F1DB5A" w14:textId="77777777" w:rsidR="00B96C5C" w:rsidRPr="00D96063" w:rsidRDefault="00B96C5C" w:rsidP="00765D22">
            <w:pPr>
              <w:jc w:val="right"/>
              <w:rPr>
                <w:rFonts w:cs="Calibri"/>
                <w:sz w:val="16"/>
                <w:szCs w:val="16"/>
              </w:rPr>
            </w:pPr>
            <w:r w:rsidRPr="00D96063">
              <w:rPr>
                <w:rFonts w:cs="Calibri"/>
                <w:sz w:val="16"/>
                <w:szCs w:val="16"/>
              </w:rPr>
              <w:t>7.6</w:t>
            </w:r>
          </w:p>
        </w:tc>
      </w:tr>
      <w:tr w:rsidR="00B96C5C" w:rsidRPr="00D96063" w14:paraId="1E974E50" w14:textId="77777777" w:rsidTr="00765D22">
        <w:trPr>
          <w:trHeight w:val="240"/>
        </w:trPr>
        <w:tc>
          <w:tcPr>
            <w:tcW w:w="2040" w:type="pct"/>
            <w:noWrap/>
            <w:hideMark/>
          </w:tcPr>
          <w:p w14:paraId="0174A5A5" w14:textId="77777777" w:rsidR="00B96C5C" w:rsidRPr="00D96063" w:rsidRDefault="00B96C5C" w:rsidP="00765D22">
            <w:pPr>
              <w:jc w:val="left"/>
              <w:rPr>
                <w:rFonts w:cs="Calibri"/>
                <w:sz w:val="16"/>
                <w:szCs w:val="16"/>
              </w:rPr>
            </w:pPr>
            <w:r w:rsidRPr="00D96063">
              <w:rPr>
                <w:rFonts w:cs="Calibri"/>
                <w:sz w:val="16"/>
                <w:szCs w:val="16"/>
              </w:rPr>
              <w:t>Monetary Policy Rate (%, end of period)</w:t>
            </w:r>
          </w:p>
        </w:tc>
        <w:tc>
          <w:tcPr>
            <w:tcW w:w="420" w:type="pct"/>
            <w:noWrap/>
            <w:hideMark/>
          </w:tcPr>
          <w:p w14:paraId="7303513A" w14:textId="77777777" w:rsidR="00B96C5C" w:rsidRPr="00D96063" w:rsidRDefault="00B96C5C" w:rsidP="00765D22">
            <w:pPr>
              <w:jc w:val="right"/>
              <w:rPr>
                <w:rFonts w:cs="Calibri"/>
                <w:sz w:val="16"/>
                <w:szCs w:val="16"/>
              </w:rPr>
            </w:pPr>
            <w:r w:rsidRPr="00D96063">
              <w:rPr>
                <w:rFonts w:cs="Calibri"/>
                <w:sz w:val="16"/>
                <w:szCs w:val="16"/>
              </w:rPr>
              <w:t>21.0</w:t>
            </w:r>
          </w:p>
        </w:tc>
        <w:tc>
          <w:tcPr>
            <w:tcW w:w="423" w:type="pct"/>
            <w:noWrap/>
            <w:hideMark/>
          </w:tcPr>
          <w:p w14:paraId="6150174E" w14:textId="77777777" w:rsidR="00B96C5C" w:rsidRPr="00D96063" w:rsidRDefault="00B96C5C" w:rsidP="00765D22">
            <w:pPr>
              <w:jc w:val="right"/>
              <w:rPr>
                <w:rFonts w:cs="Calibri"/>
                <w:sz w:val="16"/>
                <w:szCs w:val="16"/>
              </w:rPr>
            </w:pPr>
            <w:r w:rsidRPr="00D96063">
              <w:rPr>
                <w:rFonts w:cs="Calibri"/>
                <w:sz w:val="16"/>
                <w:szCs w:val="16"/>
              </w:rPr>
              <w:t>26.0</w:t>
            </w:r>
          </w:p>
        </w:tc>
        <w:tc>
          <w:tcPr>
            <w:tcW w:w="423" w:type="pct"/>
            <w:noWrap/>
            <w:hideMark/>
          </w:tcPr>
          <w:p w14:paraId="589AECAB" w14:textId="77777777" w:rsidR="00B96C5C" w:rsidRPr="00D96063" w:rsidRDefault="00B96C5C" w:rsidP="00765D22">
            <w:pPr>
              <w:jc w:val="right"/>
              <w:rPr>
                <w:rFonts w:cs="Calibri"/>
                <w:sz w:val="16"/>
                <w:szCs w:val="16"/>
              </w:rPr>
            </w:pPr>
            <w:r w:rsidRPr="00D96063">
              <w:rPr>
                <w:rFonts w:cs="Calibri"/>
                <w:sz w:val="16"/>
                <w:szCs w:val="16"/>
              </w:rPr>
              <w:t>25.5</w:t>
            </w:r>
          </w:p>
        </w:tc>
        <w:tc>
          <w:tcPr>
            <w:tcW w:w="423" w:type="pct"/>
            <w:noWrap/>
            <w:hideMark/>
          </w:tcPr>
          <w:p w14:paraId="4A763416" w14:textId="77777777" w:rsidR="00B96C5C" w:rsidRPr="00D96063" w:rsidRDefault="00B96C5C" w:rsidP="00765D22">
            <w:pPr>
              <w:jc w:val="right"/>
              <w:rPr>
                <w:rFonts w:cs="Calibri"/>
                <w:sz w:val="16"/>
                <w:szCs w:val="16"/>
              </w:rPr>
            </w:pPr>
            <w:r w:rsidRPr="00D96063">
              <w:rPr>
                <w:rFonts w:cs="Calibri"/>
                <w:sz w:val="16"/>
                <w:szCs w:val="16"/>
              </w:rPr>
              <w:t>20.0</w:t>
            </w:r>
          </w:p>
        </w:tc>
        <w:tc>
          <w:tcPr>
            <w:tcW w:w="423" w:type="pct"/>
            <w:noWrap/>
            <w:hideMark/>
          </w:tcPr>
          <w:p w14:paraId="33B91346" w14:textId="77777777" w:rsidR="00B96C5C" w:rsidRPr="00D96063" w:rsidRDefault="00B96C5C" w:rsidP="00765D22">
            <w:pPr>
              <w:jc w:val="right"/>
              <w:rPr>
                <w:rFonts w:cs="Calibri"/>
                <w:sz w:val="16"/>
                <w:szCs w:val="16"/>
              </w:rPr>
            </w:pPr>
            <w:r w:rsidRPr="00D96063">
              <w:rPr>
                <w:rFonts w:cs="Calibri"/>
                <w:sz w:val="16"/>
                <w:szCs w:val="16"/>
              </w:rPr>
              <w:t>17.0</w:t>
            </w:r>
          </w:p>
        </w:tc>
        <w:tc>
          <w:tcPr>
            <w:tcW w:w="423" w:type="pct"/>
            <w:noWrap/>
            <w:hideMark/>
          </w:tcPr>
          <w:p w14:paraId="5E2531C1" w14:textId="77777777" w:rsidR="00B96C5C" w:rsidRPr="00D96063" w:rsidRDefault="00B96C5C" w:rsidP="00765D22">
            <w:pPr>
              <w:jc w:val="right"/>
              <w:rPr>
                <w:rFonts w:cs="Calibri"/>
                <w:sz w:val="16"/>
                <w:szCs w:val="16"/>
              </w:rPr>
            </w:pPr>
            <w:r w:rsidRPr="00D96063">
              <w:rPr>
                <w:rFonts w:cs="Calibri"/>
                <w:sz w:val="16"/>
                <w:szCs w:val="16"/>
              </w:rPr>
              <w:t>16.0</w:t>
            </w:r>
          </w:p>
        </w:tc>
        <w:tc>
          <w:tcPr>
            <w:tcW w:w="425" w:type="pct"/>
            <w:noWrap/>
            <w:hideMark/>
          </w:tcPr>
          <w:p w14:paraId="53F2A456" w14:textId="77777777" w:rsidR="00B96C5C" w:rsidRPr="00D96063" w:rsidRDefault="00B96C5C" w:rsidP="00765D22">
            <w:pPr>
              <w:jc w:val="right"/>
              <w:rPr>
                <w:rFonts w:cs="Calibri"/>
                <w:sz w:val="16"/>
                <w:szCs w:val="16"/>
              </w:rPr>
            </w:pPr>
            <w:r w:rsidRPr="00D96063">
              <w:rPr>
                <w:rFonts w:cs="Calibri"/>
                <w:sz w:val="16"/>
                <w:szCs w:val="16"/>
              </w:rPr>
              <w:t>14.5</w:t>
            </w:r>
          </w:p>
        </w:tc>
      </w:tr>
      <w:tr w:rsidR="00B96C5C" w:rsidRPr="00D96063" w14:paraId="4D498514"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2DA40916" w14:textId="77777777" w:rsidR="00B96C5C" w:rsidRPr="00D96063" w:rsidRDefault="00B96C5C" w:rsidP="00765D22">
            <w:pPr>
              <w:jc w:val="left"/>
              <w:rPr>
                <w:rFonts w:cs="Calibri"/>
                <w:sz w:val="16"/>
                <w:szCs w:val="16"/>
              </w:rPr>
            </w:pPr>
            <w:r w:rsidRPr="00D96063">
              <w:rPr>
                <w:rFonts w:cs="Calibri"/>
                <w:sz w:val="16"/>
                <w:szCs w:val="16"/>
              </w:rPr>
              <w:t>Inflation (CPI percentage change, period average)</w:t>
            </w:r>
          </w:p>
        </w:tc>
        <w:tc>
          <w:tcPr>
            <w:tcW w:w="420" w:type="pct"/>
            <w:noWrap/>
            <w:hideMark/>
          </w:tcPr>
          <w:p w14:paraId="08FD6969" w14:textId="77777777" w:rsidR="00B96C5C" w:rsidRPr="00D96063" w:rsidRDefault="00B96C5C" w:rsidP="00765D22">
            <w:pPr>
              <w:jc w:val="right"/>
              <w:rPr>
                <w:rFonts w:cs="Calibri"/>
                <w:sz w:val="16"/>
                <w:szCs w:val="16"/>
              </w:rPr>
            </w:pPr>
            <w:r w:rsidRPr="00D96063">
              <w:rPr>
                <w:rFonts w:cs="Calibri"/>
                <w:sz w:val="16"/>
                <w:szCs w:val="16"/>
              </w:rPr>
              <w:t>15.5</w:t>
            </w:r>
          </w:p>
        </w:tc>
        <w:tc>
          <w:tcPr>
            <w:tcW w:w="423" w:type="pct"/>
            <w:noWrap/>
            <w:hideMark/>
          </w:tcPr>
          <w:p w14:paraId="7CC1A181" w14:textId="77777777" w:rsidR="00B96C5C" w:rsidRPr="00D96063" w:rsidRDefault="00B96C5C" w:rsidP="00765D22">
            <w:pPr>
              <w:jc w:val="right"/>
              <w:rPr>
                <w:rFonts w:cs="Calibri"/>
                <w:sz w:val="16"/>
                <w:szCs w:val="16"/>
              </w:rPr>
            </w:pPr>
            <w:r w:rsidRPr="00D96063">
              <w:rPr>
                <w:rFonts w:cs="Calibri"/>
                <w:sz w:val="16"/>
                <w:szCs w:val="16"/>
              </w:rPr>
              <w:t>17.2</w:t>
            </w:r>
          </w:p>
        </w:tc>
        <w:tc>
          <w:tcPr>
            <w:tcW w:w="423" w:type="pct"/>
            <w:noWrap/>
            <w:hideMark/>
          </w:tcPr>
          <w:p w14:paraId="2B5DD331" w14:textId="77777777" w:rsidR="00B96C5C" w:rsidRPr="00D96063" w:rsidRDefault="00B96C5C" w:rsidP="00765D22">
            <w:pPr>
              <w:jc w:val="right"/>
              <w:rPr>
                <w:rFonts w:cs="Calibri"/>
                <w:sz w:val="16"/>
                <w:szCs w:val="16"/>
              </w:rPr>
            </w:pPr>
            <w:r w:rsidRPr="00D96063">
              <w:rPr>
                <w:rFonts w:cs="Calibri"/>
                <w:sz w:val="16"/>
                <w:szCs w:val="16"/>
              </w:rPr>
              <w:t>17.5</w:t>
            </w:r>
          </w:p>
        </w:tc>
        <w:tc>
          <w:tcPr>
            <w:tcW w:w="423" w:type="pct"/>
            <w:noWrap/>
            <w:hideMark/>
          </w:tcPr>
          <w:p w14:paraId="497BC60F" w14:textId="77777777" w:rsidR="00B96C5C" w:rsidRPr="00D96063" w:rsidRDefault="00B96C5C" w:rsidP="00765D22">
            <w:pPr>
              <w:jc w:val="right"/>
              <w:rPr>
                <w:rFonts w:cs="Calibri"/>
                <w:sz w:val="16"/>
                <w:szCs w:val="16"/>
              </w:rPr>
            </w:pPr>
            <w:r w:rsidRPr="00D96063">
              <w:rPr>
                <w:rFonts w:cs="Calibri"/>
                <w:sz w:val="16"/>
                <w:szCs w:val="16"/>
              </w:rPr>
              <w:t>12.4</w:t>
            </w:r>
          </w:p>
        </w:tc>
        <w:tc>
          <w:tcPr>
            <w:tcW w:w="423" w:type="pct"/>
            <w:noWrap/>
            <w:hideMark/>
          </w:tcPr>
          <w:p w14:paraId="2C69FD53" w14:textId="77777777" w:rsidR="00B96C5C" w:rsidRPr="00D96063" w:rsidRDefault="00B96C5C" w:rsidP="00765D22">
            <w:pPr>
              <w:jc w:val="right"/>
              <w:rPr>
                <w:rFonts w:cs="Calibri"/>
                <w:sz w:val="16"/>
                <w:szCs w:val="16"/>
              </w:rPr>
            </w:pPr>
            <w:r w:rsidRPr="00D96063">
              <w:rPr>
                <w:rFonts w:cs="Calibri"/>
                <w:sz w:val="16"/>
                <w:szCs w:val="16"/>
              </w:rPr>
              <w:t>9.8</w:t>
            </w:r>
          </w:p>
        </w:tc>
        <w:tc>
          <w:tcPr>
            <w:tcW w:w="423" w:type="pct"/>
            <w:noWrap/>
            <w:hideMark/>
          </w:tcPr>
          <w:p w14:paraId="792824C0" w14:textId="77777777" w:rsidR="00B96C5C" w:rsidRPr="00D96063" w:rsidRDefault="00B96C5C" w:rsidP="00765D22">
            <w:pPr>
              <w:jc w:val="right"/>
              <w:rPr>
                <w:rFonts w:cs="Calibri"/>
                <w:sz w:val="16"/>
                <w:szCs w:val="16"/>
              </w:rPr>
            </w:pPr>
            <w:r w:rsidRPr="00D96063">
              <w:rPr>
                <w:rFonts w:cs="Calibri"/>
                <w:sz w:val="16"/>
                <w:szCs w:val="16"/>
              </w:rPr>
              <w:t>7.1</w:t>
            </w:r>
          </w:p>
        </w:tc>
        <w:tc>
          <w:tcPr>
            <w:tcW w:w="425" w:type="pct"/>
            <w:noWrap/>
            <w:hideMark/>
          </w:tcPr>
          <w:p w14:paraId="1416E485" w14:textId="77777777" w:rsidR="00B96C5C" w:rsidRPr="00D96063" w:rsidRDefault="00B96C5C" w:rsidP="00765D22">
            <w:pPr>
              <w:jc w:val="right"/>
              <w:rPr>
                <w:rFonts w:cs="Calibri"/>
                <w:sz w:val="16"/>
                <w:szCs w:val="16"/>
              </w:rPr>
            </w:pPr>
            <w:r w:rsidRPr="00D96063">
              <w:rPr>
                <w:rFonts w:cs="Calibri"/>
                <w:sz w:val="16"/>
                <w:szCs w:val="16"/>
              </w:rPr>
              <w:t>9.9</w:t>
            </w:r>
          </w:p>
        </w:tc>
      </w:tr>
      <w:tr w:rsidR="00B96C5C" w:rsidRPr="00D96063" w14:paraId="7A0A49F4" w14:textId="77777777" w:rsidTr="00765D22">
        <w:trPr>
          <w:trHeight w:val="240"/>
        </w:trPr>
        <w:tc>
          <w:tcPr>
            <w:tcW w:w="5000" w:type="pct"/>
            <w:gridSpan w:val="8"/>
            <w:noWrap/>
            <w:hideMark/>
          </w:tcPr>
          <w:p w14:paraId="1883240A" w14:textId="77777777" w:rsidR="00B96C5C" w:rsidRPr="00D96063" w:rsidRDefault="00B96C5C" w:rsidP="00765D22">
            <w:pPr>
              <w:jc w:val="left"/>
              <w:rPr>
                <w:rFonts w:cs="Calibri"/>
                <w:b/>
                <w:bCs/>
                <w:sz w:val="16"/>
                <w:szCs w:val="16"/>
              </w:rPr>
            </w:pPr>
            <w:r w:rsidRPr="00D96063">
              <w:rPr>
                <w:rFonts w:cs="Calibri"/>
                <w:b/>
                <w:bCs/>
                <w:sz w:val="16"/>
                <w:szCs w:val="16"/>
              </w:rPr>
              <w:t>External sector</w:t>
            </w:r>
          </w:p>
        </w:tc>
      </w:tr>
      <w:tr w:rsidR="00B96C5C" w:rsidRPr="00D96063" w14:paraId="4F9117C5"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77C409ED" w14:textId="77777777" w:rsidR="00B96C5C" w:rsidRPr="00D96063" w:rsidRDefault="00B96C5C" w:rsidP="00765D22">
            <w:pPr>
              <w:jc w:val="left"/>
              <w:rPr>
                <w:rFonts w:cs="Calibri"/>
                <w:sz w:val="16"/>
                <w:szCs w:val="16"/>
              </w:rPr>
            </w:pPr>
            <w:r w:rsidRPr="00D96063">
              <w:rPr>
                <w:rFonts w:cs="Calibri"/>
                <w:sz w:val="16"/>
                <w:szCs w:val="16"/>
              </w:rPr>
              <w:t>GHS/USD (period average)</w:t>
            </w:r>
          </w:p>
        </w:tc>
        <w:tc>
          <w:tcPr>
            <w:tcW w:w="420" w:type="pct"/>
            <w:noWrap/>
            <w:hideMark/>
          </w:tcPr>
          <w:p w14:paraId="36BDC5B4" w14:textId="77777777" w:rsidR="00B96C5C" w:rsidRPr="00D96063" w:rsidRDefault="00B96C5C" w:rsidP="00765D22">
            <w:pPr>
              <w:jc w:val="right"/>
              <w:rPr>
                <w:rFonts w:cs="Calibri"/>
                <w:sz w:val="16"/>
                <w:szCs w:val="16"/>
              </w:rPr>
            </w:pPr>
            <w:r w:rsidRPr="00D96063">
              <w:rPr>
                <w:rFonts w:cs="Calibri"/>
                <w:sz w:val="16"/>
                <w:szCs w:val="16"/>
              </w:rPr>
              <w:t>2.9</w:t>
            </w:r>
          </w:p>
        </w:tc>
        <w:tc>
          <w:tcPr>
            <w:tcW w:w="423" w:type="pct"/>
            <w:noWrap/>
            <w:hideMark/>
          </w:tcPr>
          <w:p w14:paraId="295666EE" w14:textId="77777777" w:rsidR="00B96C5C" w:rsidRPr="00D96063" w:rsidRDefault="00B96C5C" w:rsidP="00765D22">
            <w:pPr>
              <w:jc w:val="right"/>
              <w:rPr>
                <w:rFonts w:cs="Calibri"/>
                <w:sz w:val="16"/>
                <w:szCs w:val="16"/>
              </w:rPr>
            </w:pPr>
            <w:r w:rsidRPr="00D96063">
              <w:rPr>
                <w:rFonts w:cs="Calibri"/>
                <w:sz w:val="16"/>
                <w:szCs w:val="16"/>
              </w:rPr>
              <w:t>3.8</w:t>
            </w:r>
          </w:p>
        </w:tc>
        <w:tc>
          <w:tcPr>
            <w:tcW w:w="423" w:type="pct"/>
            <w:noWrap/>
            <w:hideMark/>
          </w:tcPr>
          <w:p w14:paraId="72B77872" w14:textId="77777777" w:rsidR="00B96C5C" w:rsidRPr="00D96063" w:rsidRDefault="00B96C5C" w:rsidP="00765D22">
            <w:pPr>
              <w:jc w:val="right"/>
              <w:rPr>
                <w:rFonts w:cs="Calibri"/>
                <w:sz w:val="16"/>
                <w:szCs w:val="16"/>
              </w:rPr>
            </w:pPr>
            <w:r w:rsidRPr="00D96063">
              <w:rPr>
                <w:rFonts w:cs="Calibri"/>
                <w:sz w:val="16"/>
                <w:szCs w:val="16"/>
              </w:rPr>
              <w:t>3.9</w:t>
            </w:r>
          </w:p>
        </w:tc>
        <w:tc>
          <w:tcPr>
            <w:tcW w:w="423" w:type="pct"/>
            <w:noWrap/>
            <w:hideMark/>
          </w:tcPr>
          <w:p w14:paraId="0394B244" w14:textId="77777777" w:rsidR="00B96C5C" w:rsidRPr="00D96063" w:rsidRDefault="00B96C5C" w:rsidP="00765D22">
            <w:pPr>
              <w:jc w:val="right"/>
              <w:rPr>
                <w:rFonts w:cs="Calibri"/>
                <w:sz w:val="16"/>
                <w:szCs w:val="16"/>
              </w:rPr>
            </w:pPr>
            <w:r w:rsidRPr="00D96063">
              <w:rPr>
                <w:rFonts w:cs="Calibri"/>
                <w:sz w:val="16"/>
                <w:szCs w:val="16"/>
              </w:rPr>
              <w:t>4.4</w:t>
            </w:r>
          </w:p>
        </w:tc>
        <w:tc>
          <w:tcPr>
            <w:tcW w:w="423" w:type="pct"/>
            <w:noWrap/>
            <w:hideMark/>
          </w:tcPr>
          <w:p w14:paraId="7A879020" w14:textId="77777777" w:rsidR="00B96C5C" w:rsidRPr="00D96063" w:rsidRDefault="00B96C5C" w:rsidP="00765D22">
            <w:pPr>
              <w:jc w:val="right"/>
              <w:rPr>
                <w:rFonts w:cs="Calibri"/>
                <w:sz w:val="16"/>
                <w:szCs w:val="16"/>
              </w:rPr>
            </w:pPr>
            <w:r w:rsidRPr="00D96063">
              <w:rPr>
                <w:rFonts w:cs="Calibri"/>
                <w:sz w:val="16"/>
                <w:szCs w:val="16"/>
              </w:rPr>
              <w:t>4.6</w:t>
            </w:r>
          </w:p>
        </w:tc>
        <w:tc>
          <w:tcPr>
            <w:tcW w:w="423" w:type="pct"/>
            <w:noWrap/>
            <w:hideMark/>
          </w:tcPr>
          <w:p w14:paraId="3DB10905" w14:textId="77777777" w:rsidR="00B96C5C" w:rsidRPr="00D96063" w:rsidRDefault="00B96C5C" w:rsidP="00765D22">
            <w:pPr>
              <w:jc w:val="right"/>
              <w:rPr>
                <w:rFonts w:cs="Calibri"/>
                <w:sz w:val="16"/>
                <w:szCs w:val="16"/>
              </w:rPr>
            </w:pPr>
            <w:r w:rsidRPr="00D96063">
              <w:rPr>
                <w:rFonts w:cs="Calibri"/>
                <w:sz w:val="16"/>
                <w:szCs w:val="16"/>
              </w:rPr>
              <w:t>5.2</w:t>
            </w:r>
          </w:p>
        </w:tc>
        <w:tc>
          <w:tcPr>
            <w:tcW w:w="425" w:type="pct"/>
            <w:noWrap/>
            <w:hideMark/>
          </w:tcPr>
          <w:p w14:paraId="4BB3E626" w14:textId="77777777" w:rsidR="00B96C5C" w:rsidRPr="00D96063" w:rsidRDefault="00B96C5C" w:rsidP="00765D22">
            <w:pPr>
              <w:jc w:val="right"/>
              <w:rPr>
                <w:rFonts w:cs="Calibri"/>
                <w:sz w:val="16"/>
                <w:szCs w:val="16"/>
              </w:rPr>
            </w:pPr>
            <w:r w:rsidRPr="00D96063">
              <w:rPr>
                <w:rFonts w:cs="Calibri"/>
                <w:sz w:val="16"/>
                <w:szCs w:val="16"/>
              </w:rPr>
              <w:t>5.6</w:t>
            </w:r>
          </w:p>
        </w:tc>
      </w:tr>
      <w:tr w:rsidR="00B96C5C" w:rsidRPr="00D96063" w14:paraId="4191DA5B" w14:textId="77777777" w:rsidTr="00765D22">
        <w:trPr>
          <w:trHeight w:val="240"/>
        </w:trPr>
        <w:tc>
          <w:tcPr>
            <w:tcW w:w="2040" w:type="pct"/>
            <w:noWrap/>
            <w:hideMark/>
          </w:tcPr>
          <w:p w14:paraId="0C49C3DA" w14:textId="77777777" w:rsidR="00B96C5C" w:rsidRPr="00D96063" w:rsidRDefault="00B96C5C" w:rsidP="00765D22">
            <w:pPr>
              <w:jc w:val="left"/>
              <w:rPr>
                <w:rFonts w:cs="Calibri"/>
                <w:sz w:val="16"/>
                <w:szCs w:val="16"/>
              </w:rPr>
            </w:pPr>
            <w:r w:rsidRPr="00D96063">
              <w:rPr>
                <w:rFonts w:cs="Calibri"/>
                <w:sz w:val="16"/>
                <w:szCs w:val="16"/>
              </w:rPr>
              <w:t>GHS/EUR (period average)</w:t>
            </w:r>
          </w:p>
        </w:tc>
        <w:tc>
          <w:tcPr>
            <w:tcW w:w="420" w:type="pct"/>
            <w:noWrap/>
            <w:hideMark/>
          </w:tcPr>
          <w:p w14:paraId="04EB2929" w14:textId="77777777" w:rsidR="00B96C5C" w:rsidRPr="00D96063" w:rsidRDefault="00B96C5C" w:rsidP="00765D22">
            <w:pPr>
              <w:jc w:val="right"/>
              <w:rPr>
                <w:rFonts w:cs="Calibri"/>
                <w:sz w:val="16"/>
                <w:szCs w:val="16"/>
              </w:rPr>
            </w:pPr>
            <w:r w:rsidRPr="00D96063">
              <w:rPr>
                <w:rFonts w:cs="Calibri"/>
                <w:sz w:val="16"/>
                <w:szCs w:val="16"/>
              </w:rPr>
              <w:t>3.8</w:t>
            </w:r>
          </w:p>
        </w:tc>
        <w:tc>
          <w:tcPr>
            <w:tcW w:w="423" w:type="pct"/>
            <w:noWrap/>
            <w:hideMark/>
          </w:tcPr>
          <w:p w14:paraId="4C96CEC1" w14:textId="77777777" w:rsidR="00B96C5C" w:rsidRPr="00D96063" w:rsidRDefault="00B96C5C" w:rsidP="00765D22">
            <w:pPr>
              <w:jc w:val="right"/>
              <w:rPr>
                <w:rFonts w:cs="Calibri"/>
                <w:sz w:val="16"/>
                <w:szCs w:val="16"/>
              </w:rPr>
            </w:pPr>
            <w:r w:rsidRPr="00D96063">
              <w:rPr>
                <w:rFonts w:cs="Calibri"/>
                <w:sz w:val="16"/>
                <w:szCs w:val="16"/>
              </w:rPr>
              <w:t>4.1</w:t>
            </w:r>
          </w:p>
        </w:tc>
        <w:tc>
          <w:tcPr>
            <w:tcW w:w="423" w:type="pct"/>
            <w:noWrap/>
            <w:hideMark/>
          </w:tcPr>
          <w:p w14:paraId="5086992E" w14:textId="77777777" w:rsidR="00B96C5C" w:rsidRPr="00D96063" w:rsidRDefault="00B96C5C" w:rsidP="00765D22">
            <w:pPr>
              <w:jc w:val="right"/>
              <w:rPr>
                <w:rFonts w:cs="Calibri"/>
                <w:sz w:val="16"/>
                <w:szCs w:val="16"/>
              </w:rPr>
            </w:pPr>
            <w:r w:rsidRPr="00D96063">
              <w:rPr>
                <w:rFonts w:cs="Calibri"/>
                <w:sz w:val="16"/>
                <w:szCs w:val="16"/>
              </w:rPr>
              <w:t>4.3</w:t>
            </w:r>
          </w:p>
        </w:tc>
        <w:tc>
          <w:tcPr>
            <w:tcW w:w="423" w:type="pct"/>
            <w:noWrap/>
            <w:hideMark/>
          </w:tcPr>
          <w:p w14:paraId="56AF5619" w14:textId="77777777" w:rsidR="00B96C5C" w:rsidRPr="00D96063" w:rsidRDefault="00B96C5C" w:rsidP="00765D22">
            <w:pPr>
              <w:jc w:val="right"/>
              <w:rPr>
                <w:rFonts w:cs="Calibri"/>
                <w:sz w:val="16"/>
                <w:szCs w:val="16"/>
              </w:rPr>
            </w:pPr>
            <w:r w:rsidRPr="00D96063">
              <w:rPr>
                <w:rFonts w:cs="Calibri"/>
                <w:sz w:val="16"/>
                <w:szCs w:val="16"/>
              </w:rPr>
              <w:t>4.9</w:t>
            </w:r>
          </w:p>
        </w:tc>
        <w:tc>
          <w:tcPr>
            <w:tcW w:w="423" w:type="pct"/>
            <w:noWrap/>
            <w:hideMark/>
          </w:tcPr>
          <w:p w14:paraId="1F86D580" w14:textId="77777777" w:rsidR="00B96C5C" w:rsidRPr="00D96063" w:rsidRDefault="00B96C5C" w:rsidP="00765D22">
            <w:pPr>
              <w:jc w:val="right"/>
              <w:rPr>
                <w:rFonts w:cs="Calibri"/>
                <w:sz w:val="16"/>
                <w:szCs w:val="16"/>
              </w:rPr>
            </w:pPr>
            <w:r w:rsidRPr="00D96063">
              <w:rPr>
                <w:rFonts w:cs="Calibri"/>
                <w:sz w:val="16"/>
                <w:szCs w:val="16"/>
              </w:rPr>
              <w:t>5.4</w:t>
            </w:r>
          </w:p>
        </w:tc>
        <w:tc>
          <w:tcPr>
            <w:tcW w:w="423" w:type="pct"/>
            <w:noWrap/>
            <w:hideMark/>
          </w:tcPr>
          <w:p w14:paraId="12B94FDE" w14:textId="77777777" w:rsidR="00B96C5C" w:rsidRPr="00D96063" w:rsidRDefault="00B96C5C" w:rsidP="00765D22">
            <w:pPr>
              <w:jc w:val="right"/>
              <w:rPr>
                <w:rFonts w:cs="Calibri"/>
                <w:sz w:val="16"/>
                <w:szCs w:val="16"/>
              </w:rPr>
            </w:pPr>
            <w:r w:rsidRPr="00D96063">
              <w:rPr>
                <w:rFonts w:cs="Calibri"/>
                <w:sz w:val="16"/>
                <w:szCs w:val="16"/>
              </w:rPr>
              <w:t>5.8</w:t>
            </w:r>
          </w:p>
        </w:tc>
        <w:tc>
          <w:tcPr>
            <w:tcW w:w="425" w:type="pct"/>
            <w:noWrap/>
            <w:hideMark/>
          </w:tcPr>
          <w:p w14:paraId="6A39AC3F" w14:textId="77777777" w:rsidR="00B96C5C" w:rsidRPr="00D96063" w:rsidRDefault="00B96C5C" w:rsidP="00765D22">
            <w:pPr>
              <w:jc w:val="right"/>
              <w:rPr>
                <w:rFonts w:cs="Calibri"/>
                <w:sz w:val="16"/>
                <w:szCs w:val="16"/>
              </w:rPr>
            </w:pPr>
            <w:r w:rsidRPr="00D96063">
              <w:rPr>
                <w:rFonts w:cs="Calibri"/>
                <w:sz w:val="16"/>
                <w:szCs w:val="16"/>
              </w:rPr>
              <w:t>6.4</w:t>
            </w:r>
          </w:p>
        </w:tc>
      </w:tr>
      <w:tr w:rsidR="00B96C5C" w:rsidRPr="00D96063" w14:paraId="72C1D1CB"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1372BD5D" w14:textId="77777777" w:rsidR="00B96C5C" w:rsidRPr="00D96063" w:rsidRDefault="00B96C5C" w:rsidP="00765D22">
            <w:pPr>
              <w:jc w:val="left"/>
              <w:rPr>
                <w:rFonts w:cs="Calibri"/>
                <w:sz w:val="16"/>
                <w:szCs w:val="16"/>
              </w:rPr>
            </w:pPr>
            <w:r w:rsidRPr="00D96063">
              <w:rPr>
                <w:rFonts w:cs="Calibri"/>
                <w:sz w:val="16"/>
                <w:szCs w:val="16"/>
              </w:rPr>
              <w:t>Nominal effective exchange rate (percentage change; minus=depreciation)</w:t>
            </w:r>
          </w:p>
        </w:tc>
        <w:tc>
          <w:tcPr>
            <w:tcW w:w="420" w:type="pct"/>
            <w:noWrap/>
            <w:hideMark/>
          </w:tcPr>
          <w:p w14:paraId="33D74645" w14:textId="77777777" w:rsidR="00B96C5C" w:rsidRPr="00D96063" w:rsidRDefault="00B96C5C" w:rsidP="00765D22">
            <w:pPr>
              <w:jc w:val="right"/>
              <w:rPr>
                <w:rFonts w:cs="Calibri"/>
                <w:sz w:val="16"/>
                <w:szCs w:val="16"/>
              </w:rPr>
            </w:pPr>
            <w:r w:rsidRPr="00D96063">
              <w:rPr>
                <w:rFonts w:cs="Calibri"/>
                <w:sz w:val="16"/>
                <w:szCs w:val="16"/>
              </w:rPr>
              <w:t>-30.6</w:t>
            </w:r>
          </w:p>
        </w:tc>
        <w:tc>
          <w:tcPr>
            <w:tcW w:w="423" w:type="pct"/>
            <w:noWrap/>
            <w:hideMark/>
          </w:tcPr>
          <w:p w14:paraId="64AF825B" w14:textId="77777777" w:rsidR="00B96C5C" w:rsidRPr="00D96063" w:rsidRDefault="00B96C5C" w:rsidP="00765D22">
            <w:pPr>
              <w:jc w:val="right"/>
              <w:rPr>
                <w:rFonts w:cs="Calibri"/>
                <w:sz w:val="16"/>
                <w:szCs w:val="16"/>
              </w:rPr>
            </w:pPr>
            <w:r w:rsidRPr="00D96063">
              <w:rPr>
                <w:rFonts w:cs="Calibri"/>
                <w:sz w:val="16"/>
                <w:szCs w:val="16"/>
              </w:rPr>
              <w:t>-15.7</w:t>
            </w:r>
          </w:p>
        </w:tc>
        <w:tc>
          <w:tcPr>
            <w:tcW w:w="423" w:type="pct"/>
            <w:noWrap/>
            <w:hideMark/>
          </w:tcPr>
          <w:p w14:paraId="3C28CD3A" w14:textId="77777777" w:rsidR="00B96C5C" w:rsidRPr="00D96063" w:rsidRDefault="00B96C5C" w:rsidP="00765D22">
            <w:pPr>
              <w:jc w:val="right"/>
              <w:rPr>
                <w:rFonts w:cs="Calibri"/>
                <w:sz w:val="16"/>
                <w:szCs w:val="16"/>
              </w:rPr>
            </w:pPr>
            <w:r w:rsidRPr="00D96063">
              <w:rPr>
                <w:rFonts w:cs="Calibri"/>
                <w:sz w:val="16"/>
                <w:szCs w:val="16"/>
              </w:rPr>
              <w:t>-0.1</w:t>
            </w:r>
          </w:p>
        </w:tc>
        <w:tc>
          <w:tcPr>
            <w:tcW w:w="423" w:type="pct"/>
            <w:noWrap/>
            <w:hideMark/>
          </w:tcPr>
          <w:p w14:paraId="045600B1" w14:textId="77777777" w:rsidR="00B96C5C" w:rsidRPr="00D96063" w:rsidRDefault="00B96C5C" w:rsidP="00765D22">
            <w:pPr>
              <w:jc w:val="right"/>
              <w:rPr>
                <w:rFonts w:cs="Calibri"/>
                <w:sz w:val="16"/>
                <w:szCs w:val="16"/>
              </w:rPr>
            </w:pPr>
            <w:r w:rsidRPr="00D96063">
              <w:rPr>
                <w:rFonts w:cs="Calibri"/>
                <w:sz w:val="16"/>
                <w:szCs w:val="16"/>
              </w:rPr>
              <w:t>-9.6</w:t>
            </w:r>
          </w:p>
        </w:tc>
        <w:tc>
          <w:tcPr>
            <w:tcW w:w="423" w:type="pct"/>
            <w:noWrap/>
            <w:hideMark/>
          </w:tcPr>
          <w:p w14:paraId="726538E0" w14:textId="77777777" w:rsidR="00B96C5C" w:rsidRPr="00D96063" w:rsidRDefault="00B96C5C" w:rsidP="00765D22">
            <w:pPr>
              <w:jc w:val="right"/>
              <w:rPr>
                <w:rFonts w:cs="Calibri"/>
                <w:sz w:val="16"/>
                <w:szCs w:val="16"/>
              </w:rPr>
            </w:pPr>
            <w:r w:rsidRPr="00D96063">
              <w:rPr>
                <w:rFonts w:cs="Calibri"/>
                <w:sz w:val="16"/>
                <w:szCs w:val="16"/>
              </w:rPr>
              <w:t>-6.4</w:t>
            </w:r>
          </w:p>
        </w:tc>
        <w:tc>
          <w:tcPr>
            <w:tcW w:w="423" w:type="pct"/>
            <w:noWrap/>
            <w:hideMark/>
          </w:tcPr>
          <w:p w14:paraId="3043DA85" w14:textId="77777777" w:rsidR="00B96C5C" w:rsidRPr="00D96063" w:rsidRDefault="00B96C5C" w:rsidP="00765D22">
            <w:pPr>
              <w:jc w:val="right"/>
              <w:rPr>
                <w:rFonts w:cs="Calibri"/>
                <w:sz w:val="16"/>
                <w:szCs w:val="16"/>
              </w:rPr>
            </w:pPr>
            <w:r w:rsidRPr="00D96063">
              <w:rPr>
                <w:rFonts w:cs="Calibri"/>
                <w:sz w:val="16"/>
                <w:szCs w:val="16"/>
              </w:rPr>
              <w:t>-8.5</w:t>
            </w:r>
          </w:p>
        </w:tc>
        <w:tc>
          <w:tcPr>
            <w:tcW w:w="425" w:type="pct"/>
            <w:noWrap/>
            <w:hideMark/>
          </w:tcPr>
          <w:p w14:paraId="3622DE95" w14:textId="77777777" w:rsidR="00B96C5C" w:rsidRPr="00D96063" w:rsidRDefault="00B96C5C" w:rsidP="00765D22">
            <w:pPr>
              <w:jc w:val="right"/>
              <w:rPr>
                <w:rFonts w:cs="Calibri"/>
                <w:sz w:val="16"/>
                <w:szCs w:val="16"/>
              </w:rPr>
            </w:pPr>
            <w:r w:rsidRPr="00D96063">
              <w:rPr>
                <w:rFonts w:cs="Calibri"/>
                <w:sz w:val="16"/>
                <w:szCs w:val="16"/>
              </w:rPr>
              <w:t>-5.8</w:t>
            </w:r>
          </w:p>
        </w:tc>
      </w:tr>
      <w:tr w:rsidR="00B96C5C" w:rsidRPr="00D96063" w14:paraId="5C106F46" w14:textId="77777777" w:rsidTr="00765D22">
        <w:trPr>
          <w:trHeight w:val="240"/>
        </w:trPr>
        <w:tc>
          <w:tcPr>
            <w:tcW w:w="2040" w:type="pct"/>
            <w:noWrap/>
            <w:hideMark/>
          </w:tcPr>
          <w:p w14:paraId="109A4685" w14:textId="77777777" w:rsidR="00B96C5C" w:rsidRPr="00D96063" w:rsidRDefault="00B96C5C" w:rsidP="00765D22">
            <w:pPr>
              <w:jc w:val="left"/>
              <w:rPr>
                <w:rFonts w:cs="Calibri"/>
                <w:sz w:val="16"/>
                <w:szCs w:val="16"/>
              </w:rPr>
            </w:pPr>
            <w:r w:rsidRPr="00D96063">
              <w:rPr>
                <w:rFonts w:cs="Calibri"/>
                <w:sz w:val="16"/>
                <w:szCs w:val="16"/>
              </w:rPr>
              <w:t>Real effective exchange rate (percentage change; minus=depreciation)</w:t>
            </w:r>
          </w:p>
        </w:tc>
        <w:tc>
          <w:tcPr>
            <w:tcW w:w="420" w:type="pct"/>
            <w:noWrap/>
            <w:hideMark/>
          </w:tcPr>
          <w:p w14:paraId="099013D8" w14:textId="77777777" w:rsidR="00B96C5C" w:rsidRPr="00D96063" w:rsidRDefault="00B96C5C" w:rsidP="00765D22">
            <w:pPr>
              <w:jc w:val="right"/>
              <w:rPr>
                <w:rFonts w:cs="Calibri"/>
                <w:sz w:val="16"/>
                <w:szCs w:val="16"/>
              </w:rPr>
            </w:pPr>
            <w:r w:rsidRPr="00D96063">
              <w:rPr>
                <w:rFonts w:cs="Calibri"/>
                <w:sz w:val="16"/>
                <w:szCs w:val="16"/>
              </w:rPr>
              <w:t>-21.8</w:t>
            </w:r>
          </w:p>
        </w:tc>
        <w:tc>
          <w:tcPr>
            <w:tcW w:w="423" w:type="pct"/>
            <w:noWrap/>
            <w:hideMark/>
          </w:tcPr>
          <w:p w14:paraId="7755E96E" w14:textId="77777777" w:rsidR="00B96C5C" w:rsidRPr="00D96063" w:rsidRDefault="00B96C5C" w:rsidP="00765D22">
            <w:pPr>
              <w:jc w:val="right"/>
              <w:rPr>
                <w:rFonts w:cs="Calibri"/>
                <w:sz w:val="16"/>
                <w:szCs w:val="16"/>
              </w:rPr>
            </w:pPr>
            <w:r w:rsidRPr="00D96063">
              <w:rPr>
                <w:rFonts w:cs="Calibri"/>
                <w:sz w:val="16"/>
                <w:szCs w:val="16"/>
              </w:rPr>
              <w:t>-2.7</w:t>
            </w:r>
          </w:p>
        </w:tc>
        <w:tc>
          <w:tcPr>
            <w:tcW w:w="423" w:type="pct"/>
            <w:noWrap/>
            <w:hideMark/>
          </w:tcPr>
          <w:p w14:paraId="35E9285B" w14:textId="77777777" w:rsidR="00B96C5C" w:rsidRPr="00D96063" w:rsidRDefault="00B96C5C" w:rsidP="00765D22">
            <w:pPr>
              <w:jc w:val="right"/>
              <w:rPr>
                <w:rFonts w:cs="Calibri"/>
                <w:sz w:val="16"/>
                <w:szCs w:val="16"/>
              </w:rPr>
            </w:pPr>
            <w:r w:rsidRPr="00D96063">
              <w:rPr>
                <w:rFonts w:cs="Calibri"/>
                <w:sz w:val="16"/>
                <w:szCs w:val="16"/>
              </w:rPr>
              <w:t>14.8</w:t>
            </w:r>
          </w:p>
        </w:tc>
        <w:tc>
          <w:tcPr>
            <w:tcW w:w="423" w:type="pct"/>
            <w:noWrap/>
            <w:hideMark/>
          </w:tcPr>
          <w:p w14:paraId="4CBE0D97" w14:textId="77777777" w:rsidR="00B96C5C" w:rsidRPr="00D96063" w:rsidRDefault="00B96C5C" w:rsidP="00765D22">
            <w:pPr>
              <w:jc w:val="right"/>
              <w:rPr>
                <w:rFonts w:cs="Calibri"/>
                <w:sz w:val="16"/>
                <w:szCs w:val="16"/>
              </w:rPr>
            </w:pPr>
            <w:r w:rsidRPr="00D96063">
              <w:rPr>
                <w:rFonts w:cs="Calibri"/>
                <w:sz w:val="16"/>
                <w:szCs w:val="16"/>
              </w:rPr>
              <w:t>-1.4</w:t>
            </w:r>
          </w:p>
        </w:tc>
        <w:tc>
          <w:tcPr>
            <w:tcW w:w="423" w:type="pct"/>
            <w:noWrap/>
            <w:hideMark/>
          </w:tcPr>
          <w:p w14:paraId="321C2E3A" w14:textId="77777777" w:rsidR="00B96C5C" w:rsidRPr="00D96063" w:rsidRDefault="00B96C5C" w:rsidP="00765D22">
            <w:pPr>
              <w:jc w:val="right"/>
              <w:rPr>
                <w:rFonts w:cs="Calibri"/>
                <w:sz w:val="16"/>
                <w:szCs w:val="16"/>
              </w:rPr>
            </w:pPr>
            <w:r w:rsidRPr="00D96063">
              <w:rPr>
                <w:rFonts w:cs="Calibri"/>
                <w:sz w:val="16"/>
                <w:szCs w:val="16"/>
              </w:rPr>
              <w:t>-8.4</w:t>
            </w:r>
          </w:p>
        </w:tc>
        <w:tc>
          <w:tcPr>
            <w:tcW w:w="423" w:type="pct"/>
            <w:noWrap/>
            <w:hideMark/>
          </w:tcPr>
          <w:p w14:paraId="7E262EC6" w14:textId="77777777" w:rsidR="00B96C5C" w:rsidRPr="00D96063" w:rsidRDefault="00B96C5C" w:rsidP="00765D22">
            <w:pPr>
              <w:jc w:val="right"/>
              <w:rPr>
                <w:rFonts w:cs="Calibri"/>
                <w:sz w:val="16"/>
                <w:szCs w:val="16"/>
              </w:rPr>
            </w:pPr>
            <w:r w:rsidRPr="00D96063">
              <w:rPr>
                <w:rFonts w:cs="Calibri"/>
                <w:sz w:val="16"/>
                <w:szCs w:val="16"/>
              </w:rPr>
              <w:t>-4.1</w:t>
            </w:r>
          </w:p>
        </w:tc>
        <w:tc>
          <w:tcPr>
            <w:tcW w:w="425" w:type="pct"/>
            <w:noWrap/>
            <w:hideMark/>
          </w:tcPr>
          <w:p w14:paraId="19DD5B9E" w14:textId="77777777" w:rsidR="00B96C5C" w:rsidRPr="00D96063" w:rsidRDefault="00B96C5C" w:rsidP="00765D22">
            <w:pPr>
              <w:jc w:val="right"/>
              <w:rPr>
                <w:rFonts w:cs="Calibri"/>
                <w:sz w:val="16"/>
                <w:szCs w:val="16"/>
              </w:rPr>
            </w:pPr>
            <w:r w:rsidRPr="00D96063">
              <w:rPr>
                <w:rFonts w:cs="Calibri"/>
                <w:sz w:val="16"/>
                <w:szCs w:val="16"/>
              </w:rPr>
              <w:t>1.4</w:t>
            </w:r>
          </w:p>
        </w:tc>
      </w:tr>
      <w:tr w:rsidR="00B96C5C" w:rsidRPr="00D96063" w14:paraId="57685167"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7D89B714" w14:textId="77777777" w:rsidR="00B96C5C" w:rsidRPr="00D96063" w:rsidRDefault="00B96C5C" w:rsidP="00765D22">
            <w:pPr>
              <w:jc w:val="left"/>
              <w:rPr>
                <w:rFonts w:cs="Calibri"/>
                <w:sz w:val="16"/>
                <w:szCs w:val="16"/>
              </w:rPr>
            </w:pPr>
            <w:r w:rsidRPr="00D96063">
              <w:rPr>
                <w:rFonts w:cs="Calibri"/>
                <w:sz w:val="16"/>
                <w:szCs w:val="16"/>
              </w:rPr>
              <w:t>Current account (% of GDP)</w:t>
            </w:r>
          </w:p>
        </w:tc>
        <w:tc>
          <w:tcPr>
            <w:tcW w:w="420" w:type="pct"/>
            <w:noWrap/>
            <w:hideMark/>
          </w:tcPr>
          <w:p w14:paraId="274174A0" w14:textId="77777777" w:rsidR="00B96C5C" w:rsidRPr="00D96063" w:rsidRDefault="00B96C5C" w:rsidP="00765D22">
            <w:pPr>
              <w:jc w:val="right"/>
              <w:rPr>
                <w:rFonts w:cs="Calibri"/>
                <w:sz w:val="16"/>
                <w:szCs w:val="16"/>
              </w:rPr>
            </w:pPr>
            <w:r w:rsidRPr="00D96063">
              <w:rPr>
                <w:rFonts w:cs="Calibri"/>
                <w:sz w:val="16"/>
                <w:szCs w:val="16"/>
              </w:rPr>
              <w:t>-6.8</w:t>
            </w:r>
          </w:p>
        </w:tc>
        <w:tc>
          <w:tcPr>
            <w:tcW w:w="423" w:type="pct"/>
            <w:noWrap/>
            <w:hideMark/>
          </w:tcPr>
          <w:p w14:paraId="1523E96E" w14:textId="77777777" w:rsidR="00B96C5C" w:rsidRPr="00D96063" w:rsidRDefault="00B96C5C" w:rsidP="00765D22">
            <w:pPr>
              <w:jc w:val="right"/>
              <w:rPr>
                <w:rFonts w:cs="Calibri"/>
                <w:sz w:val="16"/>
                <w:szCs w:val="16"/>
              </w:rPr>
            </w:pPr>
            <w:r w:rsidRPr="00D96063">
              <w:rPr>
                <w:rFonts w:cs="Calibri"/>
                <w:sz w:val="16"/>
                <w:szCs w:val="16"/>
              </w:rPr>
              <w:t>-5.8</w:t>
            </w:r>
          </w:p>
        </w:tc>
        <w:tc>
          <w:tcPr>
            <w:tcW w:w="423" w:type="pct"/>
            <w:noWrap/>
            <w:hideMark/>
          </w:tcPr>
          <w:p w14:paraId="1DBEE97E" w14:textId="77777777" w:rsidR="00B96C5C" w:rsidRPr="00D96063" w:rsidRDefault="00B96C5C" w:rsidP="00765D22">
            <w:pPr>
              <w:jc w:val="right"/>
              <w:rPr>
                <w:rFonts w:cs="Calibri"/>
                <w:sz w:val="16"/>
                <w:szCs w:val="16"/>
              </w:rPr>
            </w:pPr>
            <w:r w:rsidRPr="00D96063">
              <w:rPr>
                <w:rFonts w:cs="Calibri"/>
                <w:sz w:val="16"/>
                <w:szCs w:val="16"/>
              </w:rPr>
              <w:t>-5.1</w:t>
            </w:r>
          </w:p>
        </w:tc>
        <w:tc>
          <w:tcPr>
            <w:tcW w:w="423" w:type="pct"/>
            <w:noWrap/>
            <w:hideMark/>
          </w:tcPr>
          <w:p w14:paraId="40105A05" w14:textId="77777777" w:rsidR="00B96C5C" w:rsidRPr="00D96063" w:rsidRDefault="00B96C5C" w:rsidP="00765D22">
            <w:pPr>
              <w:jc w:val="right"/>
              <w:rPr>
                <w:rFonts w:cs="Calibri"/>
                <w:sz w:val="16"/>
                <w:szCs w:val="16"/>
              </w:rPr>
            </w:pPr>
            <w:r w:rsidRPr="00D96063">
              <w:rPr>
                <w:rFonts w:cs="Calibri"/>
                <w:sz w:val="16"/>
                <w:szCs w:val="16"/>
              </w:rPr>
              <w:t>-3.3</w:t>
            </w:r>
          </w:p>
        </w:tc>
        <w:tc>
          <w:tcPr>
            <w:tcW w:w="423" w:type="pct"/>
            <w:noWrap/>
            <w:hideMark/>
          </w:tcPr>
          <w:p w14:paraId="4E5A4416" w14:textId="77777777" w:rsidR="00B96C5C" w:rsidRPr="00D96063" w:rsidRDefault="00B96C5C" w:rsidP="00765D22">
            <w:pPr>
              <w:jc w:val="right"/>
              <w:rPr>
                <w:rFonts w:cs="Calibri"/>
                <w:sz w:val="16"/>
                <w:szCs w:val="16"/>
              </w:rPr>
            </w:pPr>
            <w:r w:rsidRPr="00D96063">
              <w:rPr>
                <w:rFonts w:cs="Calibri"/>
                <w:sz w:val="16"/>
                <w:szCs w:val="16"/>
              </w:rPr>
              <w:t>-3.0</w:t>
            </w:r>
          </w:p>
        </w:tc>
        <w:tc>
          <w:tcPr>
            <w:tcW w:w="423" w:type="pct"/>
            <w:noWrap/>
            <w:hideMark/>
          </w:tcPr>
          <w:p w14:paraId="77F2EAC3" w14:textId="77777777" w:rsidR="00B96C5C" w:rsidRPr="00D96063" w:rsidRDefault="00B96C5C" w:rsidP="00765D22">
            <w:pPr>
              <w:jc w:val="right"/>
              <w:rPr>
                <w:rFonts w:cs="Calibri"/>
                <w:sz w:val="16"/>
                <w:szCs w:val="16"/>
              </w:rPr>
            </w:pPr>
            <w:r w:rsidRPr="00D96063">
              <w:rPr>
                <w:rFonts w:cs="Calibri"/>
                <w:sz w:val="16"/>
                <w:szCs w:val="16"/>
              </w:rPr>
              <w:t>-2.7</w:t>
            </w:r>
          </w:p>
        </w:tc>
        <w:tc>
          <w:tcPr>
            <w:tcW w:w="425" w:type="pct"/>
            <w:noWrap/>
            <w:hideMark/>
          </w:tcPr>
          <w:p w14:paraId="3D2534D3" w14:textId="77777777" w:rsidR="00B96C5C" w:rsidRPr="00D96063" w:rsidRDefault="00B96C5C" w:rsidP="00765D22">
            <w:pPr>
              <w:jc w:val="right"/>
              <w:rPr>
                <w:rFonts w:cs="Calibri"/>
                <w:sz w:val="16"/>
                <w:szCs w:val="16"/>
              </w:rPr>
            </w:pPr>
            <w:r w:rsidRPr="00D96063">
              <w:rPr>
                <w:rFonts w:cs="Calibri"/>
                <w:sz w:val="16"/>
                <w:szCs w:val="16"/>
              </w:rPr>
              <w:t>-3.1</w:t>
            </w:r>
          </w:p>
        </w:tc>
      </w:tr>
      <w:tr w:rsidR="00B96C5C" w:rsidRPr="00D96063" w14:paraId="6C1C81BA" w14:textId="77777777" w:rsidTr="00765D22">
        <w:trPr>
          <w:trHeight w:val="240"/>
        </w:trPr>
        <w:tc>
          <w:tcPr>
            <w:tcW w:w="2040" w:type="pct"/>
            <w:noWrap/>
            <w:hideMark/>
          </w:tcPr>
          <w:p w14:paraId="5807B296" w14:textId="77777777" w:rsidR="00B96C5C" w:rsidRPr="00D96063" w:rsidRDefault="00B96C5C" w:rsidP="00765D22">
            <w:pPr>
              <w:jc w:val="left"/>
              <w:rPr>
                <w:rFonts w:cs="Calibri"/>
                <w:sz w:val="16"/>
                <w:szCs w:val="16"/>
              </w:rPr>
            </w:pPr>
            <w:r w:rsidRPr="00D96063">
              <w:rPr>
                <w:rFonts w:cs="Calibri"/>
                <w:sz w:val="16"/>
                <w:szCs w:val="16"/>
              </w:rPr>
              <w:t>Trade in goods and services (% of GDP)</w:t>
            </w:r>
          </w:p>
        </w:tc>
        <w:tc>
          <w:tcPr>
            <w:tcW w:w="420" w:type="pct"/>
            <w:noWrap/>
            <w:hideMark/>
          </w:tcPr>
          <w:p w14:paraId="3A5AF9FC" w14:textId="77777777" w:rsidR="00B96C5C" w:rsidRPr="00D96063" w:rsidRDefault="00B96C5C" w:rsidP="00765D22">
            <w:pPr>
              <w:jc w:val="right"/>
              <w:rPr>
                <w:rFonts w:cs="Calibri"/>
                <w:sz w:val="16"/>
                <w:szCs w:val="16"/>
              </w:rPr>
            </w:pPr>
            <w:r w:rsidRPr="00D96063">
              <w:rPr>
                <w:rFonts w:cs="Calibri"/>
                <w:sz w:val="16"/>
                <w:szCs w:val="16"/>
              </w:rPr>
              <w:t>63.8</w:t>
            </w:r>
          </w:p>
        </w:tc>
        <w:tc>
          <w:tcPr>
            <w:tcW w:w="423" w:type="pct"/>
            <w:noWrap/>
            <w:hideMark/>
          </w:tcPr>
          <w:p w14:paraId="4F351C0D" w14:textId="77777777" w:rsidR="00B96C5C" w:rsidRPr="00D96063" w:rsidRDefault="00B96C5C" w:rsidP="00765D22">
            <w:pPr>
              <w:jc w:val="right"/>
              <w:rPr>
                <w:rFonts w:cs="Calibri"/>
                <w:sz w:val="16"/>
                <w:szCs w:val="16"/>
              </w:rPr>
            </w:pPr>
            <w:r w:rsidRPr="00D96063">
              <w:rPr>
                <w:rFonts w:cs="Calibri"/>
                <w:sz w:val="16"/>
                <w:szCs w:val="16"/>
              </w:rPr>
              <w:t>76.6</w:t>
            </w:r>
          </w:p>
        </w:tc>
        <w:tc>
          <w:tcPr>
            <w:tcW w:w="423" w:type="pct"/>
            <w:noWrap/>
            <w:hideMark/>
          </w:tcPr>
          <w:p w14:paraId="438200F4" w14:textId="77777777" w:rsidR="00B96C5C" w:rsidRPr="00D96063" w:rsidRDefault="00B96C5C" w:rsidP="00765D22">
            <w:pPr>
              <w:jc w:val="right"/>
              <w:rPr>
                <w:rFonts w:cs="Calibri"/>
                <w:sz w:val="16"/>
                <w:szCs w:val="16"/>
              </w:rPr>
            </w:pPr>
            <w:r w:rsidRPr="00D96063">
              <w:rPr>
                <w:rFonts w:cs="Calibri"/>
                <w:sz w:val="16"/>
                <w:szCs w:val="16"/>
              </w:rPr>
              <w:t>67.9</w:t>
            </w:r>
          </w:p>
        </w:tc>
        <w:tc>
          <w:tcPr>
            <w:tcW w:w="423" w:type="pct"/>
            <w:noWrap/>
            <w:hideMark/>
          </w:tcPr>
          <w:p w14:paraId="6D6B6F7F" w14:textId="77777777" w:rsidR="00B96C5C" w:rsidRPr="00D96063" w:rsidRDefault="00B96C5C" w:rsidP="00765D22">
            <w:pPr>
              <w:jc w:val="right"/>
              <w:rPr>
                <w:rFonts w:cs="Calibri"/>
                <w:sz w:val="16"/>
                <w:szCs w:val="16"/>
              </w:rPr>
            </w:pPr>
            <w:r w:rsidRPr="00D96063">
              <w:rPr>
                <w:rFonts w:cs="Calibri"/>
                <w:sz w:val="16"/>
                <w:szCs w:val="16"/>
              </w:rPr>
              <w:t>70.5</w:t>
            </w:r>
          </w:p>
        </w:tc>
        <w:tc>
          <w:tcPr>
            <w:tcW w:w="423" w:type="pct"/>
            <w:noWrap/>
            <w:hideMark/>
          </w:tcPr>
          <w:p w14:paraId="4DA159B1" w14:textId="77777777" w:rsidR="00B96C5C" w:rsidRPr="00D96063" w:rsidRDefault="00B96C5C" w:rsidP="00765D22">
            <w:pPr>
              <w:jc w:val="right"/>
              <w:rPr>
                <w:rFonts w:cs="Calibri"/>
                <w:sz w:val="16"/>
                <w:szCs w:val="16"/>
              </w:rPr>
            </w:pPr>
            <w:r w:rsidRPr="00D96063">
              <w:rPr>
                <w:rFonts w:cs="Calibri"/>
                <w:sz w:val="16"/>
                <w:szCs w:val="16"/>
              </w:rPr>
              <w:t>68.0</w:t>
            </w:r>
          </w:p>
        </w:tc>
        <w:tc>
          <w:tcPr>
            <w:tcW w:w="423" w:type="pct"/>
            <w:noWrap/>
            <w:hideMark/>
          </w:tcPr>
          <w:p w14:paraId="41FAAD33" w14:textId="77777777" w:rsidR="00B96C5C" w:rsidRPr="00D96063" w:rsidRDefault="00B96C5C" w:rsidP="00765D22">
            <w:pPr>
              <w:jc w:val="right"/>
              <w:rPr>
                <w:rFonts w:cs="Calibri"/>
                <w:sz w:val="16"/>
                <w:szCs w:val="16"/>
              </w:rPr>
            </w:pPr>
            <w:r w:rsidRPr="00D96063">
              <w:rPr>
                <w:rFonts w:cs="Calibri"/>
                <w:sz w:val="16"/>
                <w:szCs w:val="16"/>
              </w:rPr>
              <w:t>76.8</w:t>
            </w:r>
          </w:p>
        </w:tc>
        <w:tc>
          <w:tcPr>
            <w:tcW w:w="425" w:type="pct"/>
            <w:noWrap/>
            <w:hideMark/>
          </w:tcPr>
          <w:p w14:paraId="48D34575" w14:textId="77777777" w:rsidR="00B96C5C" w:rsidRPr="00D96063" w:rsidRDefault="00B96C5C" w:rsidP="00765D22">
            <w:pPr>
              <w:jc w:val="right"/>
              <w:rPr>
                <w:rFonts w:cs="Calibri"/>
                <w:sz w:val="16"/>
                <w:szCs w:val="16"/>
              </w:rPr>
            </w:pPr>
            <w:r w:rsidRPr="00D96063">
              <w:rPr>
                <w:rFonts w:cs="Calibri"/>
                <w:sz w:val="16"/>
                <w:szCs w:val="16"/>
              </w:rPr>
              <w:t>68.0</w:t>
            </w:r>
          </w:p>
        </w:tc>
      </w:tr>
      <w:tr w:rsidR="00B96C5C" w:rsidRPr="00D96063" w14:paraId="24B09835"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1CA9AFD0" w14:textId="77777777" w:rsidR="00B96C5C" w:rsidRPr="00D96063" w:rsidRDefault="00B96C5C" w:rsidP="00765D22">
            <w:pPr>
              <w:jc w:val="left"/>
              <w:rPr>
                <w:rFonts w:cs="Calibri"/>
                <w:sz w:val="16"/>
                <w:szCs w:val="16"/>
              </w:rPr>
            </w:pPr>
            <w:r w:rsidRPr="00D96063">
              <w:rPr>
                <w:rFonts w:cs="Calibri"/>
                <w:sz w:val="16"/>
                <w:szCs w:val="16"/>
              </w:rPr>
              <w:t>Workers' remittance inflows (% of GDP)</w:t>
            </w:r>
          </w:p>
        </w:tc>
        <w:tc>
          <w:tcPr>
            <w:tcW w:w="420" w:type="pct"/>
            <w:noWrap/>
            <w:hideMark/>
          </w:tcPr>
          <w:p w14:paraId="34CA8020" w14:textId="77777777" w:rsidR="00B96C5C" w:rsidRPr="00D96063" w:rsidRDefault="00B96C5C" w:rsidP="00765D22">
            <w:pPr>
              <w:jc w:val="right"/>
              <w:rPr>
                <w:rFonts w:cs="Calibri"/>
                <w:sz w:val="16"/>
                <w:szCs w:val="16"/>
              </w:rPr>
            </w:pPr>
            <w:r w:rsidRPr="00D96063">
              <w:rPr>
                <w:rFonts w:cs="Calibri"/>
                <w:sz w:val="16"/>
                <w:szCs w:val="16"/>
              </w:rPr>
              <w:t>3.7</w:t>
            </w:r>
          </w:p>
        </w:tc>
        <w:tc>
          <w:tcPr>
            <w:tcW w:w="423" w:type="pct"/>
            <w:noWrap/>
            <w:hideMark/>
          </w:tcPr>
          <w:p w14:paraId="57A222FE" w14:textId="77777777" w:rsidR="00B96C5C" w:rsidRPr="00D96063" w:rsidRDefault="00B96C5C" w:rsidP="00765D22">
            <w:pPr>
              <w:jc w:val="right"/>
              <w:rPr>
                <w:rFonts w:cs="Calibri"/>
                <w:sz w:val="16"/>
                <w:szCs w:val="16"/>
              </w:rPr>
            </w:pPr>
            <w:r w:rsidRPr="00D96063">
              <w:rPr>
                <w:rFonts w:cs="Calibri"/>
                <w:sz w:val="16"/>
                <w:szCs w:val="16"/>
              </w:rPr>
              <w:t>10.3</w:t>
            </w:r>
          </w:p>
        </w:tc>
        <w:tc>
          <w:tcPr>
            <w:tcW w:w="423" w:type="pct"/>
            <w:noWrap/>
            <w:hideMark/>
          </w:tcPr>
          <w:p w14:paraId="02253C2D" w14:textId="77777777" w:rsidR="00B96C5C" w:rsidRPr="00D96063" w:rsidRDefault="00B96C5C" w:rsidP="00765D22">
            <w:pPr>
              <w:jc w:val="right"/>
              <w:rPr>
                <w:rFonts w:cs="Calibri"/>
                <w:sz w:val="16"/>
                <w:szCs w:val="16"/>
              </w:rPr>
            </w:pPr>
            <w:r w:rsidRPr="00D96063">
              <w:rPr>
                <w:rFonts w:cs="Calibri"/>
                <w:sz w:val="16"/>
                <w:szCs w:val="16"/>
              </w:rPr>
              <w:t>5.3</w:t>
            </w:r>
          </w:p>
        </w:tc>
        <w:tc>
          <w:tcPr>
            <w:tcW w:w="423" w:type="pct"/>
            <w:noWrap/>
            <w:hideMark/>
          </w:tcPr>
          <w:p w14:paraId="69822BEA" w14:textId="77777777" w:rsidR="00B96C5C" w:rsidRPr="00D96063" w:rsidRDefault="00B96C5C" w:rsidP="00765D22">
            <w:pPr>
              <w:jc w:val="right"/>
              <w:rPr>
                <w:rFonts w:cs="Calibri"/>
                <w:sz w:val="16"/>
                <w:szCs w:val="16"/>
              </w:rPr>
            </w:pPr>
            <w:r w:rsidRPr="00D96063">
              <w:rPr>
                <w:rFonts w:cs="Calibri"/>
                <w:sz w:val="16"/>
                <w:szCs w:val="16"/>
              </w:rPr>
              <w:t>5.9</w:t>
            </w:r>
          </w:p>
        </w:tc>
        <w:tc>
          <w:tcPr>
            <w:tcW w:w="423" w:type="pct"/>
            <w:noWrap/>
            <w:hideMark/>
          </w:tcPr>
          <w:p w14:paraId="41DB983C" w14:textId="77777777" w:rsidR="00B96C5C" w:rsidRPr="00D96063" w:rsidRDefault="00B96C5C" w:rsidP="00765D22">
            <w:pPr>
              <w:jc w:val="right"/>
              <w:rPr>
                <w:rFonts w:cs="Calibri"/>
                <w:sz w:val="16"/>
                <w:szCs w:val="16"/>
              </w:rPr>
            </w:pPr>
            <w:r w:rsidRPr="00D96063">
              <w:rPr>
                <w:rFonts w:cs="Calibri"/>
                <w:sz w:val="16"/>
                <w:szCs w:val="16"/>
              </w:rPr>
              <w:t>5.2</w:t>
            </w:r>
          </w:p>
        </w:tc>
        <w:tc>
          <w:tcPr>
            <w:tcW w:w="423" w:type="pct"/>
            <w:noWrap/>
            <w:hideMark/>
          </w:tcPr>
          <w:p w14:paraId="206C19AE" w14:textId="77777777" w:rsidR="00B96C5C" w:rsidRPr="00D96063" w:rsidRDefault="00B96C5C" w:rsidP="00765D22">
            <w:pPr>
              <w:jc w:val="right"/>
              <w:rPr>
                <w:rFonts w:cs="Calibri"/>
                <w:sz w:val="16"/>
                <w:szCs w:val="16"/>
              </w:rPr>
            </w:pPr>
            <w:r w:rsidRPr="00D96063">
              <w:rPr>
                <w:rFonts w:cs="Calibri"/>
                <w:sz w:val="16"/>
                <w:szCs w:val="16"/>
              </w:rPr>
              <w:t>5.0</w:t>
            </w:r>
          </w:p>
        </w:tc>
        <w:tc>
          <w:tcPr>
            <w:tcW w:w="425" w:type="pct"/>
            <w:noWrap/>
            <w:hideMark/>
          </w:tcPr>
          <w:p w14:paraId="6E21E08E" w14:textId="77777777" w:rsidR="00B96C5C" w:rsidRPr="00D96063" w:rsidRDefault="00B96C5C" w:rsidP="00765D22">
            <w:pPr>
              <w:jc w:val="right"/>
              <w:rPr>
                <w:rFonts w:cs="Calibri"/>
                <w:sz w:val="16"/>
                <w:szCs w:val="16"/>
              </w:rPr>
            </w:pPr>
            <w:r w:rsidRPr="00D96063">
              <w:rPr>
                <w:rFonts w:cs="Calibri"/>
                <w:sz w:val="16"/>
                <w:szCs w:val="16"/>
              </w:rPr>
              <w:t>5.2</w:t>
            </w:r>
          </w:p>
        </w:tc>
      </w:tr>
      <w:tr w:rsidR="00B96C5C" w:rsidRPr="00D96063" w14:paraId="78F4F538" w14:textId="77777777" w:rsidTr="00765D22">
        <w:trPr>
          <w:trHeight w:val="240"/>
        </w:trPr>
        <w:tc>
          <w:tcPr>
            <w:tcW w:w="2040" w:type="pct"/>
            <w:tcBorders>
              <w:bottom w:val="nil"/>
            </w:tcBorders>
            <w:noWrap/>
            <w:hideMark/>
          </w:tcPr>
          <w:p w14:paraId="25CBDD08" w14:textId="77777777" w:rsidR="00B96C5C" w:rsidRPr="00D96063" w:rsidRDefault="00B96C5C" w:rsidP="00765D22">
            <w:pPr>
              <w:jc w:val="left"/>
              <w:rPr>
                <w:rFonts w:cs="Calibri"/>
                <w:color w:val="000000"/>
                <w:sz w:val="16"/>
                <w:szCs w:val="16"/>
              </w:rPr>
            </w:pPr>
            <w:r w:rsidRPr="00D96063">
              <w:rPr>
                <w:rFonts w:cs="Calibri"/>
                <w:color w:val="000000"/>
                <w:sz w:val="16"/>
                <w:szCs w:val="16"/>
              </w:rPr>
              <w:t>Gross international reserves (USD billion)</w:t>
            </w:r>
          </w:p>
        </w:tc>
        <w:tc>
          <w:tcPr>
            <w:tcW w:w="420" w:type="pct"/>
            <w:tcBorders>
              <w:bottom w:val="nil"/>
            </w:tcBorders>
            <w:noWrap/>
            <w:hideMark/>
          </w:tcPr>
          <w:p w14:paraId="18EB4317" w14:textId="77777777" w:rsidR="00B96C5C" w:rsidRPr="00D96063" w:rsidRDefault="00B96C5C" w:rsidP="00765D22">
            <w:pPr>
              <w:jc w:val="right"/>
              <w:rPr>
                <w:rFonts w:cs="Calibri"/>
                <w:color w:val="000000"/>
                <w:sz w:val="16"/>
                <w:szCs w:val="16"/>
              </w:rPr>
            </w:pPr>
            <w:r w:rsidRPr="00D96063">
              <w:rPr>
                <w:rFonts w:cs="Calibri"/>
                <w:color w:val="000000"/>
                <w:sz w:val="16"/>
                <w:szCs w:val="16"/>
              </w:rPr>
              <w:t>5.5</w:t>
            </w:r>
          </w:p>
        </w:tc>
        <w:tc>
          <w:tcPr>
            <w:tcW w:w="423" w:type="pct"/>
            <w:tcBorders>
              <w:bottom w:val="nil"/>
            </w:tcBorders>
            <w:noWrap/>
            <w:hideMark/>
          </w:tcPr>
          <w:p w14:paraId="14799244" w14:textId="77777777" w:rsidR="00B96C5C" w:rsidRPr="00D96063" w:rsidRDefault="00B96C5C" w:rsidP="00765D22">
            <w:pPr>
              <w:jc w:val="right"/>
              <w:rPr>
                <w:rFonts w:cs="Calibri"/>
                <w:color w:val="000000"/>
                <w:sz w:val="16"/>
                <w:szCs w:val="16"/>
              </w:rPr>
            </w:pPr>
            <w:r w:rsidRPr="00D96063">
              <w:rPr>
                <w:rFonts w:cs="Calibri"/>
                <w:color w:val="000000"/>
                <w:sz w:val="16"/>
                <w:szCs w:val="16"/>
              </w:rPr>
              <w:t>5.9</w:t>
            </w:r>
          </w:p>
        </w:tc>
        <w:tc>
          <w:tcPr>
            <w:tcW w:w="423" w:type="pct"/>
            <w:tcBorders>
              <w:bottom w:val="nil"/>
            </w:tcBorders>
            <w:noWrap/>
            <w:hideMark/>
          </w:tcPr>
          <w:p w14:paraId="16ECE411" w14:textId="77777777" w:rsidR="00B96C5C" w:rsidRPr="00D96063" w:rsidRDefault="00B96C5C" w:rsidP="00765D22">
            <w:pPr>
              <w:jc w:val="right"/>
              <w:rPr>
                <w:rFonts w:cs="Calibri"/>
                <w:color w:val="000000"/>
                <w:sz w:val="16"/>
                <w:szCs w:val="16"/>
              </w:rPr>
            </w:pPr>
            <w:r w:rsidRPr="00D96063">
              <w:rPr>
                <w:rFonts w:cs="Calibri"/>
                <w:color w:val="000000"/>
                <w:sz w:val="16"/>
                <w:szCs w:val="16"/>
              </w:rPr>
              <w:t>6.2</w:t>
            </w:r>
          </w:p>
        </w:tc>
        <w:tc>
          <w:tcPr>
            <w:tcW w:w="423" w:type="pct"/>
            <w:tcBorders>
              <w:bottom w:val="nil"/>
            </w:tcBorders>
            <w:noWrap/>
            <w:hideMark/>
          </w:tcPr>
          <w:p w14:paraId="18F61DD8" w14:textId="77777777" w:rsidR="00B96C5C" w:rsidRPr="00D96063" w:rsidRDefault="00B96C5C" w:rsidP="00765D22">
            <w:pPr>
              <w:jc w:val="right"/>
              <w:rPr>
                <w:rFonts w:cs="Calibri"/>
                <w:color w:val="000000"/>
                <w:sz w:val="16"/>
                <w:szCs w:val="16"/>
              </w:rPr>
            </w:pPr>
            <w:r w:rsidRPr="00D96063">
              <w:rPr>
                <w:rFonts w:cs="Calibri"/>
                <w:color w:val="000000"/>
                <w:sz w:val="16"/>
                <w:szCs w:val="16"/>
              </w:rPr>
              <w:t>7.6</w:t>
            </w:r>
          </w:p>
        </w:tc>
        <w:tc>
          <w:tcPr>
            <w:tcW w:w="423" w:type="pct"/>
            <w:tcBorders>
              <w:bottom w:val="nil"/>
            </w:tcBorders>
            <w:noWrap/>
            <w:hideMark/>
          </w:tcPr>
          <w:p w14:paraId="34E3ADC1" w14:textId="77777777" w:rsidR="00B96C5C" w:rsidRPr="00D96063" w:rsidRDefault="00B96C5C" w:rsidP="00765D22">
            <w:pPr>
              <w:jc w:val="right"/>
              <w:rPr>
                <w:rFonts w:cs="Calibri"/>
                <w:color w:val="000000"/>
                <w:sz w:val="16"/>
                <w:szCs w:val="16"/>
              </w:rPr>
            </w:pPr>
            <w:r w:rsidRPr="00D96063">
              <w:rPr>
                <w:rFonts w:cs="Calibri"/>
                <w:color w:val="000000"/>
                <w:sz w:val="16"/>
                <w:szCs w:val="16"/>
              </w:rPr>
              <w:t>7.0</w:t>
            </w:r>
          </w:p>
        </w:tc>
        <w:tc>
          <w:tcPr>
            <w:tcW w:w="423" w:type="pct"/>
            <w:tcBorders>
              <w:bottom w:val="nil"/>
            </w:tcBorders>
            <w:noWrap/>
            <w:hideMark/>
          </w:tcPr>
          <w:p w14:paraId="1D8D8721" w14:textId="77777777" w:rsidR="00B96C5C" w:rsidRPr="00D96063" w:rsidRDefault="00B96C5C" w:rsidP="00765D22">
            <w:pPr>
              <w:jc w:val="right"/>
              <w:rPr>
                <w:rFonts w:cs="Calibri"/>
                <w:color w:val="000000"/>
                <w:sz w:val="16"/>
                <w:szCs w:val="16"/>
              </w:rPr>
            </w:pPr>
            <w:r w:rsidRPr="00D96063">
              <w:rPr>
                <w:rFonts w:cs="Calibri"/>
                <w:color w:val="000000"/>
                <w:sz w:val="16"/>
                <w:szCs w:val="16"/>
              </w:rPr>
              <w:t>8.4</w:t>
            </w:r>
          </w:p>
        </w:tc>
        <w:tc>
          <w:tcPr>
            <w:tcW w:w="425" w:type="pct"/>
            <w:tcBorders>
              <w:bottom w:val="nil"/>
            </w:tcBorders>
            <w:noWrap/>
            <w:hideMark/>
          </w:tcPr>
          <w:p w14:paraId="5985B170" w14:textId="77777777" w:rsidR="00B96C5C" w:rsidRPr="00D96063" w:rsidRDefault="00B96C5C" w:rsidP="00765D22">
            <w:pPr>
              <w:jc w:val="right"/>
              <w:rPr>
                <w:rFonts w:cs="Calibri"/>
                <w:color w:val="000000"/>
                <w:sz w:val="16"/>
                <w:szCs w:val="16"/>
              </w:rPr>
            </w:pPr>
            <w:r w:rsidRPr="00D96063">
              <w:rPr>
                <w:rFonts w:cs="Calibri"/>
                <w:color w:val="000000"/>
                <w:sz w:val="16"/>
                <w:szCs w:val="16"/>
              </w:rPr>
              <w:t>8.6</w:t>
            </w:r>
          </w:p>
        </w:tc>
      </w:tr>
      <w:tr w:rsidR="00B96C5C" w:rsidRPr="00D96063" w14:paraId="665C7F92"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tcBorders>
              <w:top w:val="nil"/>
              <w:bottom w:val="single" w:sz="4" w:space="0" w:color="auto"/>
            </w:tcBorders>
            <w:noWrap/>
            <w:hideMark/>
          </w:tcPr>
          <w:p w14:paraId="687055E2" w14:textId="77777777" w:rsidR="00B96C5C" w:rsidRPr="00D96063" w:rsidRDefault="00B96C5C" w:rsidP="00765D22">
            <w:pPr>
              <w:ind w:left="284" w:hanging="284"/>
              <w:jc w:val="left"/>
              <w:rPr>
                <w:rFonts w:cs="Calibri"/>
                <w:color w:val="000000"/>
                <w:sz w:val="16"/>
                <w:szCs w:val="16"/>
              </w:rPr>
            </w:pPr>
            <w:r w:rsidRPr="00D96063">
              <w:rPr>
                <w:rFonts w:cs="Calibri"/>
                <w:sz w:val="16"/>
                <w:szCs w:val="16"/>
              </w:rPr>
              <w:tab/>
              <w:t>in months of imports of goods and services</w:t>
            </w:r>
          </w:p>
        </w:tc>
        <w:tc>
          <w:tcPr>
            <w:tcW w:w="420" w:type="pct"/>
            <w:tcBorders>
              <w:top w:val="nil"/>
              <w:bottom w:val="single" w:sz="4" w:space="0" w:color="auto"/>
            </w:tcBorders>
            <w:noWrap/>
            <w:hideMark/>
          </w:tcPr>
          <w:p w14:paraId="389BB8B6" w14:textId="77777777" w:rsidR="00B96C5C" w:rsidRPr="00D96063" w:rsidRDefault="00B96C5C" w:rsidP="00765D22">
            <w:pPr>
              <w:jc w:val="right"/>
              <w:rPr>
                <w:rFonts w:cs="Calibri"/>
                <w:color w:val="000000"/>
                <w:sz w:val="16"/>
                <w:szCs w:val="16"/>
              </w:rPr>
            </w:pPr>
            <w:r w:rsidRPr="00D96063">
              <w:rPr>
                <w:rFonts w:cs="Calibri"/>
                <w:color w:val="000000"/>
                <w:sz w:val="16"/>
                <w:szCs w:val="16"/>
              </w:rPr>
              <w:t>3.2</w:t>
            </w:r>
          </w:p>
        </w:tc>
        <w:tc>
          <w:tcPr>
            <w:tcW w:w="423" w:type="pct"/>
            <w:tcBorders>
              <w:top w:val="nil"/>
              <w:bottom w:val="single" w:sz="4" w:space="0" w:color="auto"/>
            </w:tcBorders>
            <w:noWrap/>
            <w:hideMark/>
          </w:tcPr>
          <w:p w14:paraId="4909F063" w14:textId="77777777" w:rsidR="00B96C5C" w:rsidRPr="00D96063" w:rsidRDefault="00B96C5C" w:rsidP="00765D22">
            <w:pPr>
              <w:jc w:val="right"/>
              <w:rPr>
                <w:rFonts w:cs="Calibri"/>
                <w:color w:val="000000"/>
                <w:sz w:val="16"/>
                <w:szCs w:val="16"/>
              </w:rPr>
            </w:pPr>
            <w:r w:rsidRPr="00D96063">
              <w:rPr>
                <w:rFonts w:cs="Calibri"/>
                <w:color w:val="000000"/>
                <w:sz w:val="16"/>
                <w:szCs w:val="16"/>
              </w:rPr>
              <w:t>3.5</w:t>
            </w:r>
          </w:p>
        </w:tc>
        <w:tc>
          <w:tcPr>
            <w:tcW w:w="423" w:type="pct"/>
            <w:tcBorders>
              <w:top w:val="nil"/>
              <w:bottom w:val="single" w:sz="4" w:space="0" w:color="auto"/>
            </w:tcBorders>
            <w:noWrap/>
            <w:hideMark/>
          </w:tcPr>
          <w:p w14:paraId="1D57F0BD" w14:textId="77777777" w:rsidR="00B96C5C" w:rsidRPr="00D96063" w:rsidRDefault="00B96C5C" w:rsidP="00765D22">
            <w:pPr>
              <w:jc w:val="right"/>
              <w:rPr>
                <w:rFonts w:cs="Calibri"/>
                <w:color w:val="000000"/>
                <w:sz w:val="16"/>
                <w:szCs w:val="16"/>
              </w:rPr>
            </w:pPr>
            <w:r w:rsidRPr="00D96063">
              <w:rPr>
                <w:rFonts w:cs="Calibri"/>
                <w:color w:val="000000"/>
                <w:sz w:val="16"/>
                <w:szCs w:val="16"/>
              </w:rPr>
              <w:t>3.5</w:t>
            </w:r>
          </w:p>
        </w:tc>
        <w:tc>
          <w:tcPr>
            <w:tcW w:w="423" w:type="pct"/>
            <w:tcBorders>
              <w:top w:val="nil"/>
              <w:bottom w:val="single" w:sz="4" w:space="0" w:color="auto"/>
            </w:tcBorders>
            <w:noWrap/>
            <w:hideMark/>
          </w:tcPr>
          <w:p w14:paraId="51BB5648" w14:textId="77777777" w:rsidR="00B96C5C" w:rsidRPr="00D96063" w:rsidRDefault="00B96C5C" w:rsidP="00765D22">
            <w:pPr>
              <w:jc w:val="right"/>
              <w:rPr>
                <w:rFonts w:cs="Calibri"/>
                <w:color w:val="000000"/>
                <w:sz w:val="16"/>
                <w:szCs w:val="16"/>
              </w:rPr>
            </w:pPr>
            <w:r w:rsidRPr="00D96063">
              <w:rPr>
                <w:rFonts w:cs="Calibri"/>
                <w:color w:val="000000"/>
                <w:sz w:val="16"/>
                <w:szCs w:val="16"/>
              </w:rPr>
              <w:t>4.3</w:t>
            </w:r>
          </w:p>
        </w:tc>
        <w:tc>
          <w:tcPr>
            <w:tcW w:w="423" w:type="pct"/>
            <w:tcBorders>
              <w:top w:val="nil"/>
              <w:bottom w:val="single" w:sz="4" w:space="0" w:color="auto"/>
            </w:tcBorders>
            <w:noWrap/>
            <w:hideMark/>
          </w:tcPr>
          <w:p w14:paraId="1AE9D6E9" w14:textId="77777777" w:rsidR="00B96C5C" w:rsidRPr="00D96063" w:rsidRDefault="00B96C5C" w:rsidP="00765D22">
            <w:pPr>
              <w:jc w:val="right"/>
              <w:rPr>
                <w:rFonts w:cs="Calibri"/>
                <w:color w:val="000000"/>
                <w:sz w:val="16"/>
                <w:szCs w:val="16"/>
              </w:rPr>
            </w:pPr>
            <w:r w:rsidRPr="00D96063">
              <w:rPr>
                <w:rFonts w:cs="Calibri"/>
                <w:color w:val="000000"/>
                <w:sz w:val="16"/>
                <w:szCs w:val="16"/>
              </w:rPr>
              <w:t>3.6</w:t>
            </w:r>
          </w:p>
        </w:tc>
        <w:tc>
          <w:tcPr>
            <w:tcW w:w="423" w:type="pct"/>
            <w:tcBorders>
              <w:top w:val="nil"/>
              <w:bottom w:val="single" w:sz="4" w:space="0" w:color="auto"/>
            </w:tcBorders>
            <w:noWrap/>
            <w:hideMark/>
          </w:tcPr>
          <w:p w14:paraId="17E65874" w14:textId="77777777" w:rsidR="00B96C5C" w:rsidRPr="00D96063" w:rsidRDefault="00B96C5C" w:rsidP="00765D22">
            <w:pPr>
              <w:jc w:val="right"/>
              <w:rPr>
                <w:rFonts w:cs="Calibri"/>
                <w:color w:val="000000"/>
                <w:sz w:val="16"/>
                <w:szCs w:val="16"/>
              </w:rPr>
            </w:pPr>
            <w:r w:rsidRPr="00D96063">
              <w:rPr>
                <w:rFonts w:cs="Calibri"/>
                <w:color w:val="000000"/>
                <w:sz w:val="16"/>
                <w:szCs w:val="16"/>
              </w:rPr>
              <w:t>4.1</w:t>
            </w:r>
          </w:p>
        </w:tc>
        <w:tc>
          <w:tcPr>
            <w:tcW w:w="425" w:type="pct"/>
            <w:tcBorders>
              <w:top w:val="nil"/>
              <w:bottom w:val="single" w:sz="4" w:space="0" w:color="auto"/>
            </w:tcBorders>
            <w:noWrap/>
            <w:hideMark/>
          </w:tcPr>
          <w:p w14:paraId="7ADC0944" w14:textId="77777777" w:rsidR="00B96C5C" w:rsidRPr="00D96063" w:rsidRDefault="00B96C5C" w:rsidP="00765D22">
            <w:pPr>
              <w:jc w:val="right"/>
              <w:rPr>
                <w:rFonts w:cs="Calibri"/>
                <w:color w:val="000000"/>
                <w:sz w:val="16"/>
                <w:szCs w:val="16"/>
              </w:rPr>
            </w:pPr>
            <w:r w:rsidRPr="00D96063">
              <w:rPr>
                <w:rFonts w:cs="Calibri"/>
                <w:color w:val="000000"/>
                <w:sz w:val="16"/>
                <w:szCs w:val="16"/>
              </w:rPr>
              <w:t>4.1</w:t>
            </w:r>
          </w:p>
        </w:tc>
      </w:tr>
      <w:tr w:rsidR="00B96C5C" w:rsidRPr="00D96063" w14:paraId="48029028" w14:textId="77777777" w:rsidTr="00765D22">
        <w:trPr>
          <w:trHeight w:val="240"/>
        </w:trPr>
        <w:tc>
          <w:tcPr>
            <w:tcW w:w="2040" w:type="pct"/>
            <w:tcBorders>
              <w:top w:val="single" w:sz="4" w:space="0" w:color="auto"/>
            </w:tcBorders>
            <w:noWrap/>
            <w:hideMark/>
          </w:tcPr>
          <w:p w14:paraId="0596E646" w14:textId="77777777" w:rsidR="00B96C5C" w:rsidRPr="00D96063" w:rsidRDefault="00B96C5C" w:rsidP="00765D22">
            <w:pPr>
              <w:keepNext/>
              <w:keepLines/>
              <w:pageBreakBefore/>
              <w:jc w:val="left"/>
              <w:rPr>
                <w:rFonts w:cs="Calibri"/>
                <w:sz w:val="16"/>
                <w:szCs w:val="16"/>
              </w:rPr>
            </w:pPr>
            <w:r w:rsidRPr="00D96063">
              <w:rPr>
                <w:rFonts w:cs="Calibri"/>
                <w:sz w:val="16"/>
                <w:szCs w:val="16"/>
              </w:rPr>
              <w:lastRenderedPageBreak/>
              <w:t>FDI inflow (USD billion)</w:t>
            </w:r>
          </w:p>
        </w:tc>
        <w:tc>
          <w:tcPr>
            <w:tcW w:w="420" w:type="pct"/>
            <w:tcBorders>
              <w:top w:val="single" w:sz="4" w:space="0" w:color="auto"/>
            </w:tcBorders>
            <w:noWrap/>
            <w:hideMark/>
          </w:tcPr>
          <w:p w14:paraId="090CC3EE" w14:textId="77777777" w:rsidR="00B96C5C" w:rsidRPr="00D96063" w:rsidRDefault="00B96C5C" w:rsidP="00765D22">
            <w:pPr>
              <w:keepNext/>
              <w:keepLines/>
              <w:pageBreakBefore/>
              <w:jc w:val="right"/>
              <w:rPr>
                <w:rFonts w:cs="Calibri"/>
                <w:sz w:val="16"/>
                <w:szCs w:val="16"/>
              </w:rPr>
            </w:pPr>
            <w:r w:rsidRPr="00D96063">
              <w:rPr>
                <w:rFonts w:cs="Calibri"/>
                <w:sz w:val="16"/>
                <w:szCs w:val="16"/>
              </w:rPr>
              <w:t>3.4</w:t>
            </w:r>
          </w:p>
        </w:tc>
        <w:tc>
          <w:tcPr>
            <w:tcW w:w="423" w:type="pct"/>
            <w:tcBorders>
              <w:top w:val="single" w:sz="4" w:space="0" w:color="auto"/>
            </w:tcBorders>
            <w:noWrap/>
            <w:hideMark/>
          </w:tcPr>
          <w:p w14:paraId="49C5334A" w14:textId="77777777" w:rsidR="00B96C5C" w:rsidRPr="00D96063" w:rsidRDefault="00B96C5C" w:rsidP="00765D22">
            <w:pPr>
              <w:keepNext/>
              <w:keepLines/>
              <w:pageBreakBefore/>
              <w:jc w:val="right"/>
              <w:rPr>
                <w:rFonts w:cs="Calibri"/>
                <w:sz w:val="16"/>
                <w:szCs w:val="16"/>
              </w:rPr>
            </w:pPr>
            <w:r w:rsidRPr="00D96063">
              <w:rPr>
                <w:rFonts w:cs="Calibri"/>
                <w:sz w:val="16"/>
                <w:szCs w:val="16"/>
              </w:rPr>
              <w:t>3.2</w:t>
            </w:r>
          </w:p>
        </w:tc>
        <w:tc>
          <w:tcPr>
            <w:tcW w:w="423" w:type="pct"/>
            <w:tcBorders>
              <w:top w:val="single" w:sz="4" w:space="0" w:color="auto"/>
            </w:tcBorders>
            <w:noWrap/>
            <w:hideMark/>
          </w:tcPr>
          <w:p w14:paraId="2D4D6FB5" w14:textId="77777777" w:rsidR="00B96C5C" w:rsidRPr="00D96063" w:rsidRDefault="00B96C5C" w:rsidP="00765D22">
            <w:pPr>
              <w:keepNext/>
              <w:keepLines/>
              <w:pageBreakBefore/>
              <w:jc w:val="right"/>
              <w:rPr>
                <w:rFonts w:cs="Calibri"/>
                <w:sz w:val="16"/>
                <w:szCs w:val="16"/>
              </w:rPr>
            </w:pPr>
            <w:r w:rsidRPr="00D96063">
              <w:rPr>
                <w:rFonts w:cs="Calibri"/>
                <w:sz w:val="16"/>
                <w:szCs w:val="16"/>
              </w:rPr>
              <w:t>3.5</w:t>
            </w:r>
          </w:p>
        </w:tc>
        <w:tc>
          <w:tcPr>
            <w:tcW w:w="423" w:type="pct"/>
            <w:tcBorders>
              <w:top w:val="single" w:sz="4" w:space="0" w:color="auto"/>
            </w:tcBorders>
            <w:noWrap/>
            <w:hideMark/>
          </w:tcPr>
          <w:p w14:paraId="0EC333B8" w14:textId="77777777" w:rsidR="00B96C5C" w:rsidRPr="00D96063" w:rsidRDefault="00B96C5C" w:rsidP="00765D22">
            <w:pPr>
              <w:keepNext/>
              <w:keepLines/>
              <w:pageBreakBefore/>
              <w:jc w:val="right"/>
              <w:rPr>
                <w:rFonts w:cs="Calibri"/>
                <w:sz w:val="16"/>
                <w:szCs w:val="16"/>
              </w:rPr>
            </w:pPr>
            <w:r w:rsidRPr="00D96063">
              <w:rPr>
                <w:rFonts w:cs="Calibri"/>
                <w:sz w:val="16"/>
                <w:szCs w:val="16"/>
              </w:rPr>
              <w:t>3.3</w:t>
            </w:r>
          </w:p>
        </w:tc>
        <w:tc>
          <w:tcPr>
            <w:tcW w:w="423" w:type="pct"/>
            <w:tcBorders>
              <w:top w:val="single" w:sz="4" w:space="0" w:color="auto"/>
            </w:tcBorders>
            <w:noWrap/>
            <w:hideMark/>
          </w:tcPr>
          <w:p w14:paraId="71A3DFD3" w14:textId="77777777" w:rsidR="00B96C5C" w:rsidRPr="00D96063" w:rsidRDefault="00B96C5C" w:rsidP="00765D22">
            <w:pPr>
              <w:keepNext/>
              <w:keepLines/>
              <w:pageBreakBefore/>
              <w:jc w:val="right"/>
              <w:rPr>
                <w:rFonts w:cs="Calibri"/>
                <w:sz w:val="16"/>
                <w:szCs w:val="16"/>
              </w:rPr>
            </w:pPr>
            <w:r w:rsidRPr="00D96063">
              <w:rPr>
                <w:rFonts w:cs="Calibri"/>
                <w:sz w:val="16"/>
                <w:szCs w:val="16"/>
              </w:rPr>
              <w:t>3.0</w:t>
            </w:r>
          </w:p>
        </w:tc>
        <w:tc>
          <w:tcPr>
            <w:tcW w:w="423" w:type="pct"/>
            <w:tcBorders>
              <w:top w:val="single" w:sz="4" w:space="0" w:color="auto"/>
            </w:tcBorders>
            <w:noWrap/>
            <w:hideMark/>
          </w:tcPr>
          <w:p w14:paraId="36CE9485" w14:textId="77777777" w:rsidR="00B96C5C" w:rsidRPr="00D96063" w:rsidRDefault="00B96C5C" w:rsidP="00765D22">
            <w:pPr>
              <w:keepNext/>
              <w:keepLines/>
              <w:pageBreakBefore/>
              <w:jc w:val="right"/>
              <w:rPr>
                <w:rFonts w:cs="Calibri"/>
                <w:sz w:val="16"/>
                <w:szCs w:val="16"/>
              </w:rPr>
            </w:pPr>
            <w:r w:rsidRPr="00D96063">
              <w:rPr>
                <w:rFonts w:cs="Calibri"/>
                <w:sz w:val="16"/>
                <w:szCs w:val="16"/>
              </w:rPr>
              <w:t>3.9</w:t>
            </w:r>
          </w:p>
        </w:tc>
        <w:tc>
          <w:tcPr>
            <w:tcW w:w="425" w:type="pct"/>
            <w:tcBorders>
              <w:top w:val="single" w:sz="4" w:space="0" w:color="auto"/>
            </w:tcBorders>
            <w:noWrap/>
            <w:hideMark/>
          </w:tcPr>
          <w:p w14:paraId="2E247754" w14:textId="77777777" w:rsidR="00B96C5C" w:rsidRPr="00D96063" w:rsidRDefault="00B96C5C" w:rsidP="00765D22">
            <w:pPr>
              <w:keepNext/>
              <w:keepLines/>
              <w:pageBreakBefore/>
              <w:jc w:val="right"/>
              <w:rPr>
                <w:rFonts w:cs="Calibri"/>
                <w:sz w:val="16"/>
                <w:szCs w:val="16"/>
              </w:rPr>
            </w:pPr>
            <w:r w:rsidRPr="00D96063">
              <w:rPr>
                <w:rFonts w:cs="Calibri"/>
                <w:sz w:val="16"/>
                <w:szCs w:val="16"/>
              </w:rPr>
              <w:t>1.9</w:t>
            </w:r>
          </w:p>
        </w:tc>
      </w:tr>
      <w:tr w:rsidR="00B96C5C" w:rsidRPr="00D96063" w14:paraId="38A81789"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256122AD" w14:textId="77777777" w:rsidR="00B96C5C" w:rsidRPr="00D96063" w:rsidRDefault="00B96C5C" w:rsidP="00765D22">
            <w:pPr>
              <w:keepNext/>
              <w:keepLines/>
              <w:pageBreakBefore/>
              <w:jc w:val="left"/>
              <w:rPr>
                <w:rFonts w:cs="Calibri"/>
                <w:sz w:val="16"/>
                <w:szCs w:val="16"/>
              </w:rPr>
            </w:pPr>
            <w:r w:rsidRPr="00D96063">
              <w:rPr>
                <w:rFonts w:cs="Calibri"/>
                <w:sz w:val="16"/>
                <w:szCs w:val="16"/>
              </w:rPr>
              <w:t>FDI inward stock (USD billion)</w:t>
            </w:r>
          </w:p>
        </w:tc>
        <w:tc>
          <w:tcPr>
            <w:tcW w:w="420" w:type="pct"/>
            <w:noWrap/>
            <w:hideMark/>
          </w:tcPr>
          <w:p w14:paraId="1A7C2004" w14:textId="77777777" w:rsidR="00B96C5C" w:rsidRPr="00D96063" w:rsidRDefault="00B96C5C" w:rsidP="00765D22">
            <w:pPr>
              <w:keepNext/>
              <w:keepLines/>
              <w:pageBreakBefore/>
              <w:jc w:val="right"/>
              <w:rPr>
                <w:rFonts w:cs="Calibri"/>
                <w:sz w:val="16"/>
                <w:szCs w:val="16"/>
              </w:rPr>
            </w:pPr>
            <w:r w:rsidRPr="00D96063">
              <w:rPr>
                <w:rFonts w:cs="Calibri"/>
                <w:sz w:val="16"/>
                <w:szCs w:val="16"/>
              </w:rPr>
              <w:t>23.2</w:t>
            </w:r>
          </w:p>
        </w:tc>
        <w:tc>
          <w:tcPr>
            <w:tcW w:w="423" w:type="pct"/>
            <w:noWrap/>
            <w:hideMark/>
          </w:tcPr>
          <w:p w14:paraId="26E4F2C6" w14:textId="77777777" w:rsidR="00B96C5C" w:rsidRPr="00D96063" w:rsidRDefault="00B96C5C" w:rsidP="00765D22">
            <w:pPr>
              <w:keepNext/>
              <w:keepLines/>
              <w:pageBreakBefore/>
              <w:jc w:val="right"/>
              <w:rPr>
                <w:rFonts w:cs="Calibri"/>
                <w:sz w:val="16"/>
                <w:szCs w:val="16"/>
              </w:rPr>
            </w:pPr>
            <w:r w:rsidRPr="00D96063">
              <w:rPr>
                <w:rFonts w:cs="Calibri"/>
                <w:sz w:val="16"/>
                <w:szCs w:val="16"/>
              </w:rPr>
              <w:t>26.4</w:t>
            </w:r>
          </w:p>
        </w:tc>
        <w:tc>
          <w:tcPr>
            <w:tcW w:w="423" w:type="pct"/>
            <w:noWrap/>
            <w:hideMark/>
          </w:tcPr>
          <w:p w14:paraId="38426E0C" w14:textId="77777777" w:rsidR="00B96C5C" w:rsidRPr="00D96063" w:rsidRDefault="00B96C5C" w:rsidP="00765D22">
            <w:pPr>
              <w:keepNext/>
              <w:keepLines/>
              <w:pageBreakBefore/>
              <w:jc w:val="right"/>
              <w:rPr>
                <w:rFonts w:cs="Calibri"/>
                <w:sz w:val="16"/>
                <w:szCs w:val="16"/>
              </w:rPr>
            </w:pPr>
            <w:r w:rsidRPr="00D96063">
              <w:rPr>
                <w:rFonts w:cs="Calibri"/>
                <w:sz w:val="16"/>
                <w:szCs w:val="16"/>
              </w:rPr>
              <w:t>29.9</w:t>
            </w:r>
          </w:p>
        </w:tc>
        <w:tc>
          <w:tcPr>
            <w:tcW w:w="423" w:type="pct"/>
            <w:noWrap/>
            <w:hideMark/>
          </w:tcPr>
          <w:p w14:paraId="67848D36" w14:textId="77777777" w:rsidR="00B96C5C" w:rsidRPr="00D96063" w:rsidRDefault="00B96C5C" w:rsidP="00765D22">
            <w:pPr>
              <w:keepNext/>
              <w:keepLines/>
              <w:pageBreakBefore/>
              <w:jc w:val="right"/>
              <w:rPr>
                <w:rFonts w:cs="Calibri"/>
                <w:sz w:val="16"/>
                <w:szCs w:val="16"/>
              </w:rPr>
            </w:pPr>
            <w:r w:rsidRPr="00D96063">
              <w:rPr>
                <w:rFonts w:cs="Calibri"/>
                <w:sz w:val="16"/>
                <w:szCs w:val="16"/>
              </w:rPr>
              <w:t>33.1</w:t>
            </w:r>
          </w:p>
        </w:tc>
        <w:tc>
          <w:tcPr>
            <w:tcW w:w="423" w:type="pct"/>
            <w:noWrap/>
            <w:hideMark/>
          </w:tcPr>
          <w:p w14:paraId="632A3C10" w14:textId="77777777" w:rsidR="00B96C5C" w:rsidRPr="00D96063" w:rsidRDefault="00B96C5C" w:rsidP="00765D22">
            <w:pPr>
              <w:keepNext/>
              <w:keepLines/>
              <w:pageBreakBefore/>
              <w:jc w:val="right"/>
              <w:rPr>
                <w:rFonts w:cs="Calibri"/>
                <w:sz w:val="16"/>
                <w:szCs w:val="16"/>
              </w:rPr>
            </w:pPr>
            <w:r w:rsidRPr="00D96063">
              <w:rPr>
                <w:rFonts w:cs="Calibri"/>
                <w:sz w:val="16"/>
                <w:szCs w:val="16"/>
              </w:rPr>
              <w:t>36.1</w:t>
            </w:r>
          </w:p>
        </w:tc>
        <w:tc>
          <w:tcPr>
            <w:tcW w:w="423" w:type="pct"/>
            <w:noWrap/>
            <w:hideMark/>
          </w:tcPr>
          <w:p w14:paraId="664F1DC8" w14:textId="77777777" w:rsidR="00B96C5C" w:rsidRPr="00D96063" w:rsidRDefault="00B96C5C" w:rsidP="00765D22">
            <w:pPr>
              <w:keepNext/>
              <w:keepLines/>
              <w:pageBreakBefore/>
              <w:jc w:val="right"/>
              <w:rPr>
                <w:rFonts w:cs="Calibri"/>
                <w:sz w:val="16"/>
                <w:szCs w:val="16"/>
              </w:rPr>
            </w:pPr>
            <w:r w:rsidRPr="00D96063">
              <w:rPr>
                <w:rFonts w:cs="Calibri"/>
                <w:sz w:val="16"/>
                <w:szCs w:val="16"/>
              </w:rPr>
              <w:t>40.0</w:t>
            </w:r>
          </w:p>
        </w:tc>
        <w:tc>
          <w:tcPr>
            <w:tcW w:w="425" w:type="pct"/>
            <w:noWrap/>
            <w:hideMark/>
          </w:tcPr>
          <w:p w14:paraId="0436780C" w14:textId="77777777" w:rsidR="00B96C5C" w:rsidRPr="00D96063" w:rsidRDefault="00B96C5C" w:rsidP="00765D22">
            <w:pPr>
              <w:keepNext/>
              <w:keepLines/>
              <w:pageBreakBefore/>
              <w:jc w:val="right"/>
              <w:rPr>
                <w:rFonts w:cs="Calibri"/>
                <w:sz w:val="16"/>
                <w:szCs w:val="16"/>
              </w:rPr>
            </w:pPr>
            <w:r w:rsidRPr="00D96063">
              <w:rPr>
                <w:rFonts w:cs="Calibri"/>
                <w:sz w:val="16"/>
                <w:szCs w:val="16"/>
              </w:rPr>
              <w:t>41.9</w:t>
            </w:r>
          </w:p>
        </w:tc>
      </w:tr>
      <w:tr w:rsidR="00B96C5C" w:rsidRPr="00D96063" w14:paraId="239BD645" w14:textId="77777777" w:rsidTr="00765D22">
        <w:trPr>
          <w:trHeight w:val="240"/>
        </w:trPr>
        <w:tc>
          <w:tcPr>
            <w:tcW w:w="2040" w:type="pct"/>
            <w:noWrap/>
            <w:hideMark/>
          </w:tcPr>
          <w:p w14:paraId="239BBEEF" w14:textId="77777777" w:rsidR="00B96C5C" w:rsidRPr="00D96063" w:rsidRDefault="00B96C5C" w:rsidP="00765D22">
            <w:pPr>
              <w:keepNext/>
              <w:keepLines/>
              <w:pageBreakBefore/>
              <w:jc w:val="left"/>
              <w:rPr>
                <w:rFonts w:cs="Calibri"/>
                <w:sz w:val="16"/>
                <w:szCs w:val="16"/>
              </w:rPr>
            </w:pPr>
            <w:r w:rsidRPr="00D96063">
              <w:rPr>
                <w:rFonts w:cs="Calibri"/>
                <w:sz w:val="16"/>
                <w:szCs w:val="16"/>
              </w:rPr>
              <w:t>Brent crude oil price (USD/barrel)</w:t>
            </w:r>
          </w:p>
        </w:tc>
        <w:tc>
          <w:tcPr>
            <w:tcW w:w="420" w:type="pct"/>
            <w:noWrap/>
            <w:hideMark/>
          </w:tcPr>
          <w:p w14:paraId="28F89A56" w14:textId="77777777" w:rsidR="00B96C5C" w:rsidRPr="00D96063" w:rsidRDefault="00B96C5C" w:rsidP="00765D22">
            <w:pPr>
              <w:keepNext/>
              <w:keepLines/>
              <w:pageBreakBefore/>
              <w:jc w:val="right"/>
              <w:rPr>
                <w:rFonts w:cs="Calibri"/>
                <w:sz w:val="16"/>
                <w:szCs w:val="16"/>
              </w:rPr>
            </w:pPr>
            <w:r w:rsidRPr="00D96063">
              <w:rPr>
                <w:rFonts w:cs="Calibri"/>
                <w:sz w:val="16"/>
                <w:szCs w:val="16"/>
              </w:rPr>
              <w:t>99.4</w:t>
            </w:r>
          </w:p>
        </w:tc>
        <w:tc>
          <w:tcPr>
            <w:tcW w:w="423" w:type="pct"/>
            <w:noWrap/>
            <w:hideMark/>
          </w:tcPr>
          <w:p w14:paraId="6445A1F8" w14:textId="77777777" w:rsidR="00B96C5C" w:rsidRPr="00D96063" w:rsidRDefault="00B96C5C" w:rsidP="00765D22">
            <w:pPr>
              <w:keepNext/>
              <w:keepLines/>
              <w:pageBreakBefore/>
              <w:jc w:val="right"/>
              <w:rPr>
                <w:rFonts w:cs="Calibri"/>
                <w:sz w:val="16"/>
                <w:szCs w:val="16"/>
              </w:rPr>
            </w:pPr>
            <w:r w:rsidRPr="00D96063">
              <w:rPr>
                <w:rFonts w:cs="Calibri"/>
                <w:sz w:val="16"/>
                <w:szCs w:val="16"/>
              </w:rPr>
              <w:t>53.6</w:t>
            </w:r>
          </w:p>
        </w:tc>
        <w:tc>
          <w:tcPr>
            <w:tcW w:w="423" w:type="pct"/>
            <w:noWrap/>
            <w:hideMark/>
          </w:tcPr>
          <w:p w14:paraId="5E6380EE" w14:textId="77777777" w:rsidR="00B96C5C" w:rsidRPr="00D96063" w:rsidRDefault="00B96C5C" w:rsidP="00765D22">
            <w:pPr>
              <w:keepNext/>
              <w:keepLines/>
              <w:pageBreakBefore/>
              <w:jc w:val="right"/>
              <w:rPr>
                <w:rFonts w:cs="Calibri"/>
                <w:sz w:val="16"/>
                <w:szCs w:val="16"/>
              </w:rPr>
            </w:pPr>
            <w:r w:rsidRPr="00D96063">
              <w:rPr>
                <w:rFonts w:cs="Calibri"/>
                <w:sz w:val="16"/>
                <w:szCs w:val="16"/>
              </w:rPr>
              <w:t>45.0</w:t>
            </w:r>
          </w:p>
        </w:tc>
        <w:tc>
          <w:tcPr>
            <w:tcW w:w="423" w:type="pct"/>
            <w:noWrap/>
            <w:hideMark/>
          </w:tcPr>
          <w:p w14:paraId="2A56227F" w14:textId="77777777" w:rsidR="00B96C5C" w:rsidRPr="00D96063" w:rsidRDefault="00B96C5C" w:rsidP="00765D22">
            <w:pPr>
              <w:keepNext/>
              <w:keepLines/>
              <w:pageBreakBefore/>
              <w:jc w:val="right"/>
              <w:rPr>
                <w:rFonts w:cs="Calibri"/>
                <w:sz w:val="16"/>
                <w:szCs w:val="16"/>
              </w:rPr>
            </w:pPr>
            <w:r w:rsidRPr="00D96063">
              <w:rPr>
                <w:rFonts w:cs="Calibri"/>
                <w:sz w:val="16"/>
                <w:szCs w:val="16"/>
              </w:rPr>
              <w:t>54.8</w:t>
            </w:r>
          </w:p>
        </w:tc>
        <w:tc>
          <w:tcPr>
            <w:tcW w:w="423" w:type="pct"/>
            <w:noWrap/>
            <w:hideMark/>
          </w:tcPr>
          <w:p w14:paraId="45763B87" w14:textId="77777777" w:rsidR="00B96C5C" w:rsidRPr="00D96063" w:rsidRDefault="00B96C5C" w:rsidP="00765D22">
            <w:pPr>
              <w:keepNext/>
              <w:keepLines/>
              <w:pageBreakBefore/>
              <w:jc w:val="right"/>
              <w:rPr>
                <w:rFonts w:cs="Calibri"/>
                <w:sz w:val="16"/>
                <w:szCs w:val="16"/>
              </w:rPr>
            </w:pPr>
            <w:r w:rsidRPr="00D96063">
              <w:rPr>
                <w:rFonts w:cs="Calibri"/>
                <w:sz w:val="16"/>
                <w:szCs w:val="16"/>
              </w:rPr>
              <w:t>71.5</w:t>
            </w:r>
          </w:p>
        </w:tc>
        <w:tc>
          <w:tcPr>
            <w:tcW w:w="423" w:type="pct"/>
            <w:noWrap/>
            <w:hideMark/>
          </w:tcPr>
          <w:p w14:paraId="63D67844" w14:textId="77777777" w:rsidR="00B96C5C" w:rsidRPr="00D96063" w:rsidRDefault="00B96C5C" w:rsidP="00765D22">
            <w:pPr>
              <w:keepNext/>
              <w:keepLines/>
              <w:pageBreakBefore/>
              <w:jc w:val="right"/>
              <w:rPr>
                <w:rFonts w:cs="Calibri"/>
                <w:sz w:val="16"/>
                <w:szCs w:val="16"/>
              </w:rPr>
            </w:pPr>
            <w:r w:rsidRPr="00D96063">
              <w:rPr>
                <w:rFonts w:cs="Calibri"/>
                <w:sz w:val="16"/>
                <w:szCs w:val="16"/>
              </w:rPr>
              <w:t>33.1</w:t>
            </w:r>
          </w:p>
        </w:tc>
        <w:tc>
          <w:tcPr>
            <w:tcW w:w="425" w:type="pct"/>
            <w:noWrap/>
            <w:hideMark/>
          </w:tcPr>
          <w:p w14:paraId="35D0BAD2" w14:textId="77777777" w:rsidR="00B96C5C" w:rsidRPr="00D96063" w:rsidRDefault="00B96C5C" w:rsidP="00765D22">
            <w:pPr>
              <w:keepNext/>
              <w:keepLines/>
              <w:pageBreakBefore/>
              <w:jc w:val="right"/>
              <w:rPr>
                <w:rFonts w:cs="Calibri"/>
                <w:sz w:val="16"/>
                <w:szCs w:val="16"/>
              </w:rPr>
            </w:pPr>
            <w:r w:rsidRPr="00D96063">
              <w:rPr>
                <w:rFonts w:cs="Calibri"/>
                <w:sz w:val="16"/>
                <w:szCs w:val="16"/>
              </w:rPr>
              <w:t>42.7</w:t>
            </w:r>
          </w:p>
        </w:tc>
      </w:tr>
      <w:tr w:rsidR="00B96C5C" w:rsidRPr="00D96063" w14:paraId="76048CFC" w14:textId="77777777" w:rsidTr="00765D22">
        <w:trPr>
          <w:cnfStyle w:val="000000010000" w:firstRow="0" w:lastRow="0" w:firstColumn="0" w:lastColumn="0" w:oddVBand="0" w:evenVBand="0" w:oddHBand="0" w:evenHBand="1" w:firstRowFirstColumn="0" w:firstRowLastColumn="0" w:lastRowFirstColumn="0" w:lastRowLastColumn="0"/>
          <w:trHeight w:val="240"/>
        </w:trPr>
        <w:tc>
          <w:tcPr>
            <w:tcW w:w="2040" w:type="pct"/>
            <w:noWrap/>
            <w:hideMark/>
          </w:tcPr>
          <w:p w14:paraId="2C77CF96" w14:textId="77777777" w:rsidR="00B96C5C" w:rsidRPr="00D96063" w:rsidRDefault="00B96C5C" w:rsidP="00765D22">
            <w:pPr>
              <w:keepNext/>
              <w:keepLines/>
              <w:pageBreakBefore/>
              <w:jc w:val="left"/>
              <w:rPr>
                <w:rFonts w:cs="Calibri"/>
                <w:sz w:val="16"/>
                <w:szCs w:val="16"/>
              </w:rPr>
            </w:pPr>
            <w:r w:rsidRPr="00D96063">
              <w:rPr>
                <w:rFonts w:cs="Calibri"/>
                <w:sz w:val="16"/>
                <w:szCs w:val="16"/>
              </w:rPr>
              <w:t>Cocoa price (USD/kg)</w:t>
            </w:r>
          </w:p>
        </w:tc>
        <w:tc>
          <w:tcPr>
            <w:tcW w:w="420" w:type="pct"/>
            <w:noWrap/>
            <w:hideMark/>
          </w:tcPr>
          <w:p w14:paraId="0B638204" w14:textId="77777777" w:rsidR="00B96C5C" w:rsidRPr="00D96063" w:rsidRDefault="00B96C5C" w:rsidP="00765D22">
            <w:pPr>
              <w:keepNext/>
              <w:keepLines/>
              <w:pageBreakBefore/>
              <w:jc w:val="right"/>
              <w:rPr>
                <w:rFonts w:cs="Calibri"/>
                <w:sz w:val="16"/>
                <w:szCs w:val="16"/>
              </w:rPr>
            </w:pPr>
            <w:r w:rsidRPr="00D96063">
              <w:rPr>
                <w:rFonts w:cs="Calibri"/>
                <w:sz w:val="16"/>
                <w:szCs w:val="16"/>
              </w:rPr>
              <w:t>3.0</w:t>
            </w:r>
          </w:p>
        </w:tc>
        <w:tc>
          <w:tcPr>
            <w:tcW w:w="423" w:type="pct"/>
            <w:noWrap/>
            <w:hideMark/>
          </w:tcPr>
          <w:p w14:paraId="037F82BD" w14:textId="77777777" w:rsidR="00B96C5C" w:rsidRPr="00D96063" w:rsidRDefault="00B96C5C" w:rsidP="00765D22">
            <w:pPr>
              <w:keepNext/>
              <w:keepLines/>
              <w:pageBreakBefore/>
              <w:jc w:val="right"/>
              <w:rPr>
                <w:rFonts w:cs="Calibri"/>
                <w:sz w:val="16"/>
                <w:szCs w:val="16"/>
              </w:rPr>
            </w:pPr>
            <w:r w:rsidRPr="00D96063">
              <w:rPr>
                <w:rFonts w:cs="Calibri"/>
                <w:sz w:val="16"/>
                <w:szCs w:val="16"/>
              </w:rPr>
              <w:t>3.1</w:t>
            </w:r>
          </w:p>
        </w:tc>
        <w:tc>
          <w:tcPr>
            <w:tcW w:w="423" w:type="pct"/>
            <w:noWrap/>
            <w:hideMark/>
          </w:tcPr>
          <w:p w14:paraId="4DC73160" w14:textId="77777777" w:rsidR="00B96C5C" w:rsidRPr="00D96063" w:rsidRDefault="00B96C5C" w:rsidP="00765D22">
            <w:pPr>
              <w:keepNext/>
              <w:keepLines/>
              <w:pageBreakBefore/>
              <w:jc w:val="right"/>
              <w:rPr>
                <w:rFonts w:cs="Calibri"/>
                <w:sz w:val="16"/>
                <w:szCs w:val="16"/>
              </w:rPr>
            </w:pPr>
            <w:r w:rsidRPr="00D96063">
              <w:rPr>
                <w:rFonts w:cs="Calibri"/>
                <w:sz w:val="16"/>
                <w:szCs w:val="16"/>
              </w:rPr>
              <w:t>2.8</w:t>
            </w:r>
          </w:p>
        </w:tc>
        <w:tc>
          <w:tcPr>
            <w:tcW w:w="423" w:type="pct"/>
            <w:noWrap/>
            <w:hideMark/>
          </w:tcPr>
          <w:p w14:paraId="6DBE09DD" w14:textId="77777777" w:rsidR="00B96C5C" w:rsidRPr="00D96063" w:rsidRDefault="00B96C5C" w:rsidP="00765D22">
            <w:pPr>
              <w:keepNext/>
              <w:keepLines/>
              <w:pageBreakBefore/>
              <w:jc w:val="right"/>
              <w:rPr>
                <w:rFonts w:cs="Calibri"/>
                <w:sz w:val="16"/>
                <w:szCs w:val="16"/>
              </w:rPr>
            </w:pPr>
            <w:r w:rsidRPr="00D96063">
              <w:rPr>
                <w:rFonts w:cs="Calibri"/>
                <w:sz w:val="16"/>
                <w:szCs w:val="16"/>
              </w:rPr>
              <w:t>2.0</w:t>
            </w:r>
          </w:p>
        </w:tc>
        <w:tc>
          <w:tcPr>
            <w:tcW w:w="423" w:type="pct"/>
            <w:noWrap/>
            <w:hideMark/>
          </w:tcPr>
          <w:p w14:paraId="2E8D42E5" w14:textId="77777777" w:rsidR="00B96C5C" w:rsidRPr="00D96063" w:rsidRDefault="00B96C5C" w:rsidP="00765D22">
            <w:pPr>
              <w:keepNext/>
              <w:keepLines/>
              <w:pageBreakBefore/>
              <w:jc w:val="right"/>
              <w:rPr>
                <w:rFonts w:cs="Calibri"/>
                <w:sz w:val="16"/>
                <w:szCs w:val="16"/>
              </w:rPr>
            </w:pPr>
            <w:r w:rsidRPr="00D96063">
              <w:rPr>
                <w:rFonts w:cs="Calibri"/>
                <w:sz w:val="16"/>
                <w:szCs w:val="16"/>
              </w:rPr>
              <w:t>2.3</w:t>
            </w:r>
          </w:p>
        </w:tc>
        <w:tc>
          <w:tcPr>
            <w:tcW w:w="423" w:type="pct"/>
            <w:noWrap/>
            <w:hideMark/>
          </w:tcPr>
          <w:p w14:paraId="7C4C1C56" w14:textId="77777777" w:rsidR="00B96C5C" w:rsidRPr="00D96063" w:rsidRDefault="00B96C5C" w:rsidP="00765D22">
            <w:pPr>
              <w:keepNext/>
              <w:keepLines/>
              <w:pageBreakBefore/>
              <w:jc w:val="right"/>
              <w:rPr>
                <w:rFonts w:cs="Calibri"/>
                <w:sz w:val="16"/>
                <w:szCs w:val="16"/>
              </w:rPr>
            </w:pPr>
            <w:r w:rsidRPr="00D96063">
              <w:rPr>
                <w:rFonts w:cs="Calibri"/>
                <w:sz w:val="16"/>
                <w:szCs w:val="16"/>
              </w:rPr>
              <w:t>1.2</w:t>
            </w:r>
          </w:p>
        </w:tc>
        <w:tc>
          <w:tcPr>
            <w:tcW w:w="425" w:type="pct"/>
            <w:noWrap/>
            <w:hideMark/>
          </w:tcPr>
          <w:p w14:paraId="0EE80495" w14:textId="77777777" w:rsidR="00B96C5C" w:rsidRPr="00D96063" w:rsidRDefault="00B96C5C" w:rsidP="00765D22">
            <w:pPr>
              <w:keepNext/>
              <w:keepLines/>
              <w:pageBreakBefore/>
              <w:jc w:val="right"/>
              <w:rPr>
                <w:rFonts w:cs="Calibri"/>
                <w:sz w:val="16"/>
                <w:szCs w:val="16"/>
              </w:rPr>
            </w:pPr>
            <w:r w:rsidRPr="00D96063">
              <w:rPr>
                <w:rFonts w:cs="Calibri"/>
                <w:sz w:val="16"/>
                <w:szCs w:val="16"/>
              </w:rPr>
              <w:t>2.5</w:t>
            </w:r>
          </w:p>
        </w:tc>
      </w:tr>
      <w:tr w:rsidR="00B96C5C" w:rsidRPr="00D96063" w14:paraId="1997EF9D" w14:textId="77777777" w:rsidTr="00765D22">
        <w:trPr>
          <w:trHeight w:val="240"/>
        </w:trPr>
        <w:tc>
          <w:tcPr>
            <w:tcW w:w="2040" w:type="pct"/>
            <w:noWrap/>
            <w:hideMark/>
          </w:tcPr>
          <w:p w14:paraId="27A19CFB" w14:textId="77777777" w:rsidR="00B96C5C" w:rsidRPr="00D96063" w:rsidRDefault="00B96C5C" w:rsidP="00765D22">
            <w:pPr>
              <w:keepNext/>
              <w:keepLines/>
              <w:pageBreakBefore/>
              <w:jc w:val="left"/>
              <w:rPr>
                <w:rFonts w:cs="Calibri"/>
                <w:sz w:val="16"/>
                <w:szCs w:val="16"/>
              </w:rPr>
            </w:pPr>
            <w:r w:rsidRPr="00D96063">
              <w:rPr>
                <w:rFonts w:cs="Calibri"/>
                <w:sz w:val="16"/>
                <w:szCs w:val="16"/>
              </w:rPr>
              <w:t>Gold (USD/troy oz)</w:t>
            </w:r>
          </w:p>
        </w:tc>
        <w:tc>
          <w:tcPr>
            <w:tcW w:w="420" w:type="pct"/>
            <w:noWrap/>
            <w:hideMark/>
          </w:tcPr>
          <w:p w14:paraId="7E0FFF5A" w14:textId="77777777" w:rsidR="00B96C5C" w:rsidRPr="00D96063" w:rsidRDefault="00B96C5C" w:rsidP="00765D22">
            <w:pPr>
              <w:keepNext/>
              <w:keepLines/>
              <w:pageBreakBefore/>
              <w:ind w:left="-57" w:right="-57"/>
              <w:jc w:val="right"/>
              <w:rPr>
                <w:rFonts w:cs="Calibri"/>
                <w:sz w:val="16"/>
                <w:szCs w:val="16"/>
              </w:rPr>
            </w:pPr>
            <w:r w:rsidRPr="00D96063">
              <w:rPr>
                <w:rFonts w:cs="Calibri"/>
                <w:sz w:val="16"/>
                <w:szCs w:val="16"/>
              </w:rPr>
              <w:t>1,265.6</w:t>
            </w:r>
          </w:p>
        </w:tc>
        <w:tc>
          <w:tcPr>
            <w:tcW w:w="423" w:type="pct"/>
            <w:noWrap/>
            <w:hideMark/>
          </w:tcPr>
          <w:p w14:paraId="46C42C69" w14:textId="77777777" w:rsidR="00B96C5C" w:rsidRPr="00D96063" w:rsidRDefault="00B96C5C" w:rsidP="00765D22">
            <w:pPr>
              <w:keepNext/>
              <w:keepLines/>
              <w:pageBreakBefore/>
              <w:ind w:left="-57" w:right="-57"/>
              <w:jc w:val="right"/>
              <w:rPr>
                <w:rFonts w:cs="Calibri"/>
                <w:sz w:val="16"/>
                <w:szCs w:val="16"/>
              </w:rPr>
            </w:pPr>
            <w:r w:rsidRPr="00D96063">
              <w:rPr>
                <w:rFonts w:cs="Calibri"/>
                <w:sz w:val="16"/>
                <w:szCs w:val="16"/>
              </w:rPr>
              <w:t>1,160.7</w:t>
            </w:r>
          </w:p>
        </w:tc>
        <w:tc>
          <w:tcPr>
            <w:tcW w:w="423" w:type="pct"/>
            <w:noWrap/>
            <w:hideMark/>
          </w:tcPr>
          <w:p w14:paraId="6EE896C7" w14:textId="77777777" w:rsidR="00B96C5C" w:rsidRPr="00D96063" w:rsidRDefault="00B96C5C" w:rsidP="00765D22">
            <w:pPr>
              <w:keepNext/>
              <w:keepLines/>
              <w:pageBreakBefore/>
              <w:ind w:left="-57" w:right="-57"/>
              <w:jc w:val="right"/>
              <w:rPr>
                <w:rFonts w:cs="Calibri"/>
                <w:sz w:val="16"/>
                <w:szCs w:val="16"/>
              </w:rPr>
            </w:pPr>
            <w:r w:rsidRPr="00D96063">
              <w:rPr>
                <w:rFonts w:cs="Calibri"/>
                <w:sz w:val="16"/>
                <w:szCs w:val="16"/>
              </w:rPr>
              <w:t>1,249.0</w:t>
            </w:r>
          </w:p>
        </w:tc>
        <w:tc>
          <w:tcPr>
            <w:tcW w:w="423" w:type="pct"/>
            <w:noWrap/>
            <w:hideMark/>
          </w:tcPr>
          <w:p w14:paraId="6BED39F1" w14:textId="77777777" w:rsidR="00B96C5C" w:rsidRPr="00D96063" w:rsidRDefault="00B96C5C" w:rsidP="00765D22">
            <w:pPr>
              <w:keepNext/>
              <w:keepLines/>
              <w:pageBreakBefore/>
              <w:ind w:left="-57" w:right="-57"/>
              <w:jc w:val="right"/>
              <w:rPr>
                <w:rFonts w:cs="Calibri"/>
                <w:sz w:val="16"/>
                <w:szCs w:val="16"/>
              </w:rPr>
            </w:pPr>
            <w:r w:rsidRPr="00D96063">
              <w:rPr>
                <w:rFonts w:cs="Calibri"/>
                <w:sz w:val="16"/>
                <w:szCs w:val="16"/>
              </w:rPr>
              <w:t>1,257.6</w:t>
            </w:r>
          </w:p>
        </w:tc>
        <w:tc>
          <w:tcPr>
            <w:tcW w:w="423" w:type="pct"/>
            <w:noWrap/>
            <w:hideMark/>
          </w:tcPr>
          <w:p w14:paraId="06D4B0E4" w14:textId="77777777" w:rsidR="00B96C5C" w:rsidRPr="00D96063" w:rsidRDefault="00B96C5C" w:rsidP="00765D22">
            <w:pPr>
              <w:keepNext/>
              <w:keepLines/>
              <w:pageBreakBefore/>
              <w:ind w:left="-57" w:right="-57"/>
              <w:jc w:val="right"/>
              <w:rPr>
                <w:rFonts w:cs="Calibri"/>
                <w:sz w:val="16"/>
                <w:szCs w:val="16"/>
              </w:rPr>
            </w:pPr>
            <w:r w:rsidRPr="00D96063">
              <w:rPr>
                <w:rFonts w:cs="Calibri"/>
                <w:sz w:val="16"/>
                <w:szCs w:val="16"/>
              </w:rPr>
              <w:t>1,269.2</w:t>
            </w:r>
          </w:p>
        </w:tc>
        <w:tc>
          <w:tcPr>
            <w:tcW w:w="423" w:type="pct"/>
            <w:noWrap/>
            <w:hideMark/>
          </w:tcPr>
          <w:p w14:paraId="2892C251" w14:textId="77777777" w:rsidR="00B96C5C" w:rsidRPr="00D96063" w:rsidRDefault="00B96C5C" w:rsidP="00765D22">
            <w:pPr>
              <w:keepNext/>
              <w:keepLines/>
              <w:pageBreakBefore/>
              <w:ind w:left="-57" w:right="-57"/>
              <w:jc w:val="right"/>
              <w:rPr>
                <w:rFonts w:cs="Calibri"/>
                <w:sz w:val="16"/>
                <w:szCs w:val="16"/>
              </w:rPr>
            </w:pPr>
            <w:r w:rsidRPr="00D96063">
              <w:rPr>
                <w:rFonts w:cs="Calibri"/>
                <w:sz w:val="16"/>
                <w:szCs w:val="16"/>
              </w:rPr>
              <w:t>1,392.5</w:t>
            </w:r>
          </w:p>
        </w:tc>
        <w:tc>
          <w:tcPr>
            <w:tcW w:w="425" w:type="pct"/>
            <w:noWrap/>
            <w:hideMark/>
          </w:tcPr>
          <w:p w14:paraId="21356CB4" w14:textId="77777777" w:rsidR="00B96C5C" w:rsidRPr="00D96063" w:rsidRDefault="00B96C5C" w:rsidP="00765D22">
            <w:pPr>
              <w:keepNext/>
              <w:keepLines/>
              <w:pageBreakBefore/>
              <w:ind w:left="-57" w:right="-57"/>
              <w:jc w:val="right"/>
              <w:rPr>
                <w:rFonts w:cs="Calibri"/>
                <w:sz w:val="16"/>
                <w:szCs w:val="16"/>
              </w:rPr>
            </w:pPr>
            <w:r w:rsidRPr="00D96063">
              <w:rPr>
                <w:rFonts w:cs="Calibri"/>
                <w:sz w:val="16"/>
                <w:szCs w:val="16"/>
              </w:rPr>
              <w:t>1,770.3</w:t>
            </w:r>
          </w:p>
        </w:tc>
      </w:tr>
    </w:tbl>
    <w:p w14:paraId="74D012AE" w14:textId="77777777" w:rsidR="00B96C5C" w:rsidRPr="00D96063" w:rsidRDefault="00B96C5C" w:rsidP="00B96C5C">
      <w:pPr>
        <w:pStyle w:val="NoteText"/>
        <w:spacing w:before="120" w:after="120"/>
        <w:rPr>
          <w:lang w:eastAsia="en-GB"/>
        </w:rPr>
      </w:pPr>
      <w:r w:rsidRPr="00D96063">
        <w:rPr>
          <w:lang w:eastAsia="en-GB"/>
        </w:rPr>
        <w:t>..</w:t>
      </w:r>
      <w:r w:rsidRPr="00D96063">
        <w:rPr>
          <w:lang w:eastAsia="en-GB"/>
        </w:rPr>
        <w:tab/>
        <w:t>Not available.</w:t>
      </w:r>
    </w:p>
    <w:p w14:paraId="6D698356" w14:textId="77777777" w:rsidR="00B96C5C" w:rsidRPr="00D96063" w:rsidRDefault="00B96C5C" w:rsidP="00B96C5C">
      <w:pPr>
        <w:pStyle w:val="NoteText"/>
        <w:spacing w:before="120" w:after="120"/>
        <w:rPr>
          <w:lang w:eastAsia="en-GB"/>
        </w:rPr>
      </w:pPr>
      <w:r>
        <w:rPr>
          <w:lang w:eastAsia="en-GB"/>
        </w:rPr>
        <w:t>a</w:t>
      </w:r>
      <w:r w:rsidRPr="00D96063">
        <w:rPr>
          <w:lang w:eastAsia="en-GB"/>
        </w:rPr>
        <w:tab/>
        <w:t>Provisional data.</w:t>
      </w:r>
    </w:p>
    <w:p w14:paraId="03E06A44" w14:textId="77777777" w:rsidR="00B96C5C" w:rsidRPr="00D96063" w:rsidRDefault="00B96C5C" w:rsidP="00B96C5C">
      <w:pPr>
        <w:pStyle w:val="NoteText"/>
        <w:spacing w:before="120" w:after="240"/>
        <w:rPr>
          <w:lang w:eastAsia="en-GB"/>
        </w:rPr>
      </w:pPr>
      <w:r w:rsidRPr="00D96063">
        <w:rPr>
          <w:lang w:eastAsia="en-GB"/>
        </w:rPr>
        <w:t>Source:</w:t>
      </w:r>
      <w:r w:rsidRPr="00D96063">
        <w:rPr>
          <w:lang w:eastAsia="en-GB"/>
        </w:rPr>
        <w:tab/>
        <w:t xml:space="preserve">Ghana Statistical Service, </w:t>
      </w:r>
      <w:r w:rsidRPr="00D96063">
        <w:rPr>
          <w:i/>
          <w:iCs/>
          <w:lang w:eastAsia="en-GB"/>
        </w:rPr>
        <w:t>Economic</w:t>
      </w:r>
      <w:r w:rsidRPr="00D96063">
        <w:rPr>
          <w:lang w:eastAsia="en-GB"/>
        </w:rPr>
        <w:t xml:space="preserve">. Viewed at: </w:t>
      </w:r>
      <w:hyperlink r:id="rId13" w:history="1">
        <w:r w:rsidRPr="00D96063">
          <w:rPr>
            <w:rStyle w:val="Hyperlink"/>
          </w:rPr>
          <w:t>https://statsghana.gov.gh/</w:t>
        </w:r>
      </w:hyperlink>
      <w:r w:rsidRPr="007A1409">
        <w:rPr>
          <w:rStyle w:val="Hyperlink"/>
          <w:color w:val="auto"/>
          <w:u w:val="none"/>
        </w:rPr>
        <w:t>;</w:t>
      </w:r>
      <w:r w:rsidRPr="00D96063">
        <w:rPr>
          <w:lang w:eastAsia="en-GB"/>
        </w:rPr>
        <w:t xml:space="preserve"> Bank of Ghana, </w:t>
      </w:r>
      <w:r w:rsidRPr="00D96063">
        <w:rPr>
          <w:i/>
          <w:iCs/>
          <w:lang w:eastAsia="en-GB"/>
        </w:rPr>
        <w:t>Economic Data</w:t>
      </w:r>
      <w:r w:rsidRPr="00D96063">
        <w:rPr>
          <w:lang w:eastAsia="en-GB"/>
        </w:rPr>
        <w:t xml:space="preserve">. Viewed at: </w:t>
      </w:r>
      <w:hyperlink r:id="rId14" w:history="1">
        <w:r w:rsidRPr="00D96063">
          <w:rPr>
            <w:rStyle w:val="Hyperlink"/>
          </w:rPr>
          <w:t>https://www.bog.gov.gh/economic-data/</w:t>
        </w:r>
      </w:hyperlink>
      <w:r w:rsidRPr="007A1409">
        <w:rPr>
          <w:rStyle w:val="Hyperlink"/>
          <w:color w:val="auto"/>
          <w:u w:val="none"/>
        </w:rPr>
        <w:t>;</w:t>
      </w:r>
      <w:r w:rsidRPr="00D96063">
        <w:rPr>
          <w:lang w:eastAsia="en-GB"/>
        </w:rPr>
        <w:t xml:space="preserve"> UNCTAD Stat. Viewed at: </w:t>
      </w:r>
      <w:hyperlink r:id="rId15" w:history="1">
        <w:r w:rsidRPr="00D96063">
          <w:rPr>
            <w:rStyle w:val="Hyperlink"/>
          </w:rPr>
          <w:t>https://unctadstat.unctad.org/EN/</w:t>
        </w:r>
      </w:hyperlink>
      <w:r w:rsidRPr="007A1409">
        <w:rPr>
          <w:rStyle w:val="Hyperlink"/>
          <w:color w:val="auto"/>
          <w:u w:val="none"/>
        </w:rPr>
        <w:t>;</w:t>
      </w:r>
      <w:r w:rsidRPr="00CC3C7E">
        <w:rPr>
          <w:lang w:eastAsia="en-GB"/>
        </w:rPr>
        <w:t xml:space="preserve"> </w:t>
      </w:r>
      <w:r w:rsidRPr="00D96063">
        <w:rPr>
          <w:lang w:eastAsia="en-GB"/>
        </w:rPr>
        <w:t xml:space="preserve">and IMF data. Viewed at: </w:t>
      </w:r>
      <w:hyperlink r:id="rId16" w:history="1">
        <w:r w:rsidRPr="00D96063">
          <w:rPr>
            <w:rStyle w:val="Hyperlink"/>
          </w:rPr>
          <w:t>https://data.imf.org</w:t>
        </w:r>
        <w:r w:rsidRPr="00D96063">
          <w:rPr>
            <w:rStyle w:val="Hyperlink"/>
            <w:lang w:eastAsia="en-GB"/>
          </w:rPr>
          <w:t>/</w:t>
        </w:r>
      </w:hyperlink>
      <w:r w:rsidRPr="00D96063">
        <w:rPr>
          <w:lang w:eastAsia="en-GB"/>
        </w:rPr>
        <w:t>.</w:t>
      </w:r>
    </w:p>
    <w:p w14:paraId="67E409A8" w14:textId="44F3F7D9" w:rsidR="00C15F2E" w:rsidRPr="00D96063" w:rsidRDefault="00045F7A" w:rsidP="00045F7A">
      <w:pPr>
        <w:pStyle w:val="Caption"/>
      </w:pPr>
      <w:bookmarkStart w:id="13" w:name="_Toc103607796"/>
      <w:r>
        <w:t xml:space="preserve">Chart </w:t>
      </w:r>
      <w:fldSimple w:instr=" STYLEREF 1 \s ">
        <w:r w:rsidR="004B63B1">
          <w:rPr>
            <w:noProof/>
          </w:rPr>
          <w:t>1</w:t>
        </w:r>
      </w:fldSimple>
      <w:r>
        <w:t>.</w:t>
      </w:r>
      <w:fldSimple w:instr=" SEQ Chart \* ARABIC \s 1 ">
        <w:r w:rsidR="004B63B1">
          <w:rPr>
            <w:noProof/>
          </w:rPr>
          <w:t>1</w:t>
        </w:r>
      </w:fldSimple>
      <w:r>
        <w:t xml:space="preserve"> Prices of gold, cocoa beans, and crude oil, 2006-20</w:t>
      </w:r>
      <w:bookmarkEnd w:id="13"/>
    </w:p>
    <w:p w14:paraId="32535E3B" w14:textId="77777777" w:rsidR="00C15F2E" w:rsidRPr="00D96063" w:rsidRDefault="00C15F2E" w:rsidP="004E08B7">
      <w:r w:rsidRPr="00D96063">
        <w:rPr>
          <w:noProof/>
        </w:rPr>
        <w:drawing>
          <wp:inline distT="0" distB="0" distL="0" distR="0" wp14:anchorId="1C44C0F4" wp14:editId="14AB0E76">
            <wp:extent cx="5731510" cy="3059723"/>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 t="7915" r="-10" b="15557"/>
                    <a:stretch/>
                  </pic:blipFill>
                  <pic:spPr bwMode="auto">
                    <a:xfrm>
                      <a:off x="0" y="0"/>
                      <a:ext cx="5732042" cy="3060007"/>
                    </a:xfrm>
                    <a:prstGeom prst="rect">
                      <a:avLst/>
                    </a:prstGeom>
                    <a:noFill/>
                    <a:ln>
                      <a:noFill/>
                    </a:ln>
                    <a:extLst>
                      <a:ext uri="{53640926-AAD7-44D8-BBD7-CCE9431645EC}">
                        <a14:shadowObscured xmlns:a14="http://schemas.microsoft.com/office/drawing/2010/main"/>
                      </a:ext>
                    </a:extLst>
                  </pic:spPr>
                </pic:pic>
              </a:graphicData>
            </a:graphic>
          </wp:inline>
        </w:drawing>
      </w:r>
    </w:p>
    <w:p w14:paraId="4352BC00" w14:textId="77777777" w:rsidR="00C15F2E" w:rsidRPr="00D96063" w:rsidRDefault="00C15F2E" w:rsidP="004E08B7">
      <w:pPr>
        <w:pStyle w:val="NoteText"/>
        <w:spacing w:before="120" w:after="120"/>
      </w:pPr>
      <w:r w:rsidRPr="00D96063">
        <w:t>Note:</w:t>
      </w:r>
      <w:r w:rsidRPr="00D96063">
        <w:tab/>
        <w:t>2022 data refer only to January and February.</w:t>
      </w:r>
    </w:p>
    <w:p w14:paraId="5803192D" w14:textId="77777777" w:rsidR="00C15F2E" w:rsidRPr="00D96063" w:rsidRDefault="00C15F2E" w:rsidP="004E08B7">
      <w:pPr>
        <w:pStyle w:val="NoteText"/>
        <w:spacing w:before="120" w:after="240"/>
      </w:pPr>
      <w:r w:rsidRPr="00D96063">
        <w:t>Source:</w:t>
      </w:r>
      <w:r w:rsidRPr="00D96063">
        <w:tab/>
        <w:t xml:space="preserve">World Bank, </w:t>
      </w:r>
      <w:r w:rsidRPr="00D96063">
        <w:rPr>
          <w:i/>
          <w:iCs/>
        </w:rPr>
        <w:t>Commodity Markets</w:t>
      </w:r>
      <w:r w:rsidRPr="00D96063">
        <w:t>.</w:t>
      </w:r>
      <w:r w:rsidRPr="00D96063">
        <w:rPr>
          <w:b/>
          <w:bCs/>
        </w:rPr>
        <w:t xml:space="preserve"> </w:t>
      </w:r>
      <w:r w:rsidRPr="00D96063">
        <w:t xml:space="preserve">Viewed at: </w:t>
      </w:r>
      <w:hyperlink r:id="rId18" w:history="1">
        <w:r w:rsidRPr="00D96063">
          <w:rPr>
            <w:rStyle w:val="Hyperlink"/>
          </w:rPr>
          <w:t>https://www.worldbank.org/en/research/commodity-markets</w:t>
        </w:r>
      </w:hyperlink>
      <w:r w:rsidRPr="007A1409">
        <w:rPr>
          <w:rStyle w:val="Hyperlink"/>
          <w:color w:val="auto"/>
          <w:u w:val="none"/>
        </w:rPr>
        <w:t>.</w:t>
      </w:r>
    </w:p>
    <w:p w14:paraId="09E9B0A3" w14:textId="77777777" w:rsidR="00C15F2E" w:rsidRPr="00D96063" w:rsidRDefault="00C15F2E" w:rsidP="003758E5">
      <w:pPr>
        <w:pStyle w:val="Heading2"/>
      </w:pPr>
      <w:bookmarkStart w:id="14" w:name="_Toc103607640"/>
      <w:r w:rsidRPr="00D96063">
        <w:t>Recent Economic Developments</w:t>
      </w:r>
      <w:bookmarkEnd w:id="14"/>
    </w:p>
    <w:p w14:paraId="652A1629" w14:textId="77777777" w:rsidR="00C15F2E" w:rsidRPr="00D96063" w:rsidRDefault="00C15F2E" w:rsidP="003758E5">
      <w:pPr>
        <w:pStyle w:val="BodyText"/>
        <w:numPr>
          <w:ilvl w:val="6"/>
          <w:numId w:val="16"/>
        </w:numPr>
      </w:pPr>
      <w:bookmarkStart w:id="15" w:name="_Hlk97558336"/>
      <w:r w:rsidRPr="00D96063">
        <w:t>Over the review period (2014-21), Ghana experienced three phases of modest to strong economic growth, while the country continued to face challenges to stabilize the economy.</w:t>
      </w:r>
    </w:p>
    <w:p w14:paraId="1AA0FE89" w14:textId="77777777" w:rsidR="00C15F2E" w:rsidRPr="00D96063" w:rsidRDefault="00C15F2E" w:rsidP="003758E5">
      <w:pPr>
        <w:pStyle w:val="BodyText"/>
        <w:numPr>
          <w:ilvl w:val="6"/>
          <w:numId w:val="16"/>
        </w:numPr>
      </w:pPr>
      <w:bookmarkStart w:id="16" w:name="_Hlk97558303"/>
      <w:bookmarkEnd w:id="15"/>
      <w:r w:rsidRPr="00D96063">
        <w:t xml:space="preserve">In fact, from 2014 to 2016, Ghana witnessed a sharp economic slowdown with an average real GDP growth of 2.8% (down from an average of 6.6% in 2010-13), which was related to the country's banking and energy crisis (see below), </w:t>
      </w:r>
      <w:bookmarkEnd w:id="16"/>
      <w:r w:rsidRPr="00D96063">
        <w:t>and a drop in the export prices of its key commodities (Chart 1.1). The economic downturn was accompanied by high fiscal deficits, double-digit inflation, and an increased debt burden.</w:t>
      </w:r>
      <w:r w:rsidRPr="00D96063">
        <w:rPr>
          <w:rStyle w:val="FootnoteReference"/>
          <w:rFonts w:cs="Times New Roman"/>
        </w:rPr>
        <w:footnoteReference w:id="3"/>
      </w:r>
    </w:p>
    <w:p w14:paraId="2D5186DE" w14:textId="77777777" w:rsidR="00C15F2E" w:rsidRPr="00D96063" w:rsidRDefault="00C15F2E" w:rsidP="003758E5">
      <w:pPr>
        <w:pStyle w:val="BodyText"/>
        <w:numPr>
          <w:ilvl w:val="6"/>
          <w:numId w:val="16"/>
        </w:numPr>
      </w:pPr>
      <w:bookmarkStart w:id="17" w:name="_Hlk97558229"/>
      <w:r w:rsidRPr="00D96063">
        <w:lastRenderedPageBreak/>
        <w:t>From 2017 to 2019, following a change in government, macroeconomic stability improved. Real GDP growth rebounded to an average of 6.9%, inflation was brought under control, and the Government's budget situation improved, thanks to greater fiscal discipline.</w:t>
      </w:r>
    </w:p>
    <w:p w14:paraId="2BAFB5DC" w14:textId="77777777" w:rsidR="00C15F2E" w:rsidRPr="00D96063" w:rsidRDefault="00C15F2E" w:rsidP="003758E5">
      <w:pPr>
        <w:pStyle w:val="BodyText"/>
        <w:numPr>
          <w:ilvl w:val="6"/>
          <w:numId w:val="16"/>
        </w:numPr>
      </w:pPr>
      <w:bookmarkStart w:id="18" w:name="_Hlk97558176"/>
      <w:bookmarkEnd w:id="17"/>
      <w:r w:rsidRPr="00D96063">
        <w:rPr>
          <w:rFonts w:cs="Times New Roman"/>
        </w:rPr>
        <w:t xml:space="preserve">In 2020, </w:t>
      </w:r>
      <w:r w:rsidRPr="00D96063">
        <w:t>t</w:t>
      </w:r>
      <w:r w:rsidRPr="00D96063">
        <w:rPr>
          <w:rFonts w:cs="Times New Roman"/>
        </w:rPr>
        <w:t>he Ghanaian economy h</w:t>
      </w:r>
      <w:r w:rsidRPr="00D96063">
        <w:t xml:space="preserve">eld up comparatively well with GDP growth of 0.4%, despite the worldwide COVID-19-related lockdowns, and closures of businesses and borders. This came at the expense of a record fiscal deficit and public debt (see below), as the Government intervened heavily to support vulnerable households and businesses through the Coronavirus Alleviation Programme. </w:t>
      </w:r>
      <w:bookmarkEnd w:id="18"/>
      <w:r w:rsidRPr="00D96063">
        <w:t>The IMF expects the economy to recover to 4.7% real growth in 2021, supported by a good cocoa harvest, mining activity, and services.</w:t>
      </w:r>
      <w:r w:rsidRPr="00D96063">
        <w:rPr>
          <w:rStyle w:val="FootnoteReference"/>
          <w:szCs w:val="18"/>
        </w:rPr>
        <w:footnoteReference w:id="4"/>
      </w:r>
    </w:p>
    <w:p w14:paraId="3DA0A957" w14:textId="77777777" w:rsidR="00C15F2E" w:rsidRPr="00D96063" w:rsidRDefault="00C15F2E" w:rsidP="003758E5">
      <w:pPr>
        <w:pStyle w:val="BodyText"/>
        <w:numPr>
          <w:ilvl w:val="6"/>
          <w:numId w:val="16"/>
        </w:numPr>
        <w:rPr>
          <w:rFonts w:cs="Times New Roman"/>
        </w:rPr>
      </w:pPr>
      <w:r w:rsidRPr="00D96063">
        <w:t>The agriculture sector (including forestry and fishing) contributed 20.5% to GDP in 2020 and provided formal and informal employment for over 40%</w:t>
      </w:r>
      <w:r w:rsidRPr="00D96063">
        <w:rPr>
          <w:b/>
          <w:bCs/>
        </w:rPr>
        <w:t xml:space="preserve"> </w:t>
      </w:r>
      <w:r w:rsidRPr="00D96063">
        <w:t>of the workforce. Growth in agriculture has been stimulated by a new agricultural support programme since 2017 (Section 4.1.2) and averaged 5.8% in 2017-20.</w:t>
      </w:r>
    </w:p>
    <w:p w14:paraId="578D558E" w14:textId="0F8B9403" w:rsidR="00C15F2E" w:rsidRPr="00D96063" w:rsidRDefault="00C15F2E" w:rsidP="003758E5">
      <w:pPr>
        <w:pStyle w:val="BodyText"/>
        <w:numPr>
          <w:ilvl w:val="6"/>
          <w:numId w:val="16"/>
        </w:numPr>
        <w:rPr>
          <w:rFonts w:cs="Times New Roman"/>
        </w:rPr>
      </w:pPr>
      <w:r w:rsidRPr="00D96063">
        <w:t>Mining and quarrying contributed about 13% to GDP in recent years (down from 15.4% of GDP in 2014). The oil and gas sector has recorded impressive growth rates in some years (up 80% in 2017), as a new oil field came into production. Overall, the size of the oil and gas sector in the economy is still relatively small (3.8% of GDP in 2020).</w:t>
      </w:r>
    </w:p>
    <w:p w14:paraId="64181874" w14:textId="4C76C83A" w:rsidR="00C15F2E" w:rsidRPr="00D96063" w:rsidRDefault="00C15F2E" w:rsidP="003758E5">
      <w:pPr>
        <w:pStyle w:val="BodyText"/>
        <w:numPr>
          <w:ilvl w:val="6"/>
          <w:numId w:val="16"/>
        </w:numPr>
      </w:pPr>
      <w:r w:rsidRPr="00D96063">
        <w:t>Developments in Ghana's electricity sector have weighed on economic stability. Following an energy crisis in 2014 with severe power cuts, the Government's commissioning of excess electricity</w:t>
      </w:r>
      <w:r w:rsidR="00DF07C6">
        <w:t xml:space="preserve"> </w:t>
      </w:r>
      <w:r w:rsidRPr="00D96063">
        <w:t>generation capacity</w:t>
      </w:r>
      <w:r w:rsidRPr="00D96063">
        <w:rPr>
          <w:rStyle w:val="FootnoteReference"/>
          <w:rFonts w:cs="Times New Roman"/>
        </w:rPr>
        <w:footnoteReference w:id="5"/>
      </w:r>
      <w:r w:rsidRPr="00D96063">
        <w:t xml:space="preserve"> and unviable electricity tariffs charged by the state-owned utilities became a major fiscal burden (Section 4.2). In 2020, Ghana spent over 2% of GDP to support the electricity sector.</w:t>
      </w:r>
      <w:r w:rsidRPr="00D96063">
        <w:rPr>
          <w:rStyle w:val="FootnoteReference"/>
        </w:rPr>
        <w:footnoteReference w:id="6"/>
      </w:r>
      <w:r w:rsidRPr="00D96063">
        <w:t xml:space="preserve"> An Energy Sector Recovery Plan was launched to restore the supply-demand balance in power</w:t>
      </w:r>
      <w:r w:rsidR="00DF07C6">
        <w:t xml:space="preserve"> </w:t>
      </w:r>
      <w:r w:rsidRPr="00D96063">
        <w:t>generation capacity and the financial viability of the sector.</w:t>
      </w:r>
    </w:p>
    <w:p w14:paraId="0B6EFB40" w14:textId="77777777" w:rsidR="00C15F2E" w:rsidRPr="00D96063" w:rsidRDefault="00C15F2E" w:rsidP="003758E5">
      <w:pPr>
        <w:pStyle w:val="BodyText"/>
        <w:numPr>
          <w:ilvl w:val="6"/>
          <w:numId w:val="16"/>
        </w:numPr>
      </w:pPr>
      <w:r w:rsidRPr="00D96063">
        <w:t>The financial services sector is now more stable, and Ghana's banks are better capitalized, according to the IMF.</w:t>
      </w:r>
      <w:r w:rsidRPr="00D96063">
        <w:rPr>
          <w:rStyle w:val="FootnoteReference"/>
        </w:rPr>
        <w:footnoteReference w:id="7"/>
      </w:r>
      <w:r w:rsidRPr="00D96063">
        <w:t xml:space="preserve"> This follows a bailout of the financial sector undertaken during 2017</w:t>
      </w:r>
      <w:r w:rsidRPr="00D96063">
        <w:noBreakHyphen/>
        <w:t>21, which involved nine banks, and the closure of insolvent non-bank deposit-taking institutions and asset management companies, and cost GHS 22.7 billion (approximately USD 3.8 billion), almost 7% of GDP. In June 2021, Ghana was taken off the Financial Action Task Force's anti-money laundering and counter-terrorism financing list of countries subject to increased monitoring.</w:t>
      </w:r>
    </w:p>
    <w:p w14:paraId="3BA98950" w14:textId="77777777" w:rsidR="00C15F2E" w:rsidRPr="00D96063" w:rsidRDefault="00C15F2E" w:rsidP="003758E5">
      <w:pPr>
        <w:pStyle w:val="BodyText"/>
        <w:numPr>
          <w:ilvl w:val="6"/>
          <w:numId w:val="16"/>
        </w:numPr>
      </w:pPr>
      <w:r w:rsidRPr="00D96063">
        <w:t>The economic policy is guided by the Ghana Beyond Aid development strategy aimed at diversifying the economy through agricultural modernization and industrialization. Ghana thereby intends to strengthen the economy's resilience to external shocks and reduce the risks of economic growth being fuelled by volatile gold and oil exports.</w:t>
      </w:r>
    </w:p>
    <w:p w14:paraId="72058B57" w14:textId="28E3A2AA" w:rsidR="00C15F2E" w:rsidRPr="00D96063" w:rsidRDefault="00C15F2E" w:rsidP="003758E5">
      <w:pPr>
        <w:pStyle w:val="BodyText"/>
        <w:numPr>
          <w:ilvl w:val="6"/>
          <w:numId w:val="16"/>
        </w:numPr>
        <w:rPr>
          <w:rFonts w:cs="Times New Roman"/>
        </w:rPr>
      </w:pPr>
      <w:r w:rsidRPr="00D96063">
        <w:t>In November 2020, Ghana adopted a fiscal stimulus and reform programme called the Ghana COVID</w:t>
      </w:r>
      <w:r w:rsidRPr="00D96063">
        <w:rPr>
          <w:rFonts w:ascii="Cambria Math" w:hAnsi="Cambria Math" w:cs="Cambria Math"/>
        </w:rPr>
        <w:t>‑</w:t>
      </w:r>
      <w:r w:rsidRPr="00D96063">
        <w:t>19 Alleviation</w:t>
      </w:r>
      <w:r w:rsidR="00351267">
        <w:t xml:space="preserve"> and </w:t>
      </w:r>
      <w:r w:rsidRPr="00D96063">
        <w:t xml:space="preserve">Revitalisation </w:t>
      </w:r>
      <w:r w:rsidR="00351267">
        <w:t>of</w:t>
      </w:r>
      <w:r w:rsidRPr="00D96063">
        <w:t xml:space="preserve"> Enterprise Support (Ghana CARES – "</w:t>
      </w:r>
      <w:r w:rsidRPr="00D96063">
        <w:rPr>
          <w:rFonts w:cs="Times New Roman"/>
        </w:rPr>
        <w:t xml:space="preserve">Obaatan pa") Programme. The financing needs for Ghana CARES are estimated at GHS 100 billion </w:t>
      </w:r>
      <w:r w:rsidRPr="00D96063">
        <w:t>over 2020</w:t>
      </w:r>
      <w:r w:rsidRPr="00D96063">
        <w:noBreakHyphen/>
        <w:t xml:space="preserve">23 </w:t>
      </w:r>
      <w:r w:rsidRPr="00D96063">
        <w:rPr>
          <w:rFonts w:cs="Times New Roman"/>
        </w:rPr>
        <w:t>(about USD 18 billion), with a significant share expected to come from private sector investments. The funds are intended for investments i</w:t>
      </w:r>
      <w:r w:rsidRPr="00D96063">
        <w:t>n strategic industries, namely agriculture and agri-business with a focus on self-sufficiency; industry (textiles, pharmaceuticals, automotive industry, heavy industry, and petrochemicals); infrastructure; creation of a technology hub; and creation of a financial services hub. The country recently adopted an automobile policy to encourage foreign car manufacturers to establish assembly plants in the country (Section 4). The Government has also embarked on a D</w:t>
      </w:r>
      <w:r w:rsidRPr="00D96063">
        <w:rPr>
          <w:rFonts w:cs="Times New Roman"/>
        </w:rPr>
        <w:t>igital Inclusion Agenda to support the digitization of the economy and improve tax collection.</w:t>
      </w:r>
      <w:r w:rsidRPr="00D96063">
        <w:rPr>
          <w:rStyle w:val="FootnoteReference"/>
          <w:rFonts w:cs="Times New Roman"/>
        </w:rPr>
        <w:footnoteReference w:id="8"/>
      </w:r>
    </w:p>
    <w:p w14:paraId="59BF7B2B" w14:textId="77777777" w:rsidR="00C15F2E" w:rsidRPr="00D96063" w:rsidRDefault="00C15F2E" w:rsidP="003758E5">
      <w:pPr>
        <w:pStyle w:val="BodyText"/>
        <w:numPr>
          <w:ilvl w:val="6"/>
          <w:numId w:val="16"/>
        </w:numPr>
        <w:rPr>
          <w:rFonts w:cs="Times New Roman"/>
        </w:rPr>
      </w:pPr>
      <w:r w:rsidRPr="00D96063">
        <w:lastRenderedPageBreak/>
        <w:t>Ghana pursued an expansionary fiscal policy during the review period. The budget deficit in 2019 reached 4.7% (7.5%, including the energy and financial sector bailouts) and the COVID</w:t>
      </w:r>
      <w:r w:rsidRPr="00D96063">
        <w:noBreakHyphen/>
        <w:t>19 pandemic contributed to further widening the deficit to 11.7% (15.2%) in 2020. Ghana had to suspend for FY2020 the budget deficit limit (5% of GDP) set in the Fiscal Responsibility Act, 2018.</w:t>
      </w:r>
    </w:p>
    <w:p w14:paraId="21E5167C" w14:textId="77777777" w:rsidR="00C15F2E" w:rsidRPr="00D96063" w:rsidRDefault="00C15F2E" w:rsidP="003758E5">
      <w:pPr>
        <w:pStyle w:val="BodyText"/>
        <w:numPr>
          <w:ilvl w:val="6"/>
          <w:numId w:val="16"/>
        </w:numPr>
      </w:pPr>
      <w:r w:rsidRPr="00D96063">
        <w:t>Ghana's public deficit is fuelled by widespread exemptions and avoidance that limit the effectiveness of fiscal policy</w:t>
      </w:r>
      <w:r w:rsidRPr="00D96063">
        <w:rPr>
          <w:rStyle w:val="FootnoteReference"/>
        </w:rPr>
        <w:footnoteReference w:id="9"/>
      </w:r>
      <w:r w:rsidRPr="00D96063">
        <w:t>, while the introduction of numerous new taxes and levies since the previous Review (Section 3.1) may have adverse effects on the economy's competitiveness.</w:t>
      </w:r>
      <w:r w:rsidRPr="00D96063">
        <w:rPr>
          <w:rStyle w:val="FootnoteReference"/>
        </w:rPr>
        <w:footnoteReference w:id="10"/>
      </w:r>
      <w:r w:rsidRPr="00D96063">
        <w:t xml:space="preserve"> In 2018, the Ghana Revenue Authority carried out a tax amnesty programme under the Tax Amnesty Act, 2017 (Act 955) that waives penalties and interest for registered taxpayers, provided they submit outstanding tax returns and pay the relevant taxes, and for unregistered taxpayers, provided they register and submit outstanding income tax returns for 2014</w:t>
      </w:r>
      <w:r w:rsidRPr="00D96063">
        <w:noBreakHyphen/>
        <w:t>16.</w:t>
      </w:r>
    </w:p>
    <w:p w14:paraId="6C9C622B" w14:textId="77777777" w:rsidR="00C15F2E" w:rsidRPr="00D96063" w:rsidRDefault="00C15F2E" w:rsidP="003758E5">
      <w:pPr>
        <w:pStyle w:val="BodyText"/>
        <w:numPr>
          <w:ilvl w:val="6"/>
          <w:numId w:val="16"/>
        </w:numPr>
      </w:pPr>
      <w:r w:rsidRPr="00D96063">
        <w:t>According to the IMF, Ghana is at high risk of debt distress, following massive borrowing on the international capital markets (see below).</w:t>
      </w:r>
      <w:r w:rsidRPr="00D96063">
        <w:rPr>
          <w:rStyle w:val="FootnoteReference"/>
        </w:rPr>
        <w:footnoteReference w:id="11"/>
      </w:r>
      <w:r w:rsidRPr="00D96063">
        <w:t xml:space="preserve"> Its public sector debt rose from 50.1% of GDP in 2014 to 76.1% in 2020, and is expected to reach 79% of GDP by end-2021, in part due to the financial sector bailout and the energy sector debts that were absorbed by the budget.</w:t>
      </w:r>
    </w:p>
    <w:p w14:paraId="466F04A1" w14:textId="77777777" w:rsidR="00C15F2E" w:rsidRPr="00D96063" w:rsidRDefault="00C15F2E" w:rsidP="003758E5">
      <w:pPr>
        <w:pStyle w:val="BodyText"/>
        <w:numPr>
          <w:ilvl w:val="6"/>
          <w:numId w:val="16"/>
        </w:numPr>
        <w:rPr>
          <w:rFonts w:cs="Times New Roman"/>
        </w:rPr>
      </w:pPr>
      <w:r w:rsidRPr="00D96063">
        <w:t>Ghana's monetary policy as implemented by the Bank of Ghana (BoG) is guided by an inflation targeting framework; it aims to contain inflation within a medium-term target of 8% plus/minus 2%. However, limiting inflation has been a challenge, with annual rates exceeding 10% in the 2014-17 period (Table 1.1). After falls in 2018 and 2019, the inflation rate rose again in 2020 (up by 9.9%) due to rising food prices following the partial lockdown in April 2020.</w:t>
      </w:r>
    </w:p>
    <w:p w14:paraId="2C117BD1" w14:textId="77777777" w:rsidR="00C15F2E" w:rsidRPr="00D96063" w:rsidRDefault="00C15F2E" w:rsidP="003758E5">
      <w:pPr>
        <w:pStyle w:val="BodyText"/>
        <w:numPr>
          <w:ilvl w:val="6"/>
          <w:numId w:val="16"/>
        </w:numPr>
        <w:rPr>
          <w:rFonts w:cs="Times New Roman"/>
        </w:rPr>
      </w:pPr>
      <w:r w:rsidRPr="00D96063">
        <w:t xml:space="preserve"> Since 2016, the BoG has adhered to a commitment on zero monetary financing of the budget deficit (except in 2020 when the Government triggered an Asset Purchase Programme to mitigate the impact of COVID</w:t>
      </w:r>
      <w:r w:rsidRPr="00D96063">
        <w:rPr>
          <w:rFonts w:ascii="Cambria Math" w:hAnsi="Cambria Math" w:cs="Cambria Math"/>
        </w:rPr>
        <w:t>‑</w:t>
      </w:r>
      <w:r w:rsidRPr="00D96063">
        <w:t>19 on government revenues), which has contributed to a significant reduction in inflation.</w:t>
      </w:r>
      <w:r w:rsidRPr="00D96063">
        <w:rPr>
          <w:rStyle w:val="FootnoteReference"/>
        </w:rPr>
        <w:footnoteReference w:id="12"/>
      </w:r>
      <w:r w:rsidRPr="00D96063">
        <w:t xml:space="preserve"> By law, BoG financing of the budget deficit in any fiscal year is limited to 5% of the previous year's total revenues.</w:t>
      </w:r>
      <w:r w:rsidRPr="00D96063">
        <w:rPr>
          <w:rStyle w:val="FootnoteReference"/>
        </w:rPr>
        <w:footnoteReference w:id="13"/>
      </w:r>
    </w:p>
    <w:p w14:paraId="35C7C6E9" w14:textId="77777777" w:rsidR="00C15F2E" w:rsidRPr="00D96063" w:rsidRDefault="00C15F2E" w:rsidP="003758E5">
      <w:pPr>
        <w:pStyle w:val="BodyText"/>
        <w:numPr>
          <w:ilvl w:val="6"/>
          <w:numId w:val="16"/>
        </w:numPr>
      </w:pPr>
      <w:r w:rsidRPr="00D96063">
        <w:t>After a tightening cycle in 2012</w:t>
      </w:r>
      <w:r w:rsidRPr="00D96063">
        <w:noBreakHyphen/>
        <w:t>16, the monetary policy stance of the BoG became more accommodating, particularly in 2020, to mitigate the economic impact of the pandemic. The Monetary Policy Rate was cut from 16% to 14.5% in March 2020 and reserve requirements were reduced from 10% to 8%. There is a significant gap between the commercial banks' lending rate (21% at end-2020) and the savings deposit rate (7.6% at end-2020); Ghana's challenge is to reduce its domestic cost of finance for entrepreneurs.</w:t>
      </w:r>
    </w:p>
    <w:p w14:paraId="4C26A525" w14:textId="77777777" w:rsidR="00C15F2E" w:rsidRPr="00D96063" w:rsidRDefault="00C15F2E" w:rsidP="003758E5">
      <w:pPr>
        <w:pStyle w:val="BodyText"/>
        <w:numPr>
          <w:ilvl w:val="6"/>
          <w:numId w:val="16"/>
        </w:numPr>
        <w:rPr>
          <w:rFonts w:cs="Times New Roman"/>
        </w:rPr>
      </w:pPr>
      <w:r w:rsidRPr="00D96063">
        <w:t>The Ghana cedi is the national currency. The value of the currency significantly depreciated over the review period; in fact, the cedi has lost almost half its value against the US dollar since 2014 (Table 1.1).</w:t>
      </w:r>
    </w:p>
    <w:p w14:paraId="019A67BE" w14:textId="77777777" w:rsidR="00C15F2E" w:rsidRPr="00D96063" w:rsidRDefault="00C15F2E" w:rsidP="003758E5">
      <w:pPr>
        <w:pStyle w:val="BodyText"/>
        <w:numPr>
          <w:ilvl w:val="6"/>
          <w:numId w:val="16"/>
        </w:numPr>
        <w:rPr>
          <w:rFonts w:cs="Times New Roman"/>
        </w:rPr>
      </w:pPr>
      <w:r w:rsidRPr="00D96063">
        <w:t xml:space="preserve">Ghana has </w:t>
      </w:r>
      <w:r w:rsidRPr="00D96063">
        <w:rPr>
          <w:i/>
        </w:rPr>
        <w:t>de jure</w:t>
      </w:r>
      <w:r w:rsidRPr="00D96063">
        <w:t xml:space="preserve"> a floating exchange rate regime, according to the IMF.</w:t>
      </w:r>
      <w:r w:rsidRPr="00D96063">
        <w:rPr>
          <w:rStyle w:val="FootnoteReference"/>
        </w:rPr>
        <w:footnoteReference w:id="14"/>
      </w:r>
      <w:r w:rsidRPr="00D96063">
        <w:t xml:space="preserve"> Ghana remains committed to a flexible exchange rate regime, although the BoG intervenes from time to time to limit exchange rate volatility.</w:t>
      </w:r>
    </w:p>
    <w:p w14:paraId="1B8A9BB3" w14:textId="77777777" w:rsidR="00C15F2E" w:rsidRPr="00D96063" w:rsidRDefault="00C15F2E" w:rsidP="003758E5">
      <w:pPr>
        <w:pStyle w:val="BodyText"/>
        <w:numPr>
          <w:ilvl w:val="6"/>
          <w:numId w:val="16"/>
        </w:numPr>
      </w:pPr>
      <w:r w:rsidRPr="00D96063">
        <w:t>Ghana retains repatriation requirements for foreign exchange (Section 3.2.2). The surrender requirements to the BoG of cocoa and gold export proceeds were eliminated in July 2016. Ghana has no foreign exchange restrictions on payments and transfers for current transactions, according to the authorities.</w:t>
      </w:r>
    </w:p>
    <w:p w14:paraId="2F83D3EF" w14:textId="77777777" w:rsidR="00C15F2E" w:rsidRPr="00D96063" w:rsidRDefault="00C15F2E" w:rsidP="003758E5">
      <w:pPr>
        <w:pStyle w:val="BodyText"/>
        <w:numPr>
          <w:ilvl w:val="6"/>
          <w:numId w:val="16"/>
        </w:numPr>
        <w:rPr>
          <w:rFonts w:cs="Times New Roman"/>
        </w:rPr>
      </w:pPr>
      <w:r w:rsidRPr="00D96063">
        <w:lastRenderedPageBreak/>
        <w:t>Ghana recorded a considerable reduction in its current account deficit from over USD 5 billion (12% of GDP) in 2012 and 2013, down to an average of around USD 2 billion in 2017-20 (about 3% of GDP). This was achieved thanks to significantly higher exports of gold, and oil and gas, as well as higher remittances. In 2020, the current account deficit increased slightly, as exports were hit by a large decline in oil prices. Nonetheless, the current account deficits were offset by continued inflows of foreign direct investment (FDI) and portfolio investment (Table 1.2).</w:t>
      </w:r>
    </w:p>
    <w:p w14:paraId="6F6635C0" w14:textId="77777777" w:rsidR="00C15F2E" w:rsidRPr="00D96063" w:rsidRDefault="00C15F2E" w:rsidP="003758E5">
      <w:pPr>
        <w:pStyle w:val="BodyText"/>
        <w:numPr>
          <w:ilvl w:val="6"/>
          <w:numId w:val="16"/>
        </w:numPr>
      </w:pPr>
      <w:r w:rsidRPr="00D96063">
        <w:t>Gross official international reserves have improved significantly since the previous Review (Table 1.1). In US dollar terms, international reserves reached USD 8.6 billion by end-2020 (up from USD 5.5 billion by end-2014), providing an import cover of goods and services of approximately 3.2 months. Thanks to its natural resource endowment and political stability, Ghana has been able to tap the international capital markets to finance its current account deficits. T</w:t>
      </w:r>
      <w:r w:rsidRPr="00D96063">
        <w:rPr>
          <w:rFonts w:cs="Times New Roman"/>
        </w:rPr>
        <w:t>he BoG intends to start domestic purchases of gold to build up its gold reserves, and thereby enhance investor confidence in the economy and achieve favourable external financing conditions.</w:t>
      </w:r>
    </w:p>
    <w:p w14:paraId="3F28F89B" w14:textId="2843D4B3" w:rsidR="00C15F2E" w:rsidRPr="00D96063" w:rsidRDefault="00BF3184" w:rsidP="00BF3184">
      <w:pPr>
        <w:pStyle w:val="Caption"/>
      </w:pPr>
      <w:bookmarkStart w:id="19" w:name="_Toc103607877"/>
      <w:r>
        <w:t xml:space="preserve">Table </w:t>
      </w:r>
      <w:fldSimple w:instr=" STYLEREF 1 \s ">
        <w:r w:rsidR="004B63B1">
          <w:rPr>
            <w:noProof/>
          </w:rPr>
          <w:t>1</w:t>
        </w:r>
      </w:fldSimple>
      <w:r>
        <w:t>.</w:t>
      </w:r>
      <w:fldSimple w:instr=" SEQ Table \* ARABIC \s 1 ">
        <w:r w:rsidR="004B63B1">
          <w:rPr>
            <w:noProof/>
          </w:rPr>
          <w:t>2</w:t>
        </w:r>
      </w:fldSimple>
      <w:r>
        <w:t xml:space="preserve"> Balance of payments, 2014-20</w:t>
      </w:r>
      <w:bookmarkEnd w:id="19"/>
    </w:p>
    <w:p w14:paraId="21D6191E" w14:textId="77777777" w:rsidR="00C15F2E" w:rsidRPr="00D96063" w:rsidRDefault="00C15F2E" w:rsidP="004E08B7">
      <w:pPr>
        <w:rPr>
          <w:lang w:eastAsia="en-GB"/>
        </w:rPr>
      </w:pPr>
      <w:r w:rsidRPr="00D96063">
        <w:rPr>
          <w:lang w:eastAsia="en-GB"/>
        </w:rPr>
        <w:t>(</w:t>
      </w:r>
      <w:r w:rsidRPr="00D96063">
        <w:rPr>
          <w:sz w:val="16"/>
          <w:szCs w:val="20"/>
          <w:lang w:eastAsia="en-GB"/>
        </w:rPr>
        <w:t>USD</w:t>
      </w:r>
      <w:r w:rsidRPr="00D96063">
        <w:rPr>
          <w:lang w:eastAsia="en-GB"/>
        </w:rPr>
        <w:t> </w:t>
      </w:r>
      <w:r w:rsidRPr="00D96063">
        <w:rPr>
          <w:sz w:val="16"/>
          <w:szCs w:val="20"/>
          <w:lang w:eastAsia="en-GB"/>
        </w:rPr>
        <w:t>million</w:t>
      </w:r>
      <w:r w:rsidRPr="00D96063">
        <w:rPr>
          <w:lang w:eastAsia="en-GB"/>
        </w:rPr>
        <w:t>)</w:t>
      </w:r>
    </w:p>
    <w:tbl>
      <w:tblPr>
        <w:tblStyle w:val="WTOTable1"/>
        <w:tblW w:w="0" w:type="auto"/>
        <w:tblLayout w:type="fixed"/>
        <w:tblLook w:val="04A0" w:firstRow="1" w:lastRow="0" w:firstColumn="1" w:lastColumn="0" w:noHBand="0" w:noVBand="1"/>
      </w:tblPr>
      <w:tblGrid>
        <w:gridCol w:w="2405"/>
        <w:gridCol w:w="944"/>
        <w:gridCol w:w="944"/>
        <w:gridCol w:w="945"/>
        <w:gridCol w:w="944"/>
        <w:gridCol w:w="945"/>
        <w:gridCol w:w="944"/>
        <w:gridCol w:w="945"/>
      </w:tblGrid>
      <w:tr w:rsidR="00C15F2E" w:rsidRPr="00D96063" w14:paraId="76C4FD7B" w14:textId="77777777" w:rsidTr="002A3F9E">
        <w:trPr>
          <w:cnfStyle w:val="100000000000" w:firstRow="1" w:lastRow="0" w:firstColumn="0" w:lastColumn="0" w:oddVBand="0" w:evenVBand="0" w:oddHBand="0" w:evenHBand="0" w:firstRowFirstColumn="0" w:firstRowLastColumn="0" w:lastRowFirstColumn="0" w:lastRowLastColumn="0"/>
          <w:trHeight w:val="240"/>
          <w:tblHeader/>
        </w:trPr>
        <w:tc>
          <w:tcPr>
            <w:tcW w:w="2405" w:type="dxa"/>
            <w:noWrap/>
            <w:hideMark/>
          </w:tcPr>
          <w:p w14:paraId="2D8E6054" w14:textId="77777777" w:rsidR="00C15F2E" w:rsidRPr="00D96063" w:rsidRDefault="00C15F2E" w:rsidP="002A3F9E">
            <w:pPr>
              <w:jc w:val="center"/>
              <w:rPr>
                <w:rFonts w:cs="Calibri"/>
                <w:color w:val="FFFFFF" w:themeColor="background1"/>
                <w:sz w:val="16"/>
                <w:szCs w:val="16"/>
              </w:rPr>
            </w:pPr>
          </w:p>
        </w:tc>
        <w:tc>
          <w:tcPr>
            <w:tcW w:w="944" w:type="dxa"/>
            <w:noWrap/>
            <w:hideMark/>
          </w:tcPr>
          <w:p w14:paraId="4A12347B" w14:textId="77777777" w:rsidR="00C15F2E" w:rsidRPr="00D96063" w:rsidRDefault="00C15F2E" w:rsidP="002A3F9E">
            <w:pPr>
              <w:jc w:val="center"/>
              <w:rPr>
                <w:rFonts w:cs="Calibri"/>
                <w:color w:val="FFFFFF" w:themeColor="background1"/>
                <w:sz w:val="16"/>
                <w:szCs w:val="16"/>
              </w:rPr>
            </w:pPr>
            <w:r w:rsidRPr="00D96063">
              <w:rPr>
                <w:rFonts w:cs="Calibri"/>
                <w:color w:val="FFFFFF" w:themeColor="background1"/>
                <w:sz w:val="16"/>
                <w:szCs w:val="16"/>
              </w:rPr>
              <w:t>2014</w:t>
            </w:r>
          </w:p>
        </w:tc>
        <w:tc>
          <w:tcPr>
            <w:tcW w:w="944" w:type="dxa"/>
            <w:noWrap/>
            <w:hideMark/>
          </w:tcPr>
          <w:p w14:paraId="377434D7" w14:textId="77777777" w:rsidR="00C15F2E" w:rsidRPr="00D96063" w:rsidRDefault="00C15F2E" w:rsidP="002A3F9E">
            <w:pPr>
              <w:jc w:val="center"/>
              <w:rPr>
                <w:rFonts w:cs="Calibri"/>
                <w:color w:val="FFFFFF" w:themeColor="background1"/>
                <w:sz w:val="16"/>
                <w:szCs w:val="16"/>
              </w:rPr>
            </w:pPr>
            <w:r w:rsidRPr="00D96063">
              <w:rPr>
                <w:rFonts w:cs="Calibri"/>
                <w:color w:val="FFFFFF" w:themeColor="background1"/>
                <w:sz w:val="16"/>
                <w:szCs w:val="16"/>
              </w:rPr>
              <w:t>2015</w:t>
            </w:r>
          </w:p>
        </w:tc>
        <w:tc>
          <w:tcPr>
            <w:tcW w:w="945" w:type="dxa"/>
            <w:noWrap/>
            <w:hideMark/>
          </w:tcPr>
          <w:p w14:paraId="001BF400" w14:textId="77777777" w:rsidR="00C15F2E" w:rsidRPr="00D96063" w:rsidRDefault="00C15F2E" w:rsidP="002A3F9E">
            <w:pPr>
              <w:jc w:val="center"/>
              <w:rPr>
                <w:rFonts w:cs="Calibri"/>
                <w:color w:val="FFFFFF" w:themeColor="background1"/>
                <w:sz w:val="16"/>
                <w:szCs w:val="16"/>
              </w:rPr>
            </w:pPr>
            <w:r w:rsidRPr="00D96063">
              <w:rPr>
                <w:rFonts w:cs="Calibri"/>
                <w:color w:val="FFFFFF" w:themeColor="background1"/>
                <w:sz w:val="16"/>
                <w:szCs w:val="16"/>
              </w:rPr>
              <w:t>2016</w:t>
            </w:r>
          </w:p>
        </w:tc>
        <w:tc>
          <w:tcPr>
            <w:tcW w:w="944" w:type="dxa"/>
            <w:hideMark/>
          </w:tcPr>
          <w:p w14:paraId="4B6C59F3" w14:textId="77777777" w:rsidR="00C15F2E" w:rsidRPr="00D96063" w:rsidRDefault="00C15F2E" w:rsidP="002A3F9E">
            <w:pPr>
              <w:jc w:val="center"/>
              <w:rPr>
                <w:rFonts w:cs="Calibri"/>
                <w:color w:val="FFFFFF" w:themeColor="background1"/>
                <w:sz w:val="16"/>
                <w:szCs w:val="16"/>
              </w:rPr>
            </w:pPr>
            <w:r w:rsidRPr="00D96063">
              <w:rPr>
                <w:rFonts w:cs="Calibri"/>
                <w:color w:val="FFFFFF" w:themeColor="background1"/>
                <w:sz w:val="16"/>
                <w:szCs w:val="16"/>
              </w:rPr>
              <w:t>2017</w:t>
            </w:r>
          </w:p>
        </w:tc>
        <w:tc>
          <w:tcPr>
            <w:tcW w:w="945" w:type="dxa"/>
            <w:hideMark/>
          </w:tcPr>
          <w:p w14:paraId="16C390BB" w14:textId="77777777" w:rsidR="00C15F2E" w:rsidRPr="00D96063" w:rsidRDefault="00C15F2E" w:rsidP="002A3F9E">
            <w:pPr>
              <w:jc w:val="center"/>
              <w:rPr>
                <w:rFonts w:cs="Calibri"/>
                <w:color w:val="FFFFFF" w:themeColor="background1"/>
                <w:sz w:val="16"/>
                <w:szCs w:val="16"/>
              </w:rPr>
            </w:pPr>
            <w:r w:rsidRPr="00D96063">
              <w:rPr>
                <w:rFonts w:cs="Calibri"/>
                <w:color w:val="FFFFFF" w:themeColor="background1"/>
                <w:sz w:val="16"/>
                <w:szCs w:val="16"/>
              </w:rPr>
              <w:t>2018</w:t>
            </w:r>
          </w:p>
        </w:tc>
        <w:tc>
          <w:tcPr>
            <w:tcW w:w="944" w:type="dxa"/>
            <w:hideMark/>
          </w:tcPr>
          <w:p w14:paraId="67940270" w14:textId="77777777" w:rsidR="00C15F2E" w:rsidRPr="00D96063" w:rsidRDefault="00C15F2E" w:rsidP="002A3F9E">
            <w:pPr>
              <w:jc w:val="center"/>
              <w:rPr>
                <w:rFonts w:cs="Calibri"/>
                <w:color w:val="FFFFFF" w:themeColor="background1"/>
                <w:sz w:val="16"/>
                <w:szCs w:val="16"/>
              </w:rPr>
            </w:pPr>
            <w:r w:rsidRPr="00D96063">
              <w:rPr>
                <w:rFonts w:cs="Calibri"/>
                <w:color w:val="FFFFFF" w:themeColor="background1"/>
                <w:sz w:val="16"/>
                <w:szCs w:val="16"/>
              </w:rPr>
              <w:t>2019</w:t>
            </w:r>
          </w:p>
        </w:tc>
        <w:tc>
          <w:tcPr>
            <w:tcW w:w="945" w:type="dxa"/>
            <w:hideMark/>
          </w:tcPr>
          <w:p w14:paraId="342E7ED8" w14:textId="77777777" w:rsidR="00C15F2E" w:rsidRPr="00D96063" w:rsidRDefault="00C15F2E" w:rsidP="002A3F9E">
            <w:pPr>
              <w:jc w:val="center"/>
              <w:rPr>
                <w:rFonts w:cs="Calibri"/>
                <w:color w:val="FFFFFF" w:themeColor="background1"/>
                <w:sz w:val="16"/>
                <w:szCs w:val="16"/>
              </w:rPr>
            </w:pPr>
            <w:r w:rsidRPr="00D96063">
              <w:rPr>
                <w:rFonts w:cs="Calibri"/>
                <w:color w:val="FFFFFF" w:themeColor="background1"/>
                <w:sz w:val="16"/>
                <w:szCs w:val="16"/>
              </w:rPr>
              <w:t>2020</w:t>
            </w:r>
            <w:r w:rsidRPr="00D96063">
              <w:rPr>
                <w:rFonts w:cs="Calibri"/>
                <w:color w:val="FFFFFF" w:themeColor="background1"/>
                <w:sz w:val="16"/>
                <w:szCs w:val="16"/>
                <w:vertAlign w:val="superscript"/>
              </w:rPr>
              <w:t>a</w:t>
            </w:r>
          </w:p>
        </w:tc>
      </w:tr>
      <w:tr w:rsidR="00C15F2E" w:rsidRPr="00D96063" w14:paraId="1EA50D1A" w14:textId="77777777" w:rsidTr="002A3F9E">
        <w:trPr>
          <w:trHeight w:val="240"/>
        </w:trPr>
        <w:tc>
          <w:tcPr>
            <w:tcW w:w="2405" w:type="dxa"/>
            <w:noWrap/>
            <w:hideMark/>
          </w:tcPr>
          <w:p w14:paraId="7E3D4FCA" w14:textId="77777777" w:rsidR="00C15F2E" w:rsidRPr="00D96063" w:rsidRDefault="00C15F2E" w:rsidP="002A3F9E">
            <w:pPr>
              <w:jc w:val="left"/>
              <w:rPr>
                <w:rFonts w:cs="Calibri"/>
                <w:color w:val="000000"/>
                <w:sz w:val="16"/>
                <w:szCs w:val="16"/>
              </w:rPr>
            </w:pPr>
            <w:r w:rsidRPr="00D96063">
              <w:rPr>
                <w:rFonts w:cs="Calibri"/>
                <w:color w:val="000000"/>
                <w:sz w:val="16"/>
                <w:szCs w:val="16"/>
              </w:rPr>
              <w:t>Current account</w:t>
            </w:r>
          </w:p>
        </w:tc>
        <w:tc>
          <w:tcPr>
            <w:tcW w:w="944" w:type="dxa"/>
            <w:noWrap/>
            <w:hideMark/>
          </w:tcPr>
          <w:p w14:paraId="112AFF2F" w14:textId="77777777" w:rsidR="00C15F2E" w:rsidRPr="00D96063" w:rsidRDefault="00C15F2E" w:rsidP="002A3F9E">
            <w:pPr>
              <w:jc w:val="right"/>
              <w:rPr>
                <w:rFonts w:cs="Calibri"/>
                <w:color w:val="000000"/>
                <w:sz w:val="16"/>
                <w:szCs w:val="16"/>
              </w:rPr>
            </w:pPr>
            <w:r w:rsidRPr="00D96063">
              <w:rPr>
                <w:rFonts w:cs="Calibri"/>
                <w:color w:val="000000"/>
                <w:sz w:val="16"/>
                <w:szCs w:val="16"/>
              </w:rPr>
              <w:t>-3,694.5</w:t>
            </w:r>
          </w:p>
        </w:tc>
        <w:tc>
          <w:tcPr>
            <w:tcW w:w="944" w:type="dxa"/>
            <w:noWrap/>
            <w:hideMark/>
          </w:tcPr>
          <w:p w14:paraId="398C58DC" w14:textId="77777777" w:rsidR="00C15F2E" w:rsidRPr="00D96063" w:rsidRDefault="00C15F2E" w:rsidP="002A3F9E">
            <w:pPr>
              <w:jc w:val="right"/>
              <w:rPr>
                <w:rFonts w:cs="Calibri"/>
                <w:color w:val="000000"/>
                <w:sz w:val="16"/>
                <w:szCs w:val="16"/>
              </w:rPr>
            </w:pPr>
            <w:r w:rsidRPr="00D96063">
              <w:rPr>
                <w:rFonts w:cs="Calibri"/>
                <w:color w:val="000000"/>
                <w:sz w:val="16"/>
                <w:szCs w:val="16"/>
              </w:rPr>
              <w:t>-2,823.8</w:t>
            </w:r>
          </w:p>
        </w:tc>
        <w:tc>
          <w:tcPr>
            <w:tcW w:w="945" w:type="dxa"/>
            <w:noWrap/>
            <w:hideMark/>
          </w:tcPr>
          <w:p w14:paraId="5839BEE5" w14:textId="77777777" w:rsidR="00C15F2E" w:rsidRPr="00D96063" w:rsidRDefault="00C15F2E" w:rsidP="002A3F9E">
            <w:pPr>
              <w:jc w:val="right"/>
              <w:rPr>
                <w:rFonts w:cs="Calibri"/>
                <w:color w:val="000000"/>
                <w:sz w:val="16"/>
                <w:szCs w:val="16"/>
              </w:rPr>
            </w:pPr>
            <w:r w:rsidRPr="00D96063">
              <w:rPr>
                <w:rFonts w:cs="Calibri"/>
                <w:color w:val="000000"/>
                <w:sz w:val="16"/>
                <w:szCs w:val="16"/>
              </w:rPr>
              <w:t>-2,840.5</w:t>
            </w:r>
          </w:p>
        </w:tc>
        <w:tc>
          <w:tcPr>
            <w:tcW w:w="944" w:type="dxa"/>
            <w:noWrap/>
            <w:hideMark/>
          </w:tcPr>
          <w:p w14:paraId="3A5D4244" w14:textId="77777777" w:rsidR="00C15F2E" w:rsidRPr="00D96063" w:rsidRDefault="00C15F2E" w:rsidP="002A3F9E">
            <w:pPr>
              <w:jc w:val="right"/>
              <w:rPr>
                <w:rFonts w:cs="Calibri"/>
                <w:color w:val="000000"/>
                <w:sz w:val="16"/>
                <w:szCs w:val="16"/>
              </w:rPr>
            </w:pPr>
            <w:r w:rsidRPr="00D96063">
              <w:rPr>
                <w:rFonts w:cs="Calibri"/>
                <w:color w:val="000000"/>
                <w:sz w:val="16"/>
                <w:szCs w:val="16"/>
              </w:rPr>
              <w:t>-2,002.6</w:t>
            </w:r>
          </w:p>
        </w:tc>
        <w:tc>
          <w:tcPr>
            <w:tcW w:w="945" w:type="dxa"/>
            <w:noWrap/>
            <w:hideMark/>
          </w:tcPr>
          <w:p w14:paraId="26C3F3D6" w14:textId="77777777" w:rsidR="00C15F2E" w:rsidRPr="00D96063" w:rsidRDefault="00C15F2E" w:rsidP="002A3F9E">
            <w:pPr>
              <w:jc w:val="right"/>
              <w:rPr>
                <w:rFonts w:cs="Calibri"/>
                <w:color w:val="000000"/>
                <w:sz w:val="16"/>
                <w:szCs w:val="16"/>
              </w:rPr>
            </w:pPr>
            <w:r w:rsidRPr="00D96063">
              <w:rPr>
                <w:rFonts w:cs="Calibri"/>
                <w:color w:val="000000"/>
                <w:sz w:val="16"/>
                <w:szCs w:val="16"/>
              </w:rPr>
              <w:t>-2,043.6</w:t>
            </w:r>
          </w:p>
        </w:tc>
        <w:tc>
          <w:tcPr>
            <w:tcW w:w="944" w:type="dxa"/>
            <w:noWrap/>
            <w:hideMark/>
          </w:tcPr>
          <w:p w14:paraId="466E1702" w14:textId="77777777" w:rsidR="00C15F2E" w:rsidRPr="00D96063" w:rsidRDefault="00C15F2E" w:rsidP="002A3F9E">
            <w:pPr>
              <w:jc w:val="right"/>
              <w:rPr>
                <w:rFonts w:cs="Calibri"/>
                <w:color w:val="000000"/>
                <w:sz w:val="16"/>
                <w:szCs w:val="16"/>
              </w:rPr>
            </w:pPr>
            <w:r w:rsidRPr="00D96063">
              <w:rPr>
                <w:rFonts w:cs="Calibri"/>
                <w:color w:val="000000"/>
                <w:sz w:val="16"/>
                <w:szCs w:val="16"/>
              </w:rPr>
              <w:t>-1,864.0</w:t>
            </w:r>
          </w:p>
        </w:tc>
        <w:tc>
          <w:tcPr>
            <w:tcW w:w="945" w:type="dxa"/>
            <w:noWrap/>
            <w:hideMark/>
          </w:tcPr>
          <w:p w14:paraId="08757F65" w14:textId="77777777" w:rsidR="00C15F2E" w:rsidRPr="00D96063" w:rsidRDefault="00C15F2E" w:rsidP="002A3F9E">
            <w:pPr>
              <w:jc w:val="right"/>
              <w:rPr>
                <w:rFonts w:cs="Calibri"/>
                <w:color w:val="000000"/>
                <w:sz w:val="16"/>
                <w:szCs w:val="16"/>
              </w:rPr>
            </w:pPr>
            <w:r w:rsidRPr="00D96063">
              <w:rPr>
                <w:rFonts w:cs="Calibri"/>
                <w:color w:val="000000"/>
                <w:sz w:val="16"/>
                <w:szCs w:val="16"/>
              </w:rPr>
              <w:t>-2,134.0</w:t>
            </w:r>
          </w:p>
        </w:tc>
      </w:tr>
      <w:tr w:rsidR="00C15F2E" w:rsidRPr="00D96063" w14:paraId="0318FD23"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3CF455E5" w14:textId="77777777" w:rsidR="00C15F2E" w:rsidRPr="00D96063" w:rsidRDefault="00C15F2E" w:rsidP="002A3F9E">
            <w:pPr>
              <w:jc w:val="left"/>
              <w:rPr>
                <w:rFonts w:cs="Calibri"/>
                <w:color w:val="000000"/>
                <w:sz w:val="16"/>
                <w:szCs w:val="16"/>
              </w:rPr>
            </w:pPr>
            <w:r w:rsidRPr="00D96063">
              <w:rPr>
                <w:rFonts w:cs="Calibri"/>
                <w:color w:val="000000"/>
                <w:sz w:val="16"/>
                <w:szCs w:val="16"/>
              </w:rPr>
              <w:t>Merchandise trade balance</w:t>
            </w:r>
          </w:p>
        </w:tc>
        <w:tc>
          <w:tcPr>
            <w:tcW w:w="944" w:type="dxa"/>
            <w:noWrap/>
            <w:hideMark/>
          </w:tcPr>
          <w:p w14:paraId="048FF58E" w14:textId="77777777" w:rsidR="00C15F2E" w:rsidRPr="00D96063" w:rsidRDefault="00C15F2E" w:rsidP="002A3F9E">
            <w:pPr>
              <w:jc w:val="right"/>
              <w:rPr>
                <w:rFonts w:cs="Calibri"/>
                <w:color w:val="000000"/>
                <w:sz w:val="16"/>
                <w:szCs w:val="16"/>
              </w:rPr>
            </w:pPr>
            <w:r w:rsidRPr="00D96063">
              <w:rPr>
                <w:rFonts w:cs="Calibri"/>
                <w:color w:val="000000"/>
                <w:sz w:val="16"/>
                <w:szCs w:val="16"/>
              </w:rPr>
              <w:t>-1,383.4</w:t>
            </w:r>
          </w:p>
        </w:tc>
        <w:tc>
          <w:tcPr>
            <w:tcW w:w="944" w:type="dxa"/>
            <w:noWrap/>
            <w:hideMark/>
          </w:tcPr>
          <w:p w14:paraId="21CC0761" w14:textId="77777777" w:rsidR="00C15F2E" w:rsidRPr="00D96063" w:rsidRDefault="00C15F2E" w:rsidP="002A3F9E">
            <w:pPr>
              <w:jc w:val="right"/>
              <w:rPr>
                <w:rFonts w:cs="Calibri"/>
                <w:color w:val="000000"/>
                <w:sz w:val="16"/>
                <w:szCs w:val="16"/>
              </w:rPr>
            </w:pPr>
            <w:r w:rsidRPr="00D96063">
              <w:rPr>
                <w:rFonts w:cs="Calibri"/>
                <w:color w:val="000000"/>
                <w:sz w:val="16"/>
                <w:szCs w:val="16"/>
              </w:rPr>
              <w:t>-3,144.0</w:t>
            </w:r>
          </w:p>
        </w:tc>
        <w:tc>
          <w:tcPr>
            <w:tcW w:w="945" w:type="dxa"/>
            <w:noWrap/>
            <w:hideMark/>
          </w:tcPr>
          <w:p w14:paraId="2B43CFF5" w14:textId="77777777" w:rsidR="00C15F2E" w:rsidRPr="00D96063" w:rsidRDefault="00C15F2E" w:rsidP="002A3F9E">
            <w:pPr>
              <w:jc w:val="right"/>
              <w:rPr>
                <w:rFonts w:cs="Calibri"/>
                <w:color w:val="000000"/>
                <w:sz w:val="16"/>
                <w:szCs w:val="16"/>
              </w:rPr>
            </w:pPr>
            <w:r w:rsidRPr="00D96063">
              <w:rPr>
                <w:rFonts w:cs="Calibri"/>
                <w:color w:val="000000"/>
                <w:sz w:val="16"/>
                <w:szCs w:val="16"/>
              </w:rPr>
              <w:t>-1,781.8</w:t>
            </w:r>
          </w:p>
        </w:tc>
        <w:tc>
          <w:tcPr>
            <w:tcW w:w="944" w:type="dxa"/>
            <w:noWrap/>
            <w:hideMark/>
          </w:tcPr>
          <w:p w14:paraId="638DBAED" w14:textId="77777777" w:rsidR="00C15F2E" w:rsidRPr="00D96063" w:rsidRDefault="00C15F2E" w:rsidP="002A3F9E">
            <w:pPr>
              <w:jc w:val="right"/>
              <w:rPr>
                <w:rFonts w:cs="Calibri"/>
                <w:color w:val="000000"/>
                <w:sz w:val="16"/>
                <w:szCs w:val="16"/>
              </w:rPr>
            </w:pPr>
            <w:r w:rsidRPr="00D96063">
              <w:rPr>
                <w:rFonts w:cs="Calibri"/>
                <w:color w:val="000000"/>
                <w:sz w:val="16"/>
                <w:szCs w:val="16"/>
              </w:rPr>
              <w:t>1,187.1</w:t>
            </w:r>
          </w:p>
        </w:tc>
        <w:tc>
          <w:tcPr>
            <w:tcW w:w="945" w:type="dxa"/>
            <w:noWrap/>
            <w:hideMark/>
          </w:tcPr>
          <w:p w14:paraId="4F48F688" w14:textId="77777777" w:rsidR="00C15F2E" w:rsidRPr="00D96063" w:rsidRDefault="00C15F2E" w:rsidP="002A3F9E">
            <w:pPr>
              <w:jc w:val="right"/>
              <w:rPr>
                <w:rFonts w:cs="Calibri"/>
                <w:color w:val="000000"/>
                <w:sz w:val="16"/>
                <w:szCs w:val="16"/>
              </w:rPr>
            </w:pPr>
            <w:r w:rsidRPr="00D96063">
              <w:rPr>
                <w:rFonts w:cs="Calibri"/>
                <w:color w:val="000000"/>
                <w:sz w:val="16"/>
                <w:szCs w:val="16"/>
              </w:rPr>
              <w:t>1,808.7</w:t>
            </w:r>
          </w:p>
        </w:tc>
        <w:tc>
          <w:tcPr>
            <w:tcW w:w="944" w:type="dxa"/>
            <w:noWrap/>
            <w:hideMark/>
          </w:tcPr>
          <w:p w14:paraId="3D26907B" w14:textId="77777777" w:rsidR="00C15F2E" w:rsidRPr="00D96063" w:rsidRDefault="00C15F2E" w:rsidP="002A3F9E">
            <w:pPr>
              <w:jc w:val="right"/>
              <w:rPr>
                <w:rFonts w:cs="Calibri"/>
                <w:color w:val="000000"/>
                <w:sz w:val="16"/>
                <w:szCs w:val="16"/>
              </w:rPr>
            </w:pPr>
            <w:r w:rsidRPr="00D96063">
              <w:rPr>
                <w:rFonts w:cs="Calibri"/>
                <w:color w:val="000000"/>
                <w:sz w:val="16"/>
                <w:szCs w:val="16"/>
              </w:rPr>
              <w:t>2,256.8</w:t>
            </w:r>
          </w:p>
        </w:tc>
        <w:tc>
          <w:tcPr>
            <w:tcW w:w="945" w:type="dxa"/>
            <w:noWrap/>
            <w:hideMark/>
          </w:tcPr>
          <w:p w14:paraId="0B8186B1" w14:textId="77777777" w:rsidR="00C15F2E" w:rsidRPr="00D96063" w:rsidRDefault="00C15F2E" w:rsidP="002A3F9E">
            <w:pPr>
              <w:jc w:val="right"/>
              <w:rPr>
                <w:rFonts w:cs="Calibri"/>
                <w:color w:val="000000"/>
                <w:sz w:val="16"/>
                <w:szCs w:val="16"/>
              </w:rPr>
            </w:pPr>
            <w:r w:rsidRPr="00D96063">
              <w:rPr>
                <w:rFonts w:cs="Calibri"/>
                <w:color w:val="000000"/>
                <w:sz w:val="16"/>
                <w:szCs w:val="16"/>
              </w:rPr>
              <w:t>2,043.0</w:t>
            </w:r>
          </w:p>
        </w:tc>
      </w:tr>
      <w:tr w:rsidR="00C15F2E" w:rsidRPr="00D96063" w14:paraId="155C7BE9" w14:textId="77777777" w:rsidTr="002A3F9E">
        <w:trPr>
          <w:trHeight w:val="240"/>
        </w:trPr>
        <w:tc>
          <w:tcPr>
            <w:tcW w:w="2405" w:type="dxa"/>
            <w:noWrap/>
            <w:hideMark/>
          </w:tcPr>
          <w:p w14:paraId="70B3CA1B" w14:textId="77777777" w:rsidR="00C15F2E" w:rsidRPr="00D96063" w:rsidRDefault="00C15F2E" w:rsidP="002A3F9E">
            <w:pPr>
              <w:ind w:left="284" w:hanging="284"/>
              <w:jc w:val="left"/>
              <w:rPr>
                <w:rFonts w:cs="Calibri"/>
                <w:color w:val="000000"/>
                <w:sz w:val="16"/>
                <w:szCs w:val="16"/>
              </w:rPr>
            </w:pPr>
            <w:r w:rsidRPr="00D96063">
              <w:rPr>
                <w:rFonts w:cs="Calibri"/>
                <w:color w:val="000000"/>
                <w:sz w:val="16"/>
                <w:szCs w:val="16"/>
              </w:rPr>
              <w:tab/>
              <w:t>Exports (f.o.b.)</w:t>
            </w:r>
          </w:p>
        </w:tc>
        <w:tc>
          <w:tcPr>
            <w:tcW w:w="944" w:type="dxa"/>
            <w:noWrap/>
            <w:hideMark/>
          </w:tcPr>
          <w:p w14:paraId="3C5D55F6" w14:textId="77777777" w:rsidR="00C15F2E" w:rsidRPr="00D96063" w:rsidRDefault="00C15F2E" w:rsidP="002A3F9E">
            <w:pPr>
              <w:jc w:val="right"/>
              <w:rPr>
                <w:rFonts w:cs="Calibri"/>
                <w:color w:val="000000"/>
                <w:sz w:val="16"/>
                <w:szCs w:val="16"/>
              </w:rPr>
            </w:pPr>
            <w:r w:rsidRPr="00D96063">
              <w:rPr>
                <w:rFonts w:cs="Calibri"/>
                <w:color w:val="000000"/>
                <w:sz w:val="16"/>
                <w:szCs w:val="16"/>
              </w:rPr>
              <w:t>13,216.8</w:t>
            </w:r>
          </w:p>
        </w:tc>
        <w:tc>
          <w:tcPr>
            <w:tcW w:w="944" w:type="dxa"/>
            <w:noWrap/>
            <w:hideMark/>
          </w:tcPr>
          <w:p w14:paraId="63B79B5A" w14:textId="77777777" w:rsidR="00C15F2E" w:rsidRPr="00D96063" w:rsidRDefault="00C15F2E" w:rsidP="002A3F9E">
            <w:pPr>
              <w:jc w:val="right"/>
              <w:rPr>
                <w:rFonts w:cs="Calibri"/>
                <w:color w:val="000000"/>
                <w:sz w:val="16"/>
                <w:szCs w:val="16"/>
              </w:rPr>
            </w:pPr>
            <w:r w:rsidRPr="00D96063">
              <w:rPr>
                <w:rFonts w:cs="Calibri"/>
                <w:color w:val="000000"/>
                <w:sz w:val="16"/>
                <w:szCs w:val="16"/>
              </w:rPr>
              <w:t>10,321.1</w:t>
            </w:r>
          </w:p>
        </w:tc>
        <w:tc>
          <w:tcPr>
            <w:tcW w:w="945" w:type="dxa"/>
            <w:noWrap/>
            <w:hideMark/>
          </w:tcPr>
          <w:p w14:paraId="15CFB57F" w14:textId="77777777" w:rsidR="00C15F2E" w:rsidRPr="00D96063" w:rsidRDefault="00C15F2E" w:rsidP="002A3F9E">
            <w:pPr>
              <w:jc w:val="right"/>
              <w:rPr>
                <w:rFonts w:cs="Calibri"/>
                <w:color w:val="000000"/>
                <w:sz w:val="16"/>
                <w:szCs w:val="16"/>
              </w:rPr>
            </w:pPr>
            <w:r w:rsidRPr="00D96063">
              <w:rPr>
                <w:rFonts w:cs="Calibri"/>
                <w:color w:val="000000"/>
                <w:sz w:val="16"/>
                <w:szCs w:val="16"/>
              </w:rPr>
              <w:t>11,138.3</w:t>
            </w:r>
          </w:p>
        </w:tc>
        <w:tc>
          <w:tcPr>
            <w:tcW w:w="944" w:type="dxa"/>
            <w:noWrap/>
            <w:hideMark/>
          </w:tcPr>
          <w:p w14:paraId="5C728EE5" w14:textId="77777777" w:rsidR="00C15F2E" w:rsidRPr="00D96063" w:rsidRDefault="00C15F2E" w:rsidP="002A3F9E">
            <w:pPr>
              <w:jc w:val="right"/>
              <w:rPr>
                <w:rFonts w:cs="Calibri"/>
                <w:color w:val="000000"/>
                <w:sz w:val="16"/>
                <w:szCs w:val="16"/>
              </w:rPr>
            </w:pPr>
            <w:r w:rsidRPr="00D96063">
              <w:rPr>
                <w:rFonts w:cs="Calibri"/>
                <w:color w:val="000000"/>
                <w:sz w:val="16"/>
                <w:szCs w:val="16"/>
              </w:rPr>
              <w:t>13,834.8</w:t>
            </w:r>
          </w:p>
        </w:tc>
        <w:tc>
          <w:tcPr>
            <w:tcW w:w="945" w:type="dxa"/>
            <w:noWrap/>
            <w:hideMark/>
          </w:tcPr>
          <w:p w14:paraId="31E0C527" w14:textId="77777777" w:rsidR="00C15F2E" w:rsidRPr="00D96063" w:rsidRDefault="00C15F2E" w:rsidP="002A3F9E">
            <w:pPr>
              <w:jc w:val="right"/>
              <w:rPr>
                <w:rFonts w:cs="Calibri"/>
                <w:color w:val="000000"/>
                <w:sz w:val="16"/>
                <w:szCs w:val="16"/>
              </w:rPr>
            </w:pPr>
            <w:r w:rsidRPr="00D96063">
              <w:rPr>
                <w:rFonts w:cs="Calibri"/>
                <w:color w:val="000000"/>
                <w:sz w:val="16"/>
                <w:szCs w:val="16"/>
              </w:rPr>
              <w:t>14,942.7</w:t>
            </w:r>
          </w:p>
        </w:tc>
        <w:tc>
          <w:tcPr>
            <w:tcW w:w="944" w:type="dxa"/>
            <w:noWrap/>
            <w:hideMark/>
          </w:tcPr>
          <w:p w14:paraId="16F83A78" w14:textId="77777777" w:rsidR="00C15F2E" w:rsidRPr="00D96063" w:rsidRDefault="00C15F2E" w:rsidP="002A3F9E">
            <w:pPr>
              <w:jc w:val="right"/>
              <w:rPr>
                <w:rFonts w:cs="Calibri"/>
                <w:color w:val="000000"/>
                <w:sz w:val="16"/>
                <w:szCs w:val="16"/>
              </w:rPr>
            </w:pPr>
            <w:r w:rsidRPr="00D96063">
              <w:rPr>
                <w:rFonts w:cs="Calibri"/>
                <w:color w:val="000000"/>
                <w:sz w:val="16"/>
                <w:szCs w:val="16"/>
              </w:rPr>
              <w:t>15,667.5</w:t>
            </w:r>
          </w:p>
        </w:tc>
        <w:tc>
          <w:tcPr>
            <w:tcW w:w="945" w:type="dxa"/>
            <w:noWrap/>
            <w:hideMark/>
          </w:tcPr>
          <w:p w14:paraId="4BE7C424" w14:textId="77777777" w:rsidR="00C15F2E" w:rsidRPr="00D96063" w:rsidRDefault="00C15F2E" w:rsidP="002A3F9E">
            <w:pPr>
              <w:jc w:val="right"/>
              <w:rPr>
                <w:rFonts w:cs="Calibri"/>
                <w:color w:val="000000"/>
                <w:sz w:val="16"/>
                <w:szCs w:val="16"/>
              </w:rPr>
            </w:pPr>
            <w:r w:rsidRPr="00D96063">
              <w:rPr>
                <w:rFonts w:cs="Calibri"/>
                <w:color w:val="000000"/>
                <w:sz w:val="16"/>
                <w:szCs w:val="16"/>
              </w:rPr>
              <w:t>14,471.5</w:t>
            </w:r>
          </w:p>
        </w:tc>
      </w:tr>
      <w:tr w:rsidR="00C15F2E" w:rsidRPr="00D96063" w14:paraId="42DED279"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180A6387" w14:textId="77777777" w:rsidR="00C15F2E" w:rsidRPr="00D96063" w:rsidRDefault="00C15F2E" w:rsidP="002A3F9E">
            <w:pPr>
              <w:jc w:val="left"/>
              <w:rPr>
                <w:rFonts w:cs="Calibri"/>
                <w:color w:val="000000"/>
                <w:sz w:val="16"/>
                <w:szCs w:val="16"/>
              </w:rPr>
            </w:pPr>
            <w:r w:rsidRPr="00D96063">
              <w:rPr>
                <w:rFonts w:cs="Calibri"/>
                <w:color w:val="000000"/>
                <w:sz w:val="16"/>
                <w:szCs w:val="16"/>
              </w:rPr>
              <w:tab/>
              <w:t>Cocoa (&amp; products)</w:t>
            </w:r>
          </w:p>
        </w:tc>
        <w:tc>
          <w:tcPr>
            <w:tcW w:w="944" w:type="dxa"/>
            <w:noWrap/>
            <w:hideMark/>
          </w:tcPr>
          <w:p w14:paraId="6198E943" w14:textId="77777777" w:rsidR="00C15F2E" w:rsidRPr="00D96063" w:rsidRDefault="00C15F2E" w:rsidP="002A3F9E">
            <w:pPr>
              <w:jc w:val="right"/>
              <w:rPr>
                <w:rFonts w:cs="Calibri"/>
                <w:color w:val="000000"/>
                <w:sz w:val="16"/>
                <w:szCs w:val="16"/>
              </w:rPr>
            </w:pPr>
            <w:r w:rsidRPr="00D96063">
              <w:rPr>
                <w:rFonts w:cs="Calibri"/>
                <w:color w:val="000000"/>
                <w:sz w:val="16"/>
                <w:szCs w:val="16"/>
              </w:rPr>
              <w:t>2,612.9</w:t>
            </w:r>
          </w:p>
        </w:tc>
        <w:tc>
          <w:tcPr>
            <w:tcW w:w="944" w:type="dxa"/>
            <w:noWrap/>
            <w:hideMark/>
          </w:tcPr>
          <w:p w14:paraId="4239AA86" w14:textId="77777777" w:rsidR="00C15F2E" w:rsidRPr="00D96063" w:rsidRDefault="00C15F2E" w:rsidP="002A3F9E">
            <w:pPr>
              <w:jc w:val="right"/>
              <w:rPr>
                <w:rFonts w:cs="Calibri"/>
                <w:color w:val="000000"/>
                <w:sz w:val="16"/>
                <w:szCs w:val="16"/>
              </w:rPr>
            </w:pPr>
            <w:r w:rsidRPr="00D96063">
              <w:rPr>
                <w:rFonts w:cs="Calibri"/>
                <w:color w:val="000000"/>
                <w:sz w:val="16"/>
                <w:szCs w:val="16"/>
              </w:rPr>
              <w:t>2,720.8</w:t>
            </w:r>
          </w:p>
        </w:tc>
        <w:tc>
          <w:tcPr>
            <w:tcW w:w="945" w:type="dxa"/>
            <w:noWrap/>
            <w:hideMark/>
          </w:tcPr>
          <w:p w14:paraId="394FA1D5" w14:textId="77777777" w:rsidR="00C15F2E" w:rsidRPr="00D96063" w:rsidRDefault="00C15F2E" w:rsidP="002A3F9E">
            <w:pPr>
              <w:jc w:val="right"/>
              <w:rPr>
                <w:rFonts w:cs="Calibri"/>
                <w:color w:val="000000"/>
                <w:sz w:val="16"/>
                <w:szCs w:val="16"/>
              </w:rPr>
            </w:pPr>
            <w:r w:rsidRPr="00D96063">
              <w:rPr>
                <w:rFonts w:cs="Calibri"/>
                <w:color w:val="000000"/>
                <w:sz w:val="16"/>
                <w:szCs w:val="16"/>
              </w:rPr>
              <w:t>2,572.2</w:t>
            </w:r>
          </w:p>
        </w:tc>
        <w:tc>
          <w:tcPr>
            <w:tcW w:w="944" w:type="dxa"/>
            <w:noWrap/>
            <w:hideMark/>
          </w:tcPr>
          <w:p w14:paraId="3F004956" w14:textId="77777777" w:rsidR="00C15F2E" w:rsidRPr="00D96063" w:rsidRDefault="00C15F2E" w:rsidP="002A3F9E">
            <w:pPr>
              <w:jc w:val="right"/>
              <w:rPr>
                <w:rFonts w:cs="Calibri"/>
                <w:color w:val="000000"/>
                <w:sz w:val="16"/>
                <w:szCs w:val="16"/>
              </w:rPr>
            </w:pPr>
            <w:r w:rsidRPr="00D96063">
              <w:rPr>
                <w:rFonts w:cs="Calibri"/>
                <w:color w:val="000000"/>
                <w:sz w:val="16"/>
                <w:szCs w:val="16"/>
              </w:rPr>
              <w:t>2,661.4</w:t>
            </w:r>
          </w:p>
        </w:tc>
        <w:tc>
          <w:tcPr>
            <w:tcW w:w="945" w:type="dxa"/>
            <w:noWrap/>
            <w:hideMark/>
          </w:tcPr>
          <w:p w14:paraId="090A43BC" w14:textId="77777777" w:rsidR="00C15F2E" w:rsidRPr="00D96063" w:rsidRDefault="00C15F2E" w:rsidP="002A3F9E">
            <w:pPr>
              <w:jc w:val="right"/>
              <w:rPr>
                <w:rFonts w:cs="Calibri"/>
                <w:color w:val="000000"/>
                <w:sz w:val="16"/>
                <w:szCs w:val="16"/>
              </w:rPr>
            </w:pPr>
            <w:r w:rsidRPr="00D96063">
              <w:rPr>
                <w:rFonts w:cs="Calibri"/>
                <w:color w:val="000000"/>
                <w:sz w:val="16"/>
                <w:szCs w:val="16"/>
              </w:rPr>
              <w:t>2,180.0</w:t>
            </w:r>
          </w:p>
        </w:tc>
        <w:tc>
          <w:tcPr>
            <w:tcW w:w="944" w:type="dxa"/>
            <w:noWrap/>
            <w:hideMark/>
          </w:tcPr>
          <w:p w14:paraId="69D52E74" w14:textId="77777777" w:rsidR="00C15F2E" w:rsidRPr="00D96063" w:rsidRDefault="00C15F2E" w:rsidP="002A3F9E">
            <w:pPr>
              <w:jc w:val="right"/>
              <w:rPr>
                <w:rFonts w:cs="Calibri"/>
                <w:color w:val="000000"/>
                <w:sz w:val="16"/>
                <w:szCs w:val="16"/>
              </w:rPr>
            </w:pPr>
            <w:r w:rsidRPr="00D96063">
              <w:rPr>
                <w:rFonts w:cs="Calibri"/>
                <w:color w:val="000000"/>
                <w:sz w:val="16"/>
                <w:szCs w:val="16"/>
              </w:rPr>
              <w:t>2,288.4</w:t>
            </w:r>
          </w:p>
        </w:tc>
        <w:tc>
          <w:tcPr>
            <w:tcW w:w="945" w:type="dxa"/>
            <w:noWrap/>
            <w:hideMark/>
          </w:tcPr>
          <w:p w14:paraId="326409F5" w14:textId="77777777" w:rsidR="00C15F2E" w:rsidRPr="00D96063" w:rsidRDefault="00C15F2E" w:rsidP="002A3F9E">
            <w:pPr>
              <w:jc w:val="right"/>
              <w:rPr>
                <w:rFonts w:cs="Calibri"/>
                <w:color w:val="000000"/>
                <w:sz w:val="16"/>
                <w:szCs w:val="16"/>
              </w:rPr>
            </w:pPr>
            <w:r w:rsidRPr="00D96063">
              <w:rPr>
                <w:rFonts w:cs="Calibri"/>
                <w:color w:val="000000"/>
                <w:sz w:val="16"/>
                <w:szCs w:val="16"/>
              </w:rPr>
              <w:t>2,328.2</w:t>
            </w:r>
          </w:p>
        </w:tc>
      </w:tr>
      <w:tr w:rsidR="00C15F2E" w:rsidRPr="00D96063" w14:paraId="008A0DE8" w14:textId="77777777" w:rsidTr="002A3F9E">
        <w:trPr>
          <w:trHeight w:val="240"/>
        </w:trPr>
        <w:tc>
          <w:tcPr>
            <w:tcW w:w="2405" w:type="dxa"/>
            <w:noWrap/>
            <w:hideMark/>
          </w:tcPr>
          <w:p w14:paraId="793D36F5" w14:textId="77777777" w:rsidR="00C15F2E" w:rsidRPr="00D96063" w:rsidRDefault="00C15F2E" w:rsidP="002A3F9E">
            <w:pPr>
              <w:jc w:val="left"/>
              <w:rPr>
                <w:rFonts w:cs="Calibri"/>
                <w:color w:val="000000"/>
                <w:sz w:val="16"/>
                <w:szCs w:val="16"/>
              </w:rPr>
            </w:pPr>
            <w:r w:rsidRPr="00D96063">
              <w:rPr>
                <w:rFonts w:cs="Calibri"/>
                <w:color w:val="000000"/>
                <w:sz w:val="16"/>
                <w:szCs w:val="16"/>
              </w:rPr>
              <w:tab/>
              <w:t>Gold</w:t>
            </w:r>
          </w:p>
        </w:tc>
        <w:tc>
          <w:tcPr>
            <w:tcW w:w="944" w:type="dxa"/>
            <w:noWrap/>
            <w:hideMark/>
          </w:tcPr>
          <w:p w14:paraId="3C724E63" w14:textId="77777777" w:rsidR="00C15F2E" w:rsidRPr="00D96063" w:rsidRDefault="00C15F2E" w:rsidP="002A3F9E">
            <w:pPr>
              <w:jc w:val="right"/>
              <w:rPr>
                <w:rFonts w:cs="Calibri"/>
                <w:color w:val="000000"/>
                <w:sz w:val="16"/>
                <w:szCs w:val="16"/>
              </w:rPr>
            </w:pPr>
            <w:r w:rsidRPr="00D96063">
              <w:rPr>
                <w:rFonts w:cs="Calibri"/>
                <w:color w:val="000000"/>
                <w:sz w:val="16"/>
                <w:szCs w:val="16"/>
              </w:rPr>
              <w:t>4,388.1</w:t>
            </w:r>
          </w:p>
        </w:tc>
        <w:tc>
          <w:tcPr>
            <w:tcW w:w="944" w:type="dxa"/>
            <w:noWrap/>
            <w:hideMark/>
          </w:tcPr>
          <w:p w14:paraId="08360FB3" w14:textId="77777777" w:rsidR="00C15F2E" w:rsidRPr="00D96063" w:rsidRDefault="00C15F2E" w:rsidP="002A3F9E">
            <w:pPr>
              <w:jc w:val="right"/>
              <w:rPr>
                <w:rFonts w:cs="Calibri"/>
                <w:color w:val="000000"/>
                <w:sz w:val="16"/>
                <w:szCs w:val="16"/>
              </w:rPr>
            </w:pPr>
            <w:r w:rsidRPr="00D96063">
              <w:rPr>
                <w:rFonts w:cs="Calibri"/>
                <w:color w:val="000000"/>
                <w:sz w:val="16"/>
                <w:szCs w:val="16"/>
              </w:rPr>
              <w:t>3,212.6</w:t>
            </w:r>
          </w:p>
        </w:tc>
        <w:tc>
          <w:tcPr>
            <w:tcW w:w="945" w:type="dxa"/>
            <w:noWrap/>
            <w:hideMark/>
          </w:tcPr>
          <w:p w14:paraId="1D04F070" w14:textId="77777777" w:rsidR="00C15F2E" w:rsidRPr="00D96063" w:rsidRDefault="00C15F2E" w:rsidP="002A3F9E">
            <w:pPr>
              <w:jc w:val="right"/>
              <w:rPr>
                <w:rFonts w:cs="Calibri"/>
                <w:color w:val="000000"/>
                <w:sz w:val="16"/>
                <w:szCs w:val="16"/>
              </w:rPr>
            </w:pPr>
            <w:r w:rsidRPr="00D96063">
              <w:rPr>
                <w:rFonts w:cs="Calibri"/>
                <w:color w:val="000000"/>
                <w:sz w:val="16"/>
                <w:szCs w:val="16"/>
              </w:rPr>
              <w:t>4,919.5</w:t>
            </w:r>
          </w:p>
        </w:tc>
        <w:tc>
          <w:tcPr>
            <w:tcW w:w="944" w:type="dxa"/>
            <w:noWrap/>
            <w:hideMark/>
          </w:tcPr>
          <w:p w14:paraId="6188CB2F" w14:textId="77777777" w:rsidR="00C15F2E" w:rsidRPr="00D96063" w:rsidRDefault="00C15F2E" w:rsidP="002A3F9E">
            <w:pPr>
              <w:jc w:val="right"/>
              <w:rPr>
                <w:rFonts w:cs="Calibri"/>
                <w:color w:val="000000"/>
                <w:sz w:val="16"/>
                <w:szCs w:val="16"/>
              </w:rPr>
            </w:pPr>
            <w:r w:rsidRPr="00D96063">
              <w:rPr>
                <w:rFonts w:cs="Calibri"/>
                <w:color w:val="000000"/>
                <w:sz w:val="16"/>
                <w:szCs w:val="16"/>
              </w:rPr>
              <w:t>5,786.2</w:t>
            </w:r>
          </w:p>
        </w:tc>
        <w:tc>
          <w:tcPr>
            <w:tcW w:w="945" w:type="dxa"/>
            <w:noWrap/>
            <w:hideMark/>
          </w:tcPr>
          <w:p w14:paraId="57E7A363" w14:textId="77777777" w:rsidR="00C15F2E" w:rsidRPr="00D96063" w:rsidRDefault="00C15F2E" w:rsidP="002A3F9E">
            <w:pPr>
              <w:jc w:val="right"/>
              <w:rPr>
                <w:rFonts w:cs="Calibri"/>
                <w:color w:val="000000"/>
                <w:sz w:val="16"/>
                <w:szCs w:val="16"/>
              </w:rPr>
            </w:pPr>
            <w:r w:rsidRPr="00D96063">
              <w:rPr>
                <w:rFonts w:cs="Calibri"/>
                <w:color w:val="000000"/>
                <w:sz w:val="16"/>
                <w:szCs w:val="16"/>
              </w:rPr>
              <w:t>5,435.7</w:t>
            </w:r>
          </w:p>
        </w:tc>
        <w:tc>
          <w:tcPr>
            <w:tcW w:w="944" w:type="dxa"/>
            <w:noWrap/>
            <w:hideMark/>
          </w:tcPr>
          <w:p w14:paraId="6C73FA95" w14:textId="77777777" w:rsidR="00C15F2E" w:rsidRPr="00D96063" w:rsidRDefault="00C15F2E" w:rsidP="002A3F9E">
            <w:pPr>
              <w:jc w:val="right"/>
              <w:rPr>
                <w:rFonts w:cs="Calibri"/>
                <w:color w:val="000000"/>
                <w:sz w:val="16"/>
                <w:szCs w:val="16"/>
              </w:rPr>
            </w:pPr>
            <w:r w:rsidRPr="00D96063">
              <w:rPr>
                <w:rFonts w:cs="Calibri"/>
                <w:color w:val="000000"/>
                <w:sz w:val="16"/>
                <w:szCs w:val="16"/>
              </w:rPr>
              <w:t>6,229.7</w:t>
            </w:r>
          </w:p>
        </w:tc>
        <w:tc>
          <w:tcPr>
            <w:tcW w:w="945" w:type="dxa"/>
            <w:noWrap/>
            <w:hideMark/>
          </w:tcPr>
          <w:p w14:paraId="38611C5E" w14:textId="77777777" w:rsidR="00C15F2E" w:rsidRPr="00D96063" w:rsidRDefault="00C15F2E" w:rsidP="002A3F9E">
            <w:pPr>
              <w:jc w:val="right"/>
              <w:rPr>
                <w:rFonts w:cs="Calibri"/>
                <w:color w:val="000000"/>
                <w:sz w:val="16"/>
                <w:szCs w:val="16"/>
              </w:rPr>
            </w:pPr>
            <w:r w:rsidRPr="00D96063">
              <w:rPr>
                <w:rFonts w:cs="Calibri"/>
                <w:color w:val="000000"/>
                <w:sz w:val="16"/>
                <w:szCs w:val="16"/>
              </w:rPr>
              <w:t>6,799.1</w:t>
            </w:r>
          </w:p>
        </w:tc>
      </w:tr>
      <w:tr w:rsidR="00C15F2E" w:rsidRPr="00D96063" w14:paraId="361435AB"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4B4422E5" w14:textId="77777777" w:rsidR="00C15F2E" w:rsidRPr="00D96063" w:rsidRDefault="00C15F2E" w:rsidP="002A3F9E">
            <w:pPr>
              <w:jc w:val="left"/>
              <w:rPr>
                <w:rFonts w:cs="Calibri"/>
                <w:color w:val="000000"/>
                <w:sz w:val="16"/>
                <w:szCs w:val="16"/>
              </w:rPr>
            </w:pPr>
            <w:r w:rsidRPr="00D96063">
              <w:rPr>
                <w:rFonts w:cs="Calibri"/>
                <w:color w:val="000000"/>
                <w:sz w:val="16"/>
                <w:szCs w:val="16"/>
              </w:rPr>
              <w:tab/>
              <w:t>Timber (&amp; products)</w:t>
            </w:r>
          </w:p>
        </w:tc>
        <w:tc>
          <w:tcPr>
            <w:tcW w:w="944" w:type="dxa"/>
            <w:noWrap/>
            <w:hideMark/>
          </w:tcPr>
          <w:p w14:paraId="0FFB8C14" w14:textId="77777777" w:rsidR="00C15F2E" w:rsidRPr="00D96063" w:rsidRDefault="00C15F2E" w:rsidP="002A3F9E">
            <w:pPr>
              <w:jc w:val="right"/>
              <w:rPr>
                <w:rFonts w:cs="Calibri"/>
                <w:color w:val="000000"/>
                <w:sz w:val="16"/>
                <w:szCs w:val="16"/>
              </w:rPr>
            </w:pPr>
            <w:r w:rsidRPr="00D96063">
              <w:rPr>
                <w:rFonts w:cs="Calibri"/>
                <w:color w:val="000000"/>
                <w:sz w:val="16"/>
                <w:szCs w:val="16"/>
              </w:rPr>
              <w:t>185.1</w:t>
            </w:r>
          </w:p>
        </w:tc>
        <w:tc>
          <w:tcPr>
            <w:tcW w:w="944" w:type="dxa"/>
            <w:noWrap/>
            <w:hideMark/>
          </w:tcPr>
          <w:p w14:paraId="403994E3" w14:textId="77777777" w:rsidR="00C15F2E" w:rsidRPr="00D96063" w:rsidRDefault="00C15F2E" w:rsidP="002A3F9E">
            <w:pPr>
              <w:jc w:val="right"/>
              <w:rPr>
                <w:rFonts w:cs="Calibri"/>
                <w:color w:val="000000"/>
                <w:sz w:val="16"/>
                <w:szCs w:val="16"/>
              </w:rPr>
            </w:pPr>
            <w:r w:rsidRPr="00D96063">
              <w:rPr>
                <w:rFonts w:cs="Calibri"/>
                <w:color w:val="000000"/>
                <w:sz w:val="16"/>
                <w:szCs w:val="16"/>
              </w:rPr>
              <w:t>208.8</w:t>
            </w:r>
          </w:p>
        </w:tc>
        <w:tc>
          <w:tcPr>
            <w:tcW w:w="945" w:type="dxa"/>
            <w:noWrap/>
            <w:hideMark/>
          </w:tcPr>
          <w:p w14:paraId="7C119616" w14:textId="77777777" w:rsidR="00C15F2E" w:rsidRPr="00D96063" w:rsidRDefault="00C15F2E" w:rsidP="002A3F9E">
            <w:pPr>
              <w:jc w:val="right"/>
              <w:rPr>
                <w:rFonts w:cs="Calibri"/>
                <w:color w:val="000000"/>
                <w:sz w:val="16"/>
                <w:szCs w:val="16"/>
              </w:rPr>
            </w:pPr>
            <w:r w:rsidRPr="00D96063">
              <w:rPr>
                <w:rFonts w:cs="Calibri"/>
                <w:color w:val="000000"/>
                <w:sz w:val="16"/>
                <w:szCs w:val="16"/>
              </w:rPr>
              <w:t>255.7</w:t>
            </w:r>
          </w:p>
        </w:tc>
        <w:tc>
          <w:tcPr>
            <w:tcW w:w="944" w:type="dxa"/>
            <w:noWrap/>
            <w:hideMark/>
          </w:tcPr>
          <w:p w14:paraId="49B7D116" w14:textId="77777777" w:rsidR="00C15F2E" w:rsidRPr="00D96063" w:rsidRDefault="00C15F2E" w:rsidP="002A3F9E">
            <w:pPr>
              <w:jc w:val="right"/>
              <w:rPr>
                <w:rFonts w:cs="Calibri"/>
                <w:color w:val="000000"/>
                <w:sz w:val="16"/>
                <w:szCs w:val="16"/>
              </w:rPr>
            </w:pPr>
            <w:r w:rsidRPr="00D96063">
              <w:rPr>
                <w:rFonts w:cs="Calibri"/>
                <w:color w:val="000000"/>
                <w:sz w:val="16"/>
                <w:szCs w:val="16"/>
              </w:rPr>
              <w:t>215.0</w:t>
            </w:r>
          </w:p>
        </w:tc>
        <w:tc>
          <w:tcPr>
            <w:tcW w:w="945" w:type="dxa"/>
            <w:noWrap/>
            <w:hideMark/>
          </w:tcPr>
          <w:p w14:paraId="2BDD2604" w14:textId="77777777" w:rsidR="00C15F2E" w:rsidRPr="00D96063" w:rsidRDefault="00C15F2E" w:rsidP="002A3F9E">
            <w:pPr>
              <w:jc w:val="right"/>
              <w:rPr>
                <w:rFonts w:cs="Calibri"/>
                <w:color w:val="000000"/>
                <w:sz w:val="16"/>
                <w:szCs w:val="16"/>
              </w:rPr>
            </w:pPr>
            <w:r w:rsidRPr="00D96063">
              <w:rPr>
                <w:rFonts w:cs="Calibri"/>
                <w:color w:val="000000"/>
                <w:sz w:val="16"/>
                <w:szCs w:val="16"/>
              </w:rPr>
              <w:t>221.0</w:t>
            </w:r>
          </w:p>
        </w:tc>
        <w:tc>
          <w:tcPr>
            <w:tcW w:w="944" w:type="dxa"/>
            <w:noWrap/>
            <w:hideMark/>
          </w:tcPr>
          <w:p w14:paraId="5E0825F1" w14:textId="77777777" w:rsidR="00C15F2E" w:rsidRPr="00D96063" w:rsidRDefault="00C15F2E" w:rsidP="002A3F9E">
            <w:pPr>
              <w:jc w:val="right"/>
              <w:rPr>
                <w:rFonts w:cs="Calibri"/>
                <w:color w:val="000000"/>
                <w:sz w:val="16"/>
                <w:szCs w:val="16"/>
              </w:rPr>
            </w:pPr>
            <w:r w:rsidRPr="00D96063">
              <w:rPr>
                <w:rFonts w:cs="Calibri"/>
                <w:color w:val="000000"/>
                <w:sz w:val="16"/>
                <w:szCs w:val="16"/>
              </w:rPr>
              <w:t>169.0</w:t>
            </w:r>
          </w:p>
        </w:tc>
        <w:tc>
          <w:tcPr>
            <w:tcW w:w="945" w:type="dxa"/>
            <w:noWrap/>
            <w:hideMark/>
          </w:tcPr>
          <w:p w14:paraId="79A47B1E" w14:textId="77777777" w:rsidR="00C15F2E" w:rsidRPr="00D96063" w:rsidRDefault="00C15F2E" w:rsidP="002A3F9E">
            <w:pPr>
              <w:jc w:val="right"/>
              <w:rPr>
                <w:rFonts w:cs="Calibri"/>
                <w:color w:val="000000"/>
                <w:sz w:val="16"/>
                <w:szCs w:val="16"/>
              </w:rPr>
            </w:pPr>
            <w:r w:rsidRPr="00D96063">
              <w:rPr>
                <w:rFonts w:cs="Calibri"/>
                <w:color w:val="000000"/>
                <w:sz w:val="16"/>
                <w:szCs w:val="16"/>
              </w:rPr>
              <w:t>134.0</w:t>
            </w:r>
          </w:p>
        </w:tc>
      </w:tr>
      <w:tr w:rsidR="00C15F2E" w:rsidRPr="00D96063" w14:paraId="0FADF364" w14:textId="77777777" w:rsidTr="002A3F9E">
        <w:trPr>
          <w:trHeight w:val="240"/>
        </w:trPr>
        <w:tc>
          <w:tcPr>
            <w:tcW w:w="2405" w:type="dxa"/>
            <w:noWrap/>
            <w:hideMark/>
          </w:tcPr>
          <w:p w14:paraId="405BC00E" w14:textId="77777777" w:rsidR="00C15F2E" w:rsidRPr="00D96063" w:rsidRDefault="00C15F2E" w:rsidP="002A3F9E">
            <w:pPr>
              <w:jc w:val="left"/>
              <w:rPr>
                <w:rFonts w:cs="Calibri"/>
                <w:color w:val="000000"/>
                <w:sz w:val="16"/>
                <w:szCs w:val="16"/>
              </w:rPr>
            </w:pPr>
            <w:r w:rsidRPr="00D96063">
              <w:rPr>
                <w:rFonts w:cs="Calibri"/>
                <w:color w:val="000000"/>
                <w:sz w:val="16"/>
                <w:szCs w:val="16"/>
              </w:rPr>
              <w:tab/>
              <w:t>Crude oil</w:t>
            </w:r>
          </w:p>
        </w:tc>
        <w:tc>
          <w:tcPr>
            <w:tcW w:w="944" w:type="dxa"/>
            <w:noWrap/>
            <w:hideMark/>
          </w:tcPr>
          <w:p w14:paraId="1AE3B83F" w14:textId="77777777" w:rsidR="00C15F2E" w:rsidRPr="00D96063" w:rsidRDefault="00C15F2E" w:rsidP="002A3F9E">
            <w:pPr>
              <w:jc w:val="right"/>
              <w:rPr>
                <w:rFonts w:cs="Calibri"/>
                <w:color w:val="000000"/>
                <w:sz w:val="16"/>
                <w:szCs w:val="16"/>
              </w:rPr>
            </w:pPr>
            <w:r w:rsidRPr="00D96063">
              <w:rPr>
                <w:rFonts w:cs="Calibri"/>
                <w:color w:val="000000"/>
                <w:sz w:val="16"/>
                <w:szCs w:val="16"/>
              </w:rPr>
              <w:t>3,725.0</w:t>
            </w:r>
          </w:p>
        </w:tc>
        <w:tc>
          <w:tcPr>
            <w:tcW w:w="944" w:type="dxa"/>
            <w:noWrap/>
            <w:hideMark/>
          </w:tcPr>
          <w:p w14:paraId="2D201697" w14:textId="77777777" w:rsidR="00C15F2E" w:rsidRPr="00D96063" w:rsidRDefault="00C15F2E" w:rsidP="002A3F9E">
            <w:pPr>
              <w:jc w:val="right"/>
              <w:rPr>
                <w:rFonts w:cs="Calibri"/>
                <w:color w:val="000000"/>
                <w:sz w:val="16"/>
                <w:szCs w:val="16"/>
              </w:rPr>
            </w:pPr>
            <w:r w:rsidRPr="00D96063">
              <w:rPr>
                <w:rFonts w:cs="Calibri"/>
                <w:color w:val="000000"/>
                <w:sz w:val="16"/>
                <w:szCs w:val="16"/>
              </w:rPr>
              <w:t>1,931.3</w:t>
            </w:r>
          </w:p>
        </w:tc>
        <w:tc>
          <w:tcPr>
            <w:tcW w:w="945" w:type="dxa"/>
            <w:noWrap/>
            <w:hideMark/>
          </w:tcPr>
          <w:p w14:paraId="430F6031" w14:textId="77777777" w:rsidR="00C15F2E" w:rsidRPr="00D96063" w:rsidRDefault="00C15F2E" w:rsidP="002A3F9E">
            <w:pPr>
              <w:jc w:val="right"/>
              <w:rPr>
                <w:rFonts w:cs="Calibri"/>
                <w:color w:val="000000"/>
                <w:sz w:val="16"/>
                <w:szCs w:val="16"/>
              </w:rPr>
            </w:pPr>
            <w:r w:rsidRPr="00D96063">
              <w:rPr>
                <w:rFonts w:cs="Calibri"/>
                <w:color w:val="000000"/>
                <w:sz w:val="16"/>
                <w:szCs w:val="16"/>
              </w:rPr>
              <w:t>1,345.2</w:t>
            </w:r>
          </w:p>
        </w:tc>
        <w:tc>
          <w:tcPr>
            <w:tcW w:w="944" w:type="dxa"/>
            <w:noWrap/>
            <w:hideMark/>
          </w:tcPr>
          <w:p w14:paraId="3FEA20A0" w14:textId="77777777" w:rsidR="00C15F2E" w:rsidRPr="00D96063" w:rsidRDefault="00C15F2E" w:rsidP="002A3F9E">
            <w:pPr>
              <w:jc w:val="right"/>
              <w:rPr>
                <w:rFonts w:cs="Calibri"/>
                <w:color w:val="000000"/>
                <w:sz w:val="16"/>
                <w:szCs w:val="16"/>
              </w:rPr>
            </w:pPr>
            <w:r w:rsidRPr="00D96063">
              <w:rPr>
                <w:rFonts w:cs="Calibri"/>
                <w:color w:val="000000"/>
                <w:sz w:val="16"/>
                <w:szCs w:val="16"/>
              </w:rPr>
              <w:t>3,114.9</w:t>
            </w:r>
          </w:p>
        </w:tc>
        <w:tc>
          <w:tcPr>
            <w:tcW w:w="945" w:type="dxa"/>
            <w:noWrap/>
            <w:hideMark/>
          </w:tcPr>
          <w:p w14:paraId="13F27863" w14:textId="77777777" w:rsidR="00C15F2E" w:rsidRPr="00D96063" w:rsidRDefault="00C15F2E" w:rsidP="002A3F9E">
            <w:pPr>
              <w:jc w:val="right"/>
              <w:rPr>
                <w:rFonts w:cs="Calibri"/>
                <w:color w:val="000000"/>
                <w:sz w:val="16"/>
                <w:szCs w:val="16"/>
              </w:rPr>
            </w:pPr>
            <w:r w:rsidRPr="00D96063">
              <w:rPr>
                <w:rFonts w:cs="Calibri"/>
                <w:color w:val="000000"/>
                <w:sz w:val="16"/>
                <w:szCs w:val="16"/>
              </w:rPr>
              <w:t>4,573.4</w:t>
            </w:r>
          </w:p>
        </w:tc>
        <w:tc>
          <w:tcPr>
            <w:tcW w:w="944" w:type="dxa"/>
            <w:noWrap/>
            <w:hideMark/>
          </w:tcPr>
          <w:p w14:paraId="580134C5" w14:textId="77777777" w:rsidR="00C15F2E" w:rsidRPr="00D96063" w:rsidRDefault="00C15F2E" w:rsidP="002A3F9E">
            <w:pPr>
              <w:jc w:val="right"/>
              <w:rPr>
                <w:rFonts w:cs="Calibri"/>
                <w:color w:val="000000"/>
                <w:sz w:val="16"/>
                <w:szCs w:val="16"/>
              </w:rPr>
            </w:pPr>
            <w:r w:rsidRPr="00D96063">
              <w:rPr>
                <w:rFonts w:cs="Calibri"/>
                <w:color w:val="000000"/>
                <w:sz w:val="16"/>
                <w:szCs w:val="16"/>
              </w:rPr>
              <w:t>4,493.1</w:t>
            </w:r>
          </w:p>
        </w:tc>
        <w:tc>
          <w:tcPr>
            <w:tcW w:w="945" w:type="dxa"/>
            <w:noWrap/>
            <w:hideMark/>
          </w:tcPr>
          <w:p w14:paraId="41525C5B" w14:textId="77777777" w:rsidR="00C15F2E" w:rsidRPr="00D96063" w:rsidRDefault="00C15F2E" w:rsidP="002A3F9E">
            <w:pPr>
              <w:jc w:val="right"/>
              <w:rPr>
                <w:rFonts w:cs="Calibri"/>
                <w:color w:val="000000"/>
                <w:sz w:val="16"/>
                <w:szCs w:val="16"/>
              </w:rPr>
            </w:pPr>
            <w:r w:rsidRPr="00D96063">
              <w:rPr>
                <w:rFonts w:cs="Calibri"/>
                <w:color w:val="000000"/>
                <w:sz w:val="16"/>
                <w:szCs w:val="16"/>
              </w:rPr>
              <w:t>2,910.6</w:t>
            </w:r>
          </w:p>
        </w:tc>
      </w:tr>
      <w:tr w:rsidR="00C15F2E" w:rsidRPr="00D96063" w14:paraId="18E76F8A"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1F5EFF20" w14:textId="77777777" w:rsidR="00C15F2E" w:rsidRPr="00D96063" w:rsidRDefault="00C15F2E" w:rsidP="002A3F9E">
            <w:pPr>
              <w:ind w:left="284" w:hanging="284"/>
              <w:jc w:val="left"/>
              <w:rPr>
                <w:rFonts w:cs="Calibri"/>
                <w:b/>
                <w:bCs/>
                <w:color w:val="000000"/>
                <w:sz w:val="16"/>
                <w:szCs w:val="16"/>
              </w:rPr>
            </w:pPr>
            <w:r w:rsidRPr="00D96063">
              <w:rPr>
                <w:rFonts w:cs="Calibri"/>
                <w:color w:val="000000"/>
                <w:sz w:val="16"/>
                <w:szCs w:val="16"/>
              </w:rPr>
              <w:tab/>
              <w:t>Imports (f.o.b.)</w:t>
            </w:r>
          </w:p>
        </w:tc>
        <w:tc>
          <w:tcPr>
            <w:tcW w:w="944" w:type="dxa"/>
            <w:noWrap/>
            <w:hideMark/>
          </w:tcPr>
          <w:p w14:paraId="1A6E2028"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-14,600.2</w:t>
            </w:r>
          </w:p>
        </w:tc>
        <w:tc>
          <w:tcPr>
            <w:tcW w:w="944" w:type="dxa"/>
            <w:noWrap/>
            <w:hideMark/>
          </w:tcPr>
          <w:p w14:paraId="0DD4547C"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-13,465.1</w:t>
            </w:r>
          </w:p>
        </w:tc>
        <w:tc>
          <w:tcPr>
            <w:tcW w:w="945" w:type="dxa"/>
            <w:noWrap/>
            <w:hideMark/>
          </w:tcPr>
          <w:p w14:paraId="25B9C422"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-12,920.1</w:t>
            </w:r>
          </w:p>
        </w:tc>
        <w:tc>
          <w:tcPr>
            <w:tcW w:w="944" w:type="dxa"/>
            <w:noWrap/>
            <w:hideMark/>
          </w:tcPr>
          <w:p w14:paraId="62A610D6"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-12,647.8</w:t>
            </w:r>
          </w:p>
        </w:tc>
        <w:tc>
          <w:tcPr>
            <w:tcW w:w="945" w:type="dxa"/>
            <w:noWrap/>
            <w:hideMark/>
          </w:tcPr>
          <w:p w14:paraId="17E0BC55"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-13,134.1</w:t>
            </w:r>
          </w:p>
        </w:tc>
        <w:tc>
          <w:tcPr>
            <w:tcW w:w="944" w:type="dxa"/>
            <w:noWrap/>
            <w:hideMark/>
          </w:tcPr>
          <w:p w14:paraId="23A5D382"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-13,410.7</w:t>
            </w:r>
          </w:p>
        </w:tc>
        <w:tc>
          <w:tcPr>
            <w:tcW w:w="945" w:type="dxa"/>
            <w:noWrap/>
            <w:hideMark/>
          </w:tcPr>
          <w:p w14:paraId="2BAFF8C5"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-12,428.6</w:t>
            </w:r>
          </w:p>
        </w:tc>
      </w:tr>
      <w:tr w:rsidR="00C15F2E" w:rsidRPr="00D96063" w14:paraId="3AFCC0D1" w14:textId="77777777" w:rsidTr="002A3F9E">
        <w:trPr>
          <w:trHeight w:val="240"/>
        </w:trPr>
        <w:tc>
          <w:tcPr>
            <w:tcW w:w="2405" w:type="dxa"/>
            <w:noWrap/>
            <w:hideMark/>
          </w:tcPr>
          <w:p w14:paraId="01AED009" w14:textId="77777777" w:rsidR="00C15F2E" w:rsidRPr="00D96063" w:rsidRDefault="00C15F2E" w:rsidP="002A3F9E">
            <w:pPr>
              <w:jc w:val="left"/>
              <w:rPr>
                <w:rFonts w:cs="Calibri"/>
                <w:color w:val="000000"/>
                <w:sz w:val="16"/>
                <w:szCs w:val="16"/>
              </w:rPr>
            </w:pPr>
            <w:r w:rsidRPr="00D96063">
              <w:rPr>
                <w:rFonts w:cs="Calibri"/>
                <w:color w:val="000000"/>
                <w:sz w:val="16"/>
                <w:szCs w:val="16"/>
              </w:rPr>
              <w:tab/>
              <w:t>Non-oil</w:t>
            </w:r>
          </w:p>
        </w:tc>
        <w:tc>
          <w:tcPr>
            <w:tcW w:w="944" w:type="dxa"/>
            <w:noWrap/>
            <w:hideMark/>
          </w:tcPr>
          <w:p w14:paraId="2A6FA703"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-10,906.3</w:t>
            </w:r>
          </w:p>
        </w:tc>
        <w:tc>
          <w:tcPr>
            <w:tcW w:w="944" w:type="dxa"/>
            <w:noWrap/>
            <w:hideMark/>
          </w:tcPr>
          <w:p w14:paraId="1866EB59"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-11,418.3</w:t>
            </w:r>
          </w:p>
        </w:tc>
        <w:tc>
          <w:tcPr>
            <w:tcW w:w="945" w:type="dxa"/>
            <w:noWrap/>
            <w:hideMark/>
          </w:tcPr>
          <w:p w14:paraId="3F5F63DD"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-11,085.2</w:t>
            </w:r>
          </w:p>
        </w:tc>
        <w:tc>
          <w:tcPr>
            <w:tcW w:w="944" w:type="dxa"/>
            <w:noWrap/>
            <w:hideMark/>
          </w:tcPr>
          <w:p w14:paraId="4986E768"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-10,655.6</w:t>
            </w:r>
          </w:p>
        </w:tc>
        <w:tc>
          <w:tcPr>
            <w:tcW w:w="945" w:type="dxa"/>
            <w:noWrap/>
            <w:hideMark/>
          </w:tcPr>
          <w:p w14:paraId="57685D9E"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-10,553.2</w:t>
            </w:r>
          </w:p>
        </w:tc>
        <w:tc>
          <w:tcPr>
            <w:tcW w:w="944" w:type="dxa"/>
            <w:noWrap/>
            <w:hideMark/>
          </w:tcPr>
          <w:p w14:paraId="59DC5242"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-10,990.4</w:t>
            </w:r>
          </w:p>
        </w:tc>
        <w:tc>
          <w:tcPr>
            <w:tcW w:w="945" w:type="dxa"/>
            <w:noWrap/>
            <w:hideMark/>
          </w:tcPr>
          <w:p w14:paraId="744CA256"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-10,538.0</w:t>
            </w:r>
          </w:p>
        </w:tc>
      </w:tr>
      <w:tr w:rsidR="00C15F2E" w:rsidRPr="00D96063" w14:paraId="698FA4FB"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0D7DEA45" w14:textId="77777777" w:rsidR="00C15F2E" w:rsidRPr="00D96063" w:rsidRDefault="00C15F2E" w:rsidP="002A3F9E">
            <w:pPr>
              <w:jc w:val="left"/>
              <w:rPr>
                <w:rFonts w:cs="Calibri"/>
                <w:color w:val="000000"/>
                <w:sz w:val="16"/>
                <w:szCs w:val="16"/>
              </w:rPr>
            </w:pPr>
            <w:r w:rsidRPr="00D96063">
              <w:rPr>
                <w:rFonts w:cs="Calibri"/>
                <w:color w:val="000000"/>
                <w:sz w:val="16"/>
                <w:szCs w:val="16"/>
              </w:rPr>
              <w:tab/>
              <w:t>Oil and gas</w:t>
            </w:r>
          </w:p>
        </w:tc>
        <w:tc>
          <w:tcPr>
            <w:tcW w:w="944" w:type="dxa"/>
            <w:noWrap/>
            <w:hideMark/>
          </w:tcPr>
          <w:p w14:paraId="32911276" w14:textId="77777777" w:rsidR="00C15F2E" w:rsidRPr="00D96063" w:rsidRDefault="00C15F2E" w:rsidP="002A3F9E">
            <w:pPr>
              <w:jc w:val="right"/>
              <w:rPr>
                <w:rFonts w:cs="Calibri"/>
                <w:color w:val="000000"/>
                <w:sz w:val="16"/>
                <w:szCs w:val="16"/>
              </w:rPr>
            </w:pPr>
            <w:r w:rsidRPr="00D96063">
              <w:rPr>
                <w:rFonts w:cs="Calibri"/>
                <w:color w:val="000000"/>
                <w:sz w:val="16"/>
                <w:szCs w:val="16"/>
              </w:rPr>
              <w:t>-3,694.0</w:t>
            </w:r>
          </w:p>
        </w:tc>
        <w:tc>
          <w:tcPr>
            <w:tcW w:w="944" w:type="dxa"/>
            <w:noWrap/>
            <w:hideMark/>
          </w:tcPr>
          <w:p w14:paraId="027E17F5" w14:textId="77777777" w:rsidR="00C15F2E" w:rsidRPr="00D96063" w:rsidRDefault="00C15F2E" w:rsidP="002A3F9E">
            <w:pPr>
              <w:jc w:val="right"/>
              <w:rPr>
                <w:rFonts w:cs="Calibri"/>
                <w:color w:val="000000"/>
                <w:sz w:val="16"/>
                <w:szCs w:val="16"/>
              </w:rPr>
            </w:pPr>
            <w:r w:rsidRPr="00D96063">
              <w:rPr>
                <w:rFonts w:cs="Calibri"/>
                <w:color w:val="000000"/>
                <w:sz w:val="16"/>
                <w:szCs w:val="16"/>
              </w:rPr>
              <w:t>-2,046.7</w:t>
            </w:r>
          </w:p>
        </w:tc>
        <w:tc>
          <w:tcPr>
            <w:tcW w:w="945" w:type="dxa"/>
            <w:noWrap/>
            <w:hideMark/>
          </w:tcPr>
          <w:p w14:paraId="3A69B260" w14:textId="77777777" w:rsidR="00C15F2E" w:rsidRPr="00D96063" w:rsidRDefault="00C15F2E" w:rsidP="002A3F9E">
            <w:pPr>
              <w:jc w:val="right"/>
              <w:rPr>
                <w:rFonts w:cs="Calibri"/>
                <w:color w:val="000000"/>
                <w:sz w:val="16"/>
                <w:szCs w:val="16"/>
              </w:rPr>
            </w:pPr>
            <w:r w:rsidRPr="00D96063">
              <w:rPr>
                <w:rFonts w:cs="Calibri"/>
                <w:color w:val="000000"/>
                <w:sz w:val="16"/>
                <w:szCs w:val="16"/>
              </w:rPr>
              <w:t>-1,834.9</w:t>
            </w:r>
          </w:p>
        </w:tc>
        <w:tc>
          <w:tcPr>
            <w:tcW w:w="944" w:type="dxa"/>
            <w:noWrap/>
            <w:hideMark/>
          </w:tcPr>
          <w:p w14:paraId="03ECD257" w14:textId="77777777" w:rsidR="00C15F2E" w:rsidRPr="00D96063" w:rsidRDefault="00C15F2E" w:rsidP="002A3F9E">
            <w:pPr>
              <w:jc w:val="right"/>
              <w:rPr>
                <w:rFonts w:cs="Calibri"/>
                <w:color w:val="000000"/>
                <w:sz w:val="16"/>
                <w:szCs w:val="16"/>
              </w:rPr>
            </w:pPr>
            <w:r w:rsidRPr="00D96063">
              <w:rPr>
                <w:rFonts w:cs="Calibri"/>
                <w:color w:val="000000"/>
                <w:sz w:val="16"/>
                <w:szCs w:val="16"/>
              </w:rPr>
              <w:t>-1,992.1</w:t>
            </w:r>
          </w:p>
        </w:tc>
        <w:tc>
          <w:tcPr>
            <w:tcW w:w="945" w:type="dxa"/>
            <w:noWrap/>
            <w:hideMark/>
          </w:tcPr>
          <w:p w14:paraId="2F4E0655" w14:textId="77777777" w:rsidR="00C15F2E" w:rsidRPr="00D96063" w:rsidRDefault="00C15F2E" w:rsidP="002A3F9E">
            <w:pPr>
              <w:jc w:val="right"/>
              <w:rPr>
                <w:rFonts w:cs="Calibri"/>
                <w:color w:val="000000"/>
                <w:sz w:val="16"/>
                <w:szCs w:val="16"/>
              </w:rPr>
            </w:pPr>
            <w:r w:rsidRPr="00D96063">
              <w:rPr>
                <w:rFonts w:cs="Calibri"/>
                <w:color w:val="000000"/>
                <w:sz w:val="16"/>
                <w:szCs w:val="16"/>
              </w:rPr>
              <w:t>-2,580.9</w:t>
            </w:r>
          </w:p>
        </w:tc>
        <w:tc>
          <w:tcPr>
            <w:tcW w:w="944" w:type="dxa"/>
            <w:noWrap/>
            <w:hideMark/>
          </w:tcPr>
          <w:p w14:paraId="5F55C398" w14:textId="77777777" w:rsidR="00C15F2E" w:rsidRPr="00D96063" w:rsidRDefault="00C15F2E" w:rsidP="002A3F9E">
            <w:pPr>
              <w:jc w:val="right"/>
              <w:rPr>
                <w:rFonts w:cs="Calibri"/>
                <w:color w:val="000000"/>
                <w:sz w:val="16"/>
                <w:szCs w:val="16"/>
              </w:rPr>
            </w:pPr>
            <w:r w:rsidRPr="00D96063">
              <w:rPr>
                <w:rFonts w:cs="Calibri"/>
                <w:color w:val="000000"/>
                <w:sz w:val="16"/>
                <w:szCs w:val="16"/>
              </w:rPr>
              <w:t>-2,420.3</w:t>
            </w:r>
          </w:p>
        </w:tc>
        <w:tc>
          <w:tcPr>
            <w:tcW w:w="945" w:type="dxa"/>
            <w:noWrap/>
            <w:hideMark/>
          </w:tcPr>
          <w:p w14:paraId="783D7A74" w14:textId="77777777" w:rsidR="00C15F2E" w:rsidRPr="00D96063" w:rsidRDefault="00C15F2E" w:rsidP="002A3F9E">
            <w:pPr>
              <w:jc w:val="right"/>
              <w:rPr>
                <w:rFonts w:cs="Calibri"/>
                <w:color w:val="000000"/>
                <w:sz w:val="16"/>
                <w:szCs w:val="16"/>
              </w:rPr>
            </w:pPr>
            <w:r w:rsidRPr="00D96063">
              <w:rPr>
                <w:rFonts w:cs="Calibri"/>
                <w:color w:val="000000"/>
                <w:sz w:val="16"/>
                <w:szCs w:val="16"/>
              </w:rPr>
              <w:t>-1,890.5</w:t>
            </w:r>
          </w:p>
        </w:tc>
      </w:tr>
      <w:tr w:rsidR="00C15F2E" w:rsidRPr="00D96063" w14:paraId="1FDCB1C9" w14:textId="77777777" w:rsidTr="002A3F9E">
        <w:trPr>
          <w:trHeight w:val="240"/>
        </w:trPr>
        <w:tc>
          <w:tcPr>
            <w:tcW w:w="2405" w:type="dxa"/>
            <w:noWrap/>
            <w:hideMark/>
          </w:tcPr>
          <w:p w14:paraId="46B9204D" w14:textId="77777777" w:rsidR="00C15F2E" w:rsidRPr="00D96063" w:rsidRDefault="00C15F2E" w:rsidP="002A3F9E">
            <w:pPr>
              <w:jc w:val="left"/>
              <w:rPr>
                <w:rFonts w:cs="Calibri"/>
                <w:color w:val="000000"/>
                <w:sz w:val="16"/>
                <w:szCs w:val="16"/>
              </w:rPr>
            </w:pPr>
            <w:r w:rsidRPr="00D96063">
              <w:rPr>
                <w:rFonts w:cs="Calibri"/>
                <w:color w:val="000000"/>
                <w:sz w:val="16"/>
                <w:szCs w:val="16"/>
              </w:rPr>
              <w:t>Services (net)</w:t>
            </w:r>
          </w:p>
        </w:tc>
        <w:tc>
          <w:tcPr>
            <w:tcW w:w="944" w:type="dxa"/>
            <w:noWrap/>
            <w:hideMark/>
          </w:tcPr>
          <w:p w14:paraId="4719121F" w14:textId="77777777" w:rsidR="00C15F2E" w:rsidRPr="00D96063" w:rsidRDefault="00C15F2E" w:rsidP="002A3F9E">
            <w:pPr>
              <w:jc w:val="right"/>
              <w:rPr>
                <w:rFonts w:cs="Calibri"/>
                <w:color w:val="000000"/>
                <w:sz w:val="16"/>
                <w:szCs w:val="16"/>
              </w:rPr>
            </w:pPr>
            <w:r w:rsidRPr="00D96063">
              <w:rPr>
                <w:rFonts w:cs="Calibri"/>
                <w:color w:val="000000"/>
                <w:sz w:val="16"/>
                <w:szCs w:val="16"/>
              </w:rPr>
              <w:t>-2,602.1</w:t>
            </w:r>
          </w:p>
        </w:tc>
        <w:tc>
          <w:tcPr>
            <w:tcW w:w="944" w:type="dxa"/>
            <w:noWrap/>
            <w:hideMark/>
          </w:tcPr>
          <w:p w14:paraId="27D91B89" w14:textId="77777777" w:rsidR="00C15F2E" w:rsidRPr="00D96063" w:rsidRDefault="00C15F2E" w:rsidP="002A3F9E">
            <w:pPr>
              <w:jc w:val="right"/>
              <w:rPr>
                <w:rFonts w:cs="Calibri"/>
                <w:color w:val="000000"/>
                <w:sz w:val="16"/>
                <w:szCs w:val="16"/>
              </w:rPr>
            </w:pPr>
            <w:r w:rsidRPr="00D96063">
              <w:rPr>
                <w:rFonts w:cs="Calibri"/>
                <w:color w:val="000000"/>
                <w:sz w:val="16"/>
                <w:szCs w:val="16"/>
              </w:rPr>
              <w:t>-1,166.6</w:t>
            </w:r>
          </w:p>
        </w:tc>
        <w:tc>
          <w:tcPr>
            <w:tcW w:w="945" w:type="dxa"/>
            <w:noWrap/>
            <w:hideMark/>
          </w:tcPr>
          <w:p w14:paraId="4F021C4D" w14:textId="77777777" w:rsidR="00C15F2E" w:rsidRPr="00D96063" w:rsidRDefault="00C15F2E" w:rsidP="002A3F9E">
            <w:pPr>
              <w:jc w:val="right"/>
              <w:rPr>
                <w:rFonts w:cs="Calibri"/>
                <w:color w:val="000000"/>
                <w:sz w:val="16"/>
                <w:szCs w:val="16"/>
              </w:rPr>
            </w:pPr>
            <w:r w:rsidRPr="00D96063">
              <w:rPr>
                <w:rFonts w:cs="Calibri"/>
                <w:color w:val="000000"/>
                <w:sz w:val="16"/>
                <w:szCs w:val="16"/>
              </w:rPr>
              <w:t>-1,293.3</w:t>
            </w:r>
          </w:p>
        </w:tc>
        <w:tc>
          <w:tcPr>
            <w:tcW w:w="944" w:type="dxa"/>
            <w:noWrap/>
            <w:hideMark/>
          </w:tcPr>
          <w:p w14:paraId="1F04A565" w14:textId="77777777" w:rsidR="00C15F2E" w:rsidRPr="00D96063" w:rsidRDefault="00C15F2E" w:rsidP="002A3F9E">
            <w:pPr>
              <w:jc w:val="right"/>
              <w:rPr>
                <w:rFonts w:cs="Calibri"/>
                <w:color w:val="000000"/>
                <w:sz w:val="16"/>
                <w:szCs w:val="16"/>
              </w:rPr>
            </w:pPr>
            <w:r w:rsidRPr="00D96063">
              <w:rPr>
                <w:rFonts w:cs="Calibri"/>
                <w:color w:val="000000"/>
                <w:sz w:val="16"/>
                <w:szCs w:val="16"/>
              </w:rPr>
              <w:t>-2,873.0</w:t>
            </w:r>
          </w:p>
        </w:tc>
        <w:tc>
          <w:tcPr>
            <w:tcW w:w="945" w:type="dxa"/>
            <w:noWrap/>
            <w:hideMark/>
          </w:tcPr>
          <w:p w14:paraId="1049CAFE" w14:textId="77777777" w:rsidR="00C15F2E" w:rsidRPr="00D96063" w:rsidRDefault="00C15F2E" w:rsidP="002A3F9E">
            <w:pPr>
              <w:jc w:val="right"/>
              <w:rPr>
                <w:rFonts w:cs="Calibri"/>
                <w:color w:val="000000"/>
                <w:sz w:val="16"/>
                <w:szCs w:val="16"/>
              </w:rPr>
            </w:pPr>
            <w:r w:rsidRPr="00D96063">
              <w:rPr>
                <w:rFonts w:cs="Calibri"/>
                <w:color w:val="000000"/>
                <w:sz w:val="16"/>
                <w:szCs w:val="16"/>
              </w:rPr>
              <w:t>-2,514.4</w:t>
            </w:r>
          </w:p>
        </w:tc>
        <w:tc>
          <w:tcPr>
            <w:tcW w:w="944" w:type="dxa"/>
            <w:noWrap/>
            <w:hideMark/>
          </w:tcPr>
          <w:p w14:paraId="79FD27B2" w14:textId="77777777" w:rsidR="00C15F2E" w:rsidRPr="00D96063" w:rsidRDefault="00C15F2E" w:rsidP="002A3F9E">
            <w:pPr>
              <w:jc w:val="right"/>
              <w:rPr>
                <w:rFonts w:cs="Calibri"/>
                <w:color w:val="000000"/>
                <w:sz w:val="16"/>
                <w:szCs w:val="16"/>
              </w:rPr>
            </w:pPr>
            <w:r w:rsidRPr="00D96063">
              <w:rPr>
                <w:rFonts w:cs="Calibri"/>
                <w:color w:val="000000"/>
                <w:sz w:val="16"/>
                <w:szCs w:val="16"/>
              </w:rPr>
              <w:t>-3,572.7</w:t>
            </w:r>
          </w:p>
        </w:tc>
        <w:tc>
          <w:tcPr>
            <w:tcW w:w="945" w:type="dxa"/>
            <w:noWrap/>
            <w:hideMark/>
          </w:tcPr>
          <w:p w14:paraId="7FE8C50E" w14:textId="77777777" w:rsidR="00C15F2E" w:rsidRPr="00D96063" w:rsidRDefault="00C15F2E" w:rsidP="002A3F9E">
            <w:pPr>
              <w:jc w:val="right"/>
              <w:rPr>
                <w:rFonts w:cs="Calibri"/>
                <w:color w:val="000000"/>
                <w:sz w:val="16"/>
                <w:szCs w:val="16"/>
              </w:rPr>
            </w:pPr>
            <w:r w:rsidRPr="00D96063">
              <w:rPr>
                <w:rFonts w:cs="Calibri"/>
                <w:color w:val="000000"/>
                <w:sz w:val="16"/>
                <w:szCs w:val="16"/>
              </w:rPr>
              <w:t>-4,511.3</w:t>
            </w:r>
          </w:p>
        </w:tc>
      </w:tr>
      <w:tr w:rsidR="00C15F2E" w:rsidRPr="00D96063" w14:paraId="5509B075"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709D1DB2" w14:textId="77777777" w:rsidR="00C15F2E" w:rsidRPr="00D96063" w:rsidRDefault="00C15F2E" w:rsidP="002A3F9E">
            <w:pPr>
              <w:ind w:left="284" w:hanging="284"/>
              <w:jc w:val="left"/>
              <w:rPr>
                <w:rFonts w:cs="Calibri"/>
                <w:color w:val="000000"/>
                <w:sz w:val="16"/>
                <w:szCs w:val="16"/>
              </w:rPr>
            </w:pPr>
            <w:r w:rsidRPr="00D96063">
              <w:rPr>
                <w:rFonts w:cs="Calibri"/>
                <w:color w:val="000000"/>
                <w:sz w:val="16"/>
                <w:szCs w:val="16"/>
              </w:rPr>
              <w:tab/>
              <w:t>Credit</w:t>
            </w:r>
          </w:p>
        </w:tc>
        <w:tc>
          <w:tcPr>
            <w:tcW w:w="944" w:type="dxa"/>
            <w:noWrap/>
            <w:hideMark/>
          </w:tcPr>
          <w:p w14:paraId="56891FE9" w14:textId="77777777" w:rsidR="00C15F2E" w:rsidRPr="00D96063" w:rsidRDefault="00C15F2E" w:rsidP="002A3F9E">
            <w:pPr>
              <w:jc w:val="right"/>
              <w:rPr>
                <w:rFonts w:cs="Calibri"/>
                <w:color w:val="000000"/>
                <w:sz w:val="16"/>
                <w:szCs w:val="16"/>
              </w:rPr>
            </w:pPr>
            <w:r w:rsidRPr="00D96063">
              <w:rPr>
                <w:rFonts w:cs="Calibri"/>
                <w:color w:val="000000"/>
                <w:sz w:val="16"/>
                <w:szCs w:val="16"/>
              </w:rPr>
              <w:t>2,044.8</w:t>
            </w:r>
          </w:p>
        </w:tc>
        <w:tc>
          <w:tcPr>
            <w:tcW w:w="944" w:type="dxa"/>
            <w:noWrap/>
            <w:hideMark/>
          </w:tcPr>
          <w:p w14:paraId="659A1D5C" w14:textId="77777777" w:rsidR="00C15F2E" w:rsidRPr="00D96063" w:rsidRDefault="00C15F2E" w:rsidP="002A3F9E">
            <w:pPr>
              <w:jc w:val="right"/>
              <w:rPr>
                <w:rFonts w:cs="Calibri"/>
                <w:color w:val="000000"/>
                <w:sz w:val="16"/>
                <w:szCs w:val="16"/>
              </w:rPr>
            </w:pPr>
            <w:r w:rsidRPr="00D96063">
              <w:rPr>
                <w:rFonts w:cs="Calibri"/>
                <w:color w:val="000000"/>
                <w:sz w:val="16"/>
                <w:szCs w:val="16"/>
              </w:rPr>
              <w:t>6,142.2</w:t>
            </w:r>
          </w:p>
        </w:tc>
        <w:tc>
          <w:tcPr>
            <w:tcW w:w="945" w:type="dxa"/>
            <w:noWrap/>
            <w:hideMark/>
          </w:tcPr>
          <w:p w14:paraId="64654BF4" w14:textId="77777777" w:rsidR="00C15F2E" w:rsidRPr="00D96063" w:rsidRDefault="00C15F2E" w:rsidP="002A3F9E">
            <w:pPr>
              <w:jc w:val="right"/>
              <w:rPr>
                <w:rFonts w:cs="Calibri"/>
                <w:color w:val="000000"/>
                <w:sz w:val="16"/>
                <w:szCs w:val="16"/>
              </w:rPr>
            </w:pPr>
            <w:r w:rsidRPr="00D96063">
              <w:rPr>
                <w:rFonts w:cs="Calibri"/>
                <w:color w:val="000000"/>
                <w:sz w:val="16"/>
                <w:szCs w:val="16"/>
              </w:rPr>
              <w:t>6,333.0</w:t>
            </w:r>
          </w:p>
        </w:tc>
        <w:tc>
          <w:tcPr>
            <w:tcW w:w="944" w:type="dxa"/>
            <w:noWrap/>
            <w:hideMark/>
          </w:tcPr>
          <w:p w14:paraId="1D1FC14F" w14:textId="77777777" w:rsidR="00C15F2E" w:rsidRPr="00D96063" w:rsidRDefault="00C15F2E" w:rsidP="002A3F9E">
            <w:pPr>
              <w:jc w:val="right"/>
              <w:rPr>
                <w:rFonts w:cs="Calibri"/>
                <w:color w:val="000000"/>
                <w:sz w:val="16"/>
                <w:szCs w:val="16"/>
              </w:rPr>
            </w:pPr>
            <w:r w:rsidRPr="00D96063">
              <w:rPr>
                <w:rFonts w:cs="Calibri"/>
                <w:color w:val="000000"/>
                <w:sz w:val="16"/>
                <w:szCs w:val="16"/>
              </w:rPr>
              <w:t>6,602.0</w:t>
            </w:r>
          </w:p>
        </w:tc>
        <w:tc>
          <w:tcPr>
            <w:tcW w:w="945" w:type="dxa"/>
            <w:noWrap/>
            <w:hideMark/>
          </w:tcPr>
          <w:p w14:paraId="6647BC3A" w14:textId="77777777" w:rsidR="00C15F2E" w:rsidRPr="00D96063" w:rsidRDefault="00C15F2E" w:rsidP="002A3F9E">
            <w:pPr>
              <w:jc w:val="right"/>
              <w:rPr>
                <w:rFonts w:cs="Calibri"/>
                <w:color w:val="000000"/>
                <w:sz w:val="16"/>
                <w:szCs w:val="16"/>
              </w:rPr>
            </w:pPr>
            <w:r w:rsidRPr="00D96063">
              <w:rPr>
                <w:rFonts w:cs="Calibri"/>
                <w:color w:val="000000"/>
                <w:sz w:val="16"/>
                <w:szCs w:val="16"/>
              </w:rPr>
              <w:t>7,572.0</w:t>
            </w:r>
          </w:p>
        </w:tc>
        <w:tc>
          <w:tcPr>
            <w:tcW w:w="944" w:type="dxa"/>
            <w:noWrap/>
            <w:hideMark/>
          </w:tcPr>
          <w:p w14:paraId="690CF6AD" w14:textId="77777777" w:rsidR="00C15F2E" w:rsidRPr="00D96063" w:rsidRDefault="00C15F2E" w:rsidP="002A3F9E">
            <w:pPr>
              <w:jc w:val="right"/>
              <w:rPr>
                <w:rFonts w:cs="Calibri"/>
                <w:color w:val="000000"/>
                <w:sz w:val="16"/>
                <w:szCs w:val="16"/>
              </w:rPr>
            </w:pPr>
            <w:r w:rsidRPr="00D96063">
              <w:rPr>
                <w:rFonts w:cs="Calibri"/>
                <w:color w:val="000000"/>
                <w:sz w:val="16"/>
                <w:szCs w:val="16"/>
              </w:rPr>
              <w:t>9,924.8</w:t>
            </w:r>
          </w:p>
        </w:tc>
        <w:tc>
          <w:tcPr>
            <w:tcW w:w="945" w:type="dxa"/>
            <w:noWrap/>
            <w:hideMark/>
          </w:tcPr>
          <w:p w14:paraId="3160437C" w14:textId="77777777" w:rsidR="00C15F2E" w:rsidRPr="00D96063" w:rsidRDefault="00C15F2E" w:rsidP="002A3F9E">
            <w:pPr>
              <w:jc w:val="right"/>
              <w:rPr>
                <w:rFonts w:cs="Calibri"/>
                <w:color w:val="000000"/>
                <w:sz w:val="16"/>
                <w:szCs w:val="16"/>
              </w:rPr>
            </w:pPr>
            <w:r w:rsidRPr="00D96063">
              <w:rPr>
                <w:rFonts w:cs="Calibri"/>
                <w:color w:val="000000"/>
                <w:sz w:val="16"/>
                <w:szCs w:val="16"/>
              </w:rPr>
              <w:t>7,605.5</w:t>
            </w:r>
          </w:p>
        </w:tc>
      </w:tr>
      <w:tr w:rsidR="00C15F2E" w:rsidRPr="00D96063" w14:paraId="62EA0CB3" w14:textId="77777777" w:rsidTr="002A3F9E">
        <w:trPr>
          <w:trHeight w:val="240"/>
        </w:trPr>
        <w:tc>
          <w:tcPr>
            <w:tcW w:w="2405" w:type="dxa"/>
            <w:noWrap/>
            <w:hideMark/>
          </w:tcPr>
          <w:p w14:paraId="6FC34C1F" w14:textId="77777777" w:rsidR="00C15F2E" w:rsidRPr="00D96063" w:rsidRDefault="00C15F2E" w:rsidP="002A3F9E">
            <w:pPr>
              <w:ind w:left="284" w:hanging="284"/>
              <w:jc w:val="left"/>
              <w:rPr>
                <w:rFonts w:cs="Calibri"/>
                <w:color w:val="000000"/>
                <w:sz w:val="16"/>
                <w:szCs w:val="16"/>
              </w:rPr>
            </w:pPr>
            <w:r w:rsidRPr="00D96063">
              <w:rPr>
                <w:rFonts w:cs="Calibri"/>
                <w:color w:val="000000"/>
                <w:sz w:val="16"/>
                <w:szCs w:val="16"/>
              </w:rPr>
              <w:tab/>
              <w:t>Debit</w:t>
            </w:r>
          </w:p>
        </w:tc>
        <w:tc>
          <w:tcPr>
            <w:tcW w:w="944" w:type="dxa"/>
            <w:noWrap/>
            <w:hideMark/>
          </w:tcPr>
          <w:p w14:paraId="324C3660" w14:textId="77777777" w:rsidR="00C15F2E" w:rsidRPr="00D96063" w:rsidRDefault="00C15F2E" w:rsidP="002A3F9E">
            <w:pPr>
              <w:jc w:val="right"/>
              <w:rPr>
                <w:rFonts w:cs="Calibri"/>
                <w:color w:val="000000"/>
                <w:sz w:val="16"/>
                <w:szCs w:val="16"/>
              </w:rPr>
            </w:pPr>
            <w:r w:rsidRPr="00D96063">
              <w:rPr>
                <w:rFonts w:cs="Calibri"/>
                <w:color w:val="000000"/>
                <w:sz w:val="16"/>
                <w:szCs w:val="16"/>
              </w:rPr>
              <w:t>-4,646.9</w:t>
            </w:r>
          </w:p>
        </w:tc>
        <w:tc>
          <w:tcPr>
            <w:tcW w:w="944" w:type="dxa"/>
            <w:noWrap/>
            <w:hideMark/>
          </w:tcPr>
          <w:p w14:paraId="30CED71E" w14:textId="77777777" w:rsidR="00C15F2E" w:rsidRPr="00D96063" w:rsidRDefault="00C15F2E" w:rsidP="002A3F9E">
            <w:pPr>
              <w:jc w:val="right"/>
              <w:rPr>
                <w:rFonts w:cs="Calibri"/>
                <w:color w:val="000000"/>
                <w:sz w:val="16"/>
                <w:szCs w:val="16"/>
              </w:rPr>
            </w:pPr>
            <w:r w:rsidRPr="00D96063">
              <w:rPr>
                <w:rFonts w:cs="Calibri"/>
                <w:color w:val="000000"/>
                <w:sz w:val="16"/>
                <w:szCs w:val="16"/>
              </w:rPr>
              <w:t>-7,308.8</w:t>
            </w:r>
          </w:p>
        </w:tc>
        <w:tc>
          <w:tcPr>
            <w:tcW w:w="945" w:type="dxa"/>
            <w:noWrap/>
            <w:hideMark/>
          </w:tcPr>
          <w:p w14:paraId="0A1F765D" w14:textId="77777777" w:rsidR="00C15F2E" w:rsidRPr="00D96063" w:rsidRDefault="00C15F2E" w:rsidP="002A3F9E">
            <w:pPr>
              <w:jc w:val="right"/>
              <w:rPr>
                <w:rFonts w:cs="Calibri"/>
                <w:color w:val="000000"/>
                <w:sz w:val="16"/>
                <w:szCs w:val="16"/>
              </w:rPr>
            </w:pPr>
            <w:r w:rsidRPr="00D96063">
              <w:rPr>
                <w:rFonts w:cs="Calibri"/>
                <w:color w:val="000000"/>
                <w:sz w:val="16"/>
                <w:szCs w:val="16"/>
              </w:rPr>
              <w:t>-7,626.3</w:t>
            </w:r>
          </w:p>
        </w:tc>
        <w:tc>
          <w:tcPr>
            <w:tcW w:w="944" w:type="dxa"/>
            <w:noWrap/>
            <w:hideMark/>
          </w:tcPr>
          <w:p w14:paraId="740C86CE" w14:textId="77777777" w:rsidR="00C15F2E" w:rsidRPr="00D96063" w:rsidRDefault="00C15F2E" w:rsidP="002A3F9E">
            <w:pPr>
              <w:jc w:val="right"/>
              <w:rPr>
                <w:rFonts w:cs="Calibri"/>
                <w:color w:val="000000"/>
                <w:sz w:val="16"/>
                <w:szCs w:val="16"/>
              </w:rPr>
            </w:pPr>
            <w:r w:rsidRPr="00D96063">
              <w:rPr>
                <w:rFonts w:cs="Calibri"/>
                <w:color w:val="000000"/>
                <w:sz w:val="16"/>
                <w:szCs w:val="16"/>
              </w:rPr>
              <w:t>-9,475.0</w:t>
            </w:r>
          </w:p>
        </w:tc>
        <w:tc>
          <w:tcPr>
            <w:tcW w:w="945" w:type="dxa"/>
            <w:noWrap/>
            <w:hideMark/>
          </w:tcPr>
          <w:p w14:paraId="1F9C6F72"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-10,086.5</w:t>
            </w:r>
          </w:p>
        </w:tc>
        <w:tc>
          <w:tcPr>
            <w:tcW w:w="944" w:type="dxa"/>
            <w:noWrap/>
            <w:hideMark/>
          </w:tcPr>
          <w:p w14:paraId="4F6C1D63"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-13,497.6</w:t>
            </w:r>
          </w:p>
        </w:tc>
        <w:tc>
          <w:tcPr>
            <w:tcW w:w="945" w:type="dxa"/>
            <w:noWrap/>
            <w:hideMark/>
          </w:tcPr>
          <w:p w14:paraId="01B048EB" w14:textId="77777777" w:rsidR="00C15F2E" w:rsidRPr="00D96063" w:rsidRDefault="00C15F2E" w:rsidP="002A3F9E">
            <w:pPr>
              <w:ind w:left="-57" w:right="-57"/>
              <w:jc w:val="right"/>
              <w:rPr>
                <w:rFonts w:cs="Calibri"/>
                <w:color w:val="000000"/>
                <w:sz w:val="16"/>
                <w:szCs w:val="16"/>
              </w:rPr>
            </w:pPr>
            <w:r w:rsidRPr="00D96063">
              <w:rPr>
                <w:rFonts w:cs="Calibri"/>
                <w:color w:val="000000"/>
                <w:sz w:val="16"/>
                <w:szCs w:val="16"/>
              </w:rPr>
              <w:t>-12,116.8</w:t>
            </w:r>
          </w:p>
        </w:tc>
      </w:tr>
      <w:tr w:rsidR="00C15F2E" w:rsidRPr="00D96063" w14:paraId="4384B957"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47F62B1C" w14:textId="77777777" w:rsidR="00C15F2E" w:rsidRPr="00D96063" w:rsidRDefault="00C15F2E" w:rsidP="002A3F9E">
            <w:pPr>
              <w:jc w:val="left"/>
              <w:rPr>
                <w:rFonts w:cs="Calibri"/>
                <w:color w:val="000000"/>
                <w:sz w:val="16"/>
                <w:szCs w:val="16"/>
              </w:rPr>
            </w:pPr>
            <w:r w:rsidRPr="00D96063">
              <w:rPr>
                <w:rFonts w:cs="Calibri"/>
                <w:color w:val="000000"/>
                <w:sz w:val="16"/>
                <w:szCs w:val="16"/>
              </w:rPr>
              <w:t>Income (net)</w:t>
            </w:r>
          </w:p>
        </w:tc>
        <w:tc>
          <w:tcPr>
            <w:tcW w:w="944" w:type="dxa"/>
            <w:noWrap/>
            <w:hideMark/>
          </w:tcPr>
          <w:p w14:paraId="49E0BA39" w14:textId="77777777" w:rsidR="00C15F2E" w:rsidRPr="00D96063" w:rsidRDefault="00C15F2E" w:rsidP="002A3F9E">
            <w:pPr>
              <w:jc w:val="right"/>
              <w:rPr>
                <w:rFonts w:cs="Calibri"/>
                <w:color w:val="000000"/>
                <w:sz w:val="16"/>
                <w:szCs w:val="16"/>
              </w:rPr>
            </w:pPr>
            <w:r w:rsidRPr="00D96063">
              <w:rPr>
                <w:rFonts w:cs="Calibri"/>
                <w:color w:val="000000"/>
                <w:sz w:val="16"/>
                <w:szCs w:val="16"/>
              </w:rPr>
              <w:t>-1,717.4</w:t>
            </w:r>
          </w:p>
        </w:tc>
        <w:tc>
          <w:tcPr>
            <w:tcW w:w="944" w:type="dxa"/>
            <w:noWrap/>
            <w:hideMark/>
          </w:tcPr>
          <w:p w14:paraId="4D54E982" w14:textId="77777777" w:rsidR="00C15F2E" w:rsidRPr="00D96063" w:rsidRDefault="00C15F2E" w:rsidP="002A3F9E">
            <w:pPr>
              <w:jc w:val="right"/>
              <w:rPr>
                <w:rFonts w:cs="Calibri"/>
                <w:color w:val="000000"/>
                <w:sz w:val="16"/>
                <w:szCs w:val="16"/>
              </w:rPr>
            </w:pPr>
            <w:r w:rsidRPr="00D96063">
              <w:rPr>
                <w:rFonts w:cs="Calibri"/>
                <w:color w:val="000000"/>
                <w:sz w:val="16"/>
                <w:szCs w:val="16"/>
              </w:rPr>
              <w:t>-1,110.9</w:t>
            </w:r>
          </w:p>
        </w:tc>
        <w:tc>
          <w:tcPr>
            <w:tcW w:w="945" w:type="dxa"/>
            <w:noWrap/>
            <w:hideMark/>
          </w:tcPr>
          <w:p w14:paraId="4D8F0109" w14:textId="77777777" w:rsidR="00C15F2E" w:rsidRPr="00D96063" w:rsidRDefault="00C15F2E" w:rsidP="002A3F9E">
            <w:pPr>
              <w:jc w:val="right"/>
              <w:rPr>
                <w:rFonts w:cs="Calibri"/>
                <w:color w:val="000000"/>
                <w:sz w:val="16"/>
                <w:szCs w:val="16"/>
              </w:rPr>
            </w:pPr>
            <w:r w:rsidRPr="00D96063">
              <w:rPr>
                <w:rFonts w:cs="Calibri"/>
                <w:color w:val="000000"/>
                <w:sz w:val="16"/>
                <w:szCs w:val="16"/>
              </w:rPr>
              <w:t>-1,222.1</w:t>
            </w:r>
          </w:p>
        </w:tc>
        <w:tc>
          <w:tcPr>
            <w:tcW w:w="944" w:type="dxa"/>
            <w:noWrap/>
            <w:hideMark/>
          </w:tcPr>
          <w:p w14:paraId="022783D3" w14:textId="77777777" w:rsidR="00C15F2E" w:rsidRPr="00D96063" w:rsidRDefault="00C15F2E" w:rsidP="002A3F9E">
            <w:pPr>
              <w:jc w:val="right"/>
              <w:rPr>
                <w:rFonts w:cs="Calibri"/>
                <w:color w:val="000000"/>
                <w:sz w:val="16"/>
                <w:szCs w:val="16"/>
              </w:rPr>
            </w:pPr>
            <w:r w:rsidRPr="00D96063">
              <w:rPr>
                <w:rFonts w:cs="Calibri"/>
                <w:color w:val="000000"/>
                <w:sz w:val="16"/>
                <w:szCs w:val="16"/>
              </w:rPr>
              <w:t>-2,740.9</w:t>
            </w:r>
          </w:p>
        </w:tc>
        <w:tc>
          <w:tcPr>
            <w:tcW w:w="945" w:type="dxa"/>
            <w:noWrap/>
            <w:hideMark/>
          </w:tcPr>
          <w:p w14:paraId="40F8E90E" w14:textId="77777777" w:rsidR="00C15F2E" w:rsidRPr="00D96063" w:rsidRDefault="00C15F2E" w:rsidP="002A3F9E">
            <w:pPr>
              <w:jc w:val="right"/>
              <w:rPr>
                <w:rFonts w:cs="Calibri"/>
                <w:color w:val="000000"/>
                <w:sz w:val="16"/>
                <w:szCs w:val="16"/>
              </w:rPr>
            </w:pPr>
            <w:r w:rsidRPr="00D96063">
              <w:rPr>
                <w:rFonts w:cs="Calibri"/>
                <w:color w:val="000000"/>
                <w:sz w:val="16"/>
                <w:szCs w:val="16"/>
              </w:rPr>
              <w:t>-3,921.8</w:t>
            </w:r>
          </w:p>
        </w:tc>
        <w:tc>
          <w:tcPr>
            <w:tcW w:w="944" w:type="dxa"/>
            <w:noWrap/>
            <w:hideMark/>
          </w:tcPr>
          <w:p w14:paraId="281188CB" w14:textId="77777777" w:rsidR="00C15F2E" w:rsidRPr="00D96063" w:rsidRDefault="00C15F2E" w:rsidP="002A3F9E">
            <w:pPr>
              <w:jc w:val="right"/>
              <w:rPr>
                <w:rFonts w:cs="Calibri"/>
                <w:color w:val="000000"/>
                <w:sz w:val="16"/>
                <w:szCs w:val="16"/>
              </w:rPr>
            </w:pPr>
            <w:r w:rsidRPr="00D96063">
              <w:rPr>
                <w:rFonts w:cs="Calibri"/>
                <w:color w:val="000000"/>
                <w:sz w:val="16"/>
                <w:szCs w:val="16"/>
              </w:rPr>
              <w:t>-3,952.1</w:t>
            </w:r>
          </w:p>
        </w:tc>
        <w:tc>
          <w:tcPr>
            <w:tcW w:w="945" w:type="dxa"/>
            <w:noWrap/>
            <w:hideMark/>
          </w:tcPr>
          <w:p w14:paraId="43B9A1E5" w14:textId="77777777" w:rsidR="00C15F2E" w:rsidRPr="00D96063" w:rsidRDefault="00C15F2E" w:rsidP="002A3F9E">
            <w:pPr>
              <w:jc w:val="right"/>
              <w:rPr>
                <w:rFonts w:cs="Calibri"/>
                <w:color w:val="000000"/>
                <w:sz w:val="16"/>
                <w:szCs w:val="16"/>
              </w:rPr>
            </w:pPr>
            <w:r w:rsidRPr="00D96063">
              <w:rPr>
                <w:rFonts w:cs="Calibri"/>
                <w:color w:val="000000"/>
                <w:sz w:val="16"/>
                <w:szCs w:val="16"/>
              </w:rPr>
              <w:t>-3,398.5</w:t>
            </w:r>
          </w:p>
        </w:tc>
      </w:tr>
      <w:tr w:rsidR="00C15F2E" w:rsidRPr="00D96063" w14:paraId="4B56A267" w14:textId="77777777" w:rsidTr="002A3F9E">
        <w:trPr>
          <w:trHeight w:val="240"/>
        </w:trPr>
        <w:tc>
          <w:tcPr>
            <w:tcW w:w="2405" w:type="dxa"/>
            <w:noWrap/>
            <w:hideMark/>
          </w:tcPr>
          <w:p w14:paraId="55C70EB4" w14:textId="77777777" w:rsidR="00C15F2E" w:rsidRPr="00D96063" w:rsidRDefault="00C15F2E" w:rsidP="002A3F9E">
            <w:pPr>
              <w:ind w:left="284" w:hanging="284"/>
              <w:jc w:val="left"/>
              <w:rPr>
                <w:rFonts w:cs="Calibri"/>
                <w:color w:val="000000"/>
                <w:sz w:val="16"/>
                <w:szCs w:val="16"/>
              </w:rPr>
            </w:pPr>
            <w:r w:rsidRPr="00D96063">
              <w:rPr>
                <w:rFonts w:cs="Calibri"/>
                <w:color w:val="000000"/>
                <w:sz w:val="16"/>
                <w:szCs w:val="16"/>
              </w:rPr>
              <w:tab/>
              <w:t>Credit</w:t>
            </w:r>
          </w:p>
        </w:tc>
        <w:tc>
          <w:tcPr>
            <w:tcW w:w="944" w:type="dxa"/>
            <w:noWrap/>
            <w:hideMark/>
          </w:tcPr>
          <w:p w14:paraId="508BEFE6" w14:textId="77777777" w:rsidR="00C15F2E" w:rsidRPr="00D96063" w:rsidRDefault="00C15F2E" w:rsidP="002A3F9E">
            <w:pPr>
              <w:jc w:val="right"/>
              <w:rPr>
                <w:rFonts w:cs="Calibri"/>
                <w:color w:val="000000"/>
                <w:sz w:val="16"/>
                <w:szCs w:val="16"/>
              </w:rPr>
            </w:pPr>
            <w:r w:rsidRPr="00D96063">
              <w:rPr>
                <w:rFonts w:cs="Calibri"/>
                <w:color w:val="000000"/>
                <w:sz w:val="16"/>
                <w:szCs w:val="16"/>
              </w:rPr>
              <w:t>110.8</w:t>
            </w:r>
          </w:p>
        </w:tc>
        <w:tc>
          <w:tcPr>
            <w:tcW w:w="944" w:type="dxa"/>
            <w:noWrap/>
            <w:hideMark/>
          </w:tcPr>
          <w:p w14:paraId="237F2299" w14:textId="77777777" w:rsidR="00C15F2E" w:rsidRPr="00D96063" w:rsidRDefault="00C15F2E" w:rsidP="002A3F9E">
            <w:pPr>
              <w:jc w:val="right"/>
              <w:rPr>
                <w:rFonts w:cs="Calibri"/>
                <w:color w:val="000000"/>
                <w:sz w:val="16"/>
                <w:szCs w:val="16"/>
              </w:rPr>
            </w:pPr>
            <w:r w:rsidRPr="00D96063">
              <w:rPr>
                <w:rFonts w:cs="Calibri"/>
                <w:color w:val="000000"/>
                <w:sz w:val="16"/>
                <w:szCs w:val="16"/>
              </w:rPr>
              <w:t>394.4</w:t>
            </w:r>
          </w:p>
        </w:tc>
        <w:tc>
          <w:tcPr>
            <w:tcW w:w="945" w:type="dxa"/>
            <w:noWrap/>
            <w:hideMark/>
          </w:tcPr>
          <w:p w14:paraId="5F5F0B77" w14:textId="77777777" w:rsidR="00C15F2E" w:rsidRPr="00D96063" w:rsidRDefault="00C15F2E" w:rsidP="002A3F9E">
            <w:pPr>
              <w:jc w:val="right"/>
              <w:rPr>
                <w:rFonts w:cs="Calibri"/>
                <w:color w:val="000000"/>
                <w:sz w:val="16"/>
                <w:szCs w:val="16"/>
              </w:rPr>
            </w:pPr>
            <w:r w:rsidRPr="00D96063">
              <w:rPr>
                <w:rFonts w:cs="Calibri"/>
                <w:color w:val="000000"/>
                <w:sz w:val="16"/>
                <w:szCs w:val="16"/>
              </w:rPr>
              <w:t>238.0</w:t>
            </w:r>
          </w:p>
        </w:tc>
        <w:tc>
          <w:tcPr>
            <w:tcW w:w="944" w:type="dxa"/>
            <w:noWrap/>
            <w:hideMark/>
          </w:tcPr>
          <w:p w14:paraId="5C47C3CC" w14:textId="77777777" w:rsidR="00C15F2E" w:rsidRPr="00D96063" w:rsidRDefault="00C15F2E" w:rsidP="002A3F9E">
            <w:pPr>
              <w:jc w:val="right"/>
              <w:rPr>
                <w:rFonts w:cs="Calibri"/>
                <w:color w:val="000000"/>
                <w:sz w:val="16"/>
                <w:szCs w:val="16"/>
              </w:rPr>
            </w:pPr>
            <w:r w:rsidRPr="00D96063">
              <w:rPr>
                <w:rFonts w:cs="Calibri"/>
                <w:color w:val="000000"/>
                <w:sz w:val="16"/>
                <w:szCs w:val="16"/>
              </w:rPr>
              <w:t>309.3</w:t>
            </w:r>
          </w:p>
        </w:tc>
        <w:tc>
          <w:tcPr>
            <w:tcW w:w="945" w:type="dxa"/>
            <w:noWrap/>
            <w:hideMark/>
          </w:tcPr>
          <w:p w14:paraId="482F54B5" w14:textId="77777777" w:rsidR="00C15F2E" w:rsidRPr="00D96063" w:rsidRDefault="00C15F2E" w:rsidP="002A3F9E">
            <w:pPr>
              <w:jc w:val="right"/>
              <w:rPr>
                <w:rFonts w:cs="Calibri"/>
                <w:color w:val="000000"/>
                <w:sz w:val="16"/>
                <w:szCs w:val="16"/>
              </w:rPr>
            </w:pPr>
            <w:r w:rsidRPr="00D96063">
              <w:rPr>
                <w:rFonts w:cs="Calibri"/>
                <w:color w:val="000000"/>
                <w:sz w:val="16"/>
                <w:szCs w:val="16"/>
              </w:rPr>
              <w:t>598.3</w:t>
            </w:r>
          </w:p>
        </w:tc>
        <w:tc>
          <w:tcPr>
            <w:tcW w:w="944" w:type="dxa"/>
            <w:noWrap/>
            <w:hideMark/>
          </w:tcPr>
          <w:p w14:paraId="5AD1774C" w14:textId="77777777" w:rsidR="00C15F2E" w:rsidRPr="00D96063" w:rsidRDefault="00C15F2E" w:rsidP="002A3F9E">
            <w:pPr>
              <w:jc w:val="right"/>
              <w:rPr>
                <w:rFonts w:cs="Calibri"/>
                <w:color w:val="000000"/>
                <w:sz w:val="16"/>
                <w:szCs w:val="16"/>
              </w:rPr>
            </w:pPr>
            <w:r w:rsidRPr="00D96063">
              <w:rPr>
                <w:rFonts w:cs="Calibri"/>
                <w:color w:val="000000"/>
                <w:sz w:val="16"/>
                <w:szCs w:val="16"/>
              </w:rPr>
              <w:t>482.9</w:t>
            </w:r>
          </w:p>
        </w:tc>
        <w:tc>
          <w:tcPr>
            <w:tcW w:w="945" w:type="dxa"/>
            <w:noWrap/>
            <w:hideMark/>
          </w:tcPr>
          <w:p w14:paraId="30DA8CC1" w14:textId="77777777" w:rsidR="00C15F2E" w:rsidRPr="00D96063" w:rsidRDefault="00C15F2E" w:rsidP="002A3F9E">
            <w:pPr>
              <w:jc w:val="right"/>
              <w:rPr>
                <w:rFonts w:cs="Calibri"/>
                <w:color w:val="000000"/>
                <w:sz w:val="16"/>
                <w:szCs w:val="16"/>
              </w:rPr>
            </w:pPr>
            <w:r w:rsidRPr="00D96063">
              <w:rPr>
                <w:rFonts w:cs="Calibri"/>
                <w:color w:val="000000"/>
                <w:sz w:val="16"/>
                <w:szCs w:val="16"/>
              </w:rPr>
              <w:t>738.5</w:t>
            </w:r>
          </w:p>
        </w:tc>
      </w:tr>
      <w:tr w:rsidR="00C15F2E" w:rsidRPr="00D96063" w14:paraId="05D7EB0B"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55A11E89" w14:textId="77777777" w:rsidR="00C15F2E" w:rsidRPr="00D96063" w:rsidRDefault="00C15F2E" w:rsidP="002A3F9E">
            <w:pPr>
              <w:ind w:left="284" w:hanging="284"/>
              <w:jc w:val="left"/>
              <w:rPr>
                <w:rFonts w:cs="Calibri"/>
                <w:color w:val="000000"/>
                <w:sz w:val="16"/>
                <w:szCs w:val="16"/>
              </w:rPr>
            </w:pPr>
            <w:r w:rsidRPr="00D96063">
              <w:rPr>
                <w:rFonts w:cs="Calibri"/>
                <w:color w:val="000000"/>
                <w:sz w:val="16"/>
                <w:szCs w:val="16"/>
              </w:rPr>
              <w:tab/>
              <w:t>Debit</w:t>
            </w:r>
          </w:p>
        </w:tc>
        <w:tc>
          <w:tcPr>
            <w:tcW w:w="944" w:type="dxa"/>
            <w:noWrap/>
            <w:hideMark/>
          </w:tcPr>
          <w:p w14:paraId="211D54CC" w14:textId="77777777" w:rsidR="00C15F2E" w:rsidRPr="00D96063" w:rsidRDefault="00C15F2E" w:rsidP="002A3F9E">
            <w:pPr>
              <w:jc w:val="right"/>
              <w:rPr>
                <w:rFonts w:cs="Calibri"/>
                <w:color w:val="000000"/>
                <w:sz w:val="16"/>
                <w:szCs w:val="16"/>
              </w:rPr>
            </w:pPr>
            <w:r w:rsidRPr="00D96063">
              <w:rPr>
                <w:rFonts w:cs="Calibri"/>
                <w:color w:val="000000"/>
                <w:sz w:val="16"/>
                <w:szCs w:val="16"/>
              </w:rPr>
              <w:t>-1,828.2</w:t>
            </w:r>
          </w:p>
        </w:tc>
        <w:tc>
          <w:tcPr>
            <w:tcW w:w="944" w:type="dxa"/>
            <w:noWrap/>
            <w:hideMark/>
          </w:tcPr>
          <w:p w14:paraId="7D4AE694" w14:textId="77777777" w:rsidR="00C15F2E" w:rsidRPr="00D96063" w:rsidRDefault="00C15F2E" w:rsidP="002A3F9E">
            <w:pPr>
              <w:jc w:val="right"/>
              <w:rPr>
                <w:rFonts w:cs="Calibri"/>
                <w:color w:val="000000"/>
                <w:sz w:val="16"/>
                <w:szCs w:val="16"/>
              </w:rPr>
            </w:pPr>
            <w:r w:rsidRPr="00D96063">
              <w:rPr>
                <w:rFonts w:cs="Calibri"/>
                <w:color w:val="000000"/>
                <w:sz w:val="16"/>
                <w:szCs w:val="16"/>
              </w:rPr>
              <w:t>-1,505.3</w:t>
            </w:r>
          </w:p>
        </w:tc>
        <w:tc>
          <w:tcPr>
            <w:tcW w:w="945" w:type="dxa"/>
            <w:noWrap/>
            <w:hideMark/>
          </w:tcPr>
          <w:p w14:paraId="3D7CBF1E" w14:textId="77777777" w:rsidR="00C15F2E" w:rsidRPr="00D96063" w:rsidRDefault="00C15F2E" w:rsidP="002A3F9E">
            <w:pPr>
              <w:jc w:val="right"/>
              <w:rPr>
                <w:rFonts w:cs="Calibri"/>
                <w:color w:val="000000"/>
                <w:sz w:val="16"/>
                <w:szCs w:val="16"/>
              </w:rPr>
            </w:pPr>
            <w:r w:rsidRPr="00D96063">
              <w:rPr>
                <w:rFonts w:cs="Calibri"/>
                <w:color w:val="000000"/>
                <w:sz w:val="16"/>
                <w:szCs w:val="16"/>
              </w:rPr>
              <w:t>-1,460.0</w:t>
            </w:r>
          </w:p>
        </w:tc>
        <w:tc>
          <w:tcPr>
            <w:tcW w:w="944" w:type="dxa"/>
            <w:noWrap/>
            <w:hideMark/>
          </w:tcPr>
          <w:p w14:paraId="75BCA568" w14:textId="77777777" w:rsidR="00C15F2E" w:rsidRPr="00D96063" w:rsidRDefault="00C15F2E" w:rsidP="002A3F9E">
            <w:pPr>
              <w:jc w:val="right"/>
              <w:rPr>
                <w:rFonts w:cs="Calibri"/>
                <w:color w:val="000000"/>
                <w:sz w:val="16"/>
                <w:szCs w:val="16"/>
              </w:rPr>
            </w:pPr>
            <w:r w:rsidRPr="00D96063">
              <w:rPr>
                <w:rFonts w:cs="Calibri"/>
                <w:color w:val="000000"/>
                <w:sz w:val="16"/>
                <w:szCs w:val="16"/>
              </w:rPr>
              <w:t>-3,050.2</w:t>
            </w:r>
          </w:p>
        </w:tc>
        <w:tc>
          <w:tcPr>
            <w:tcW w:w="945" w:type="dxa"/>
            <w:noWrap/>
            <w:hideMark/>
          </w:tcPr>
          <w:p w14:paraId="612279DF" w14:textId="77777777" w:rsidR="00C15F2E" w:rsidRPr="00D96063" w:rsidRDefault="00C15F2E" w:rsidP="002A3F9E">
            <w:pPr>
              <w:jc w:val="right"/>
              <w:rPr>
                <w:rFonts w:cs="Calibri"/>
                <w:color w:val="000000"/>
                <w:sz w:val="16"/>
                <w:szCs w:val="16"/>
              </w:rPr>
            </w:pPr>
            <w:r w:rsidRPr="00D96063">
              <w:rPr>
                <w:rFonts w:cs="Calibri"/>
                <w:color w:val="000000"/>
                <w:sz w:val="16"/>
                <w:szCs w:val="16"/>
              </w:rPr>
              <w:t>-4,520.1</w:t>
            </w:r>
          </w:p>
        </w:tc>
        <w:tc>
          <w:tcPr>
            <w:tcW w:w="944" w:type="dxa"/>
            <w:noWrap/>
            <w:hideMark/>
          </w:tcPr>
          <w:p w14:paraId="02AA39DB" w14:textId="77777777" w:rsidR="00C15F2E" w:rsidRPr="00D96063" w:rsidRDefault="00C15F2E" w:rsidP="002A3F9E">
            <w:pPr>
              <w:jc w:val="right"/>
              <w:rPr>
                <w:rFonts w:cs="Calibri"/>
                <w:color w:val="000000"/>
                <w:sz w:val="16"/>
                <w:szCs w:val="16"/>
              </w:rPr>
            </w:pPr>
            <w:r w:rsidRPr="00D96063">
              <w:rPr>
                <w:rFonts w:cs="Calibri"/>
                <w:color w:val="000000"/>
                <w:sz w:val="16"/>
                <w:szCs w:val="16"/>
              </w:rPr>
              <w:t>-4,435.1</w:t>
            </w:r>
          </w:p>
        </w:tc>
        <w:tc>
          <w:tcPr>
            <w:tcW w:w="945" w:type="dxa"/>
            <w:noWrap/>
            <w:hideMark/>
          </w:tcPr>
          <w:p w14:paraId="577A31DE" w14:textId="77777777" w:rsidR="00C15F2E" w:rsidRPr="00D96063" w:rsidRDefault="00C15F2E" w:rsidP="002A3F9E">
            <w:pPr>
              <w:jc w:val="right"/>
              <w:rPr>
                <w:rFonts w:cs="Calibri"/>
                <w:color w:val="000000"/>
                <w:sz w:val="16"/>
                <w:szCs w:val="16"/>
              </w:rPr>
            </w:pPr>
            <w:r w:rsidRPr="00D96063">
              <w:rPr>
                <w:rFonts w:cs="Calibri"/>
                <w:color w:val="000000"/>
                <w:sz w:val="16"/>
                <w:szCs w:val="16"/>
              </w:rPr>
              <w:t>-4,137.0</w:t>
            </w:r>
          </w:p>
        </w:tc>
      </w:tr>
      <w:tr w:rsidR="00C15F2E" w:rsidRPr="00D96063" w14:paraId="310AA1FF" w14:textId="77777777" w:rsidTr="002A3F9E">
        <w:trPr>
          <w:trHeight w:val="240"/>
        </w:trPr>
        <w:tc>
          <w:tcPr>
            <w:tcW w:w="2405" w:type="dxa"/>
            <w:noWrap/>
            <w:hideMark/>
          </w:tcPr>
          <w:p w14:paraId="4760C3DC" w14:textId="77777777" w:rsidR="00C15F2E" w:rsidRPr="00D96063" w:rsidRDefault="00C15F2E" w:rsidP="002A3F9E">
            <w:pPr>
              <w:jc w:val="left"/>
              <w:rPr>
                <w:rFonts w:cs="Calibri"/>
                <w:color w:val="000000"/>
                <w:sz w:val="16"/>
                <w:szCs w:val="16"/>
              </w:rPr>
            </w:pPr>
            <w:r w:rsidRPr="00D96063">
              <w:rPr>
                <w:rFonts w:cs="Calibri"/>
                <w:color w:val="000000"/>
                <w:sz w:val="16"/>
                <w:szCs w:val="16"/>
              </w:rPr>
              <w:t>Transfers (net)</w:t>
            </w:r>
          </w:p>
        </w:tc>
        <w:tc>
          <w:tcPr>
            <w:tcW w:w="944" w:type="dxa"/>
            <w:noWrap/>
            <w:hideMark/>
          </w:tcPr>
          <w:p w14:paraId="6646B7F8" w14:textId="77777777" w:rsidR="00C15F2E" w:rsidRPr="00D96063" w:rsidRDefault="00C15F2E" w:rsidP="002A3F9E">
            <w:pPr>
              <w:jc w:val="right"/>
              <w:rPr>
                <w:rFonts w:cs="Calibri"/>
                <w:color w:val="000000"/>
                <w:sz w:val="16"/>
                <w:szCs w:val="16"/>
              </w:rPr>
            </w:pPr>
            <w:r w:rsidRPr="00D96063">
              <w:rPr>
                <w:rFonts w:cs="Calibri"/>
                <w:color w:val="000000"/>
                <w:sz w:val="16"/>
                <w:szCs w:val="16"/>
              </w:rPr>
              <w:t>2,008.5</w:t>
            </w:r>
          </w:p>
        </w:tc>
        <w:tc>
          <w:tcPr>
            <w:tcW w:w="944" w:type="dxa"/>
            <w:noWrap/>
            <w:hideMark/>
          </w:tcPr>
          <w:p w14:paraId="420C9842" w14:textId="77777777" w:rsidR="00C15F2E" w:rsidRPr="00D96063" w:rsidRDefault="00C15F2E" w:rsidP="002A3F9E">
            <w:pPr>
              <w:jc w:val="right"/>
              <w:rPr>
                <w:rFonts w:cs="Calibri"/>
                <w:color w:val="000000"/>
                <w:sz w:val="16"/>
                <w:szCs w:val="16"/>
              </w:rPr>
            </w:pPr>
            <w:r w:rsidRPr="00D96063">
              <w:rPr>
                <w:rFonts w:cs="Calibri"/>
                <w:color w:val="000000"/>
                <w:sz w:val="16"/>
                <w:szCs w:val="16"/>
              </w:rPr>
              <w:t>2,597.7</w:t>
            </w:r>
          </w:p>
        </w:tc>
        <w:tc>
          <w:tcPr>
            <w:tcW w:w="945" w:type="dxa"/>
            <w:noWrap/>
            <w:hideMark/>
          </w:tcPr>
          <w:p w14:paraId="7839FCC8" w14:textId="77777777" w:rsidR="00C15F2E" w:rsidRPr="00D96063" w:rsidRDefault="00C15F2E" w:rsidP="002A3F9E">
            <w:pPr>
              <w:jc w:val="right"/>
              <w:rPr>
                <w:rFonts w:cs="Calibri"/>
                <w:color w:val="000000"/>
                <w:sz w:val="16"/>
                <w:szCs w:val="16"/>
              </w:rPr>
            </w:pPr>
            <w:r w:rsidRPr="00D96063">
              <w:rPr>
                <w:rFonts w:cs="Calibri"/>
                <w:color w:val="000000"/>
                <w:sz w:val="16"/>
                <w:szCs w:val="16"/>
              </w:rPr>
              <w:t>1,456.6</w:t>
            </w:r>
          </w:p>
        </w:tc>
        <w:tc>
          <w:tcPr>
            <w:tcW w:w="944" w:type="dxa"/>
            <w:noWrap/>
            <w:hideMark/>
          </w:tcPr>
          <w:p w14:paraId="63A37892" w14:textId="77777777" w:rsidR="00C15F2E" w:rsidRPr="00D96063" w:rsidRDefault="00C15F2E" w:rsidP="002A3F9E">
            <w:pPr>
              <w:jc w:val="right"/>
              <w:rPr>
                <w:rFonts w:cs="Calibri"/>
                <w:color w:val="000000"/>
                <w:sz w:val="16"/>
                <w:szCs w:val="16"/>
              </w:rPr>
            </w:pPr>
            <w:r w:rsidRPr="00D96063">
              <w:rPr>
                <w:rFonts w:cs="Calibri"/>
                <w:color w:val="000000"/>
                <w:sz w:val="16"/>
                <w:szCs w:val="16"/>
              </w:rPr>
              <w:t>2,424.2</w:t>
            </w:r>
          </w:p>
        </w:tc>
        <w:tc>
          <w:tcPr>
            <w:tcW w:w="945" w:type="dxa"/>
            <w:noWrap/>
            <w:hideMark/>
          </w:tcPr>
          <w:p w14:paraId="115552E2" w14:textId="77777777" w:rsidR="00C15F2E" w:rsidRPr="00D96063" w:rsidRDefault="00C15F2E" w:rsidP="002A3F9E">
            <w:pPr>
              <w:jc w:val="right"/>
              <w:rPr>
                <w:rFonts w:cs="Calibri"/>
                <w:color w:val="000000"/>
                <w:sz w:val="16"/>
                <w:szCs w:val="16"/>
              </w:rPr>
            </w:pPr>
            <w:r w:rsidRPr="00D96063">
              <w:rPr>
                <w:rFonts w:cs="Calibri"/>
                <w:color w:val="000000"/>
                <w:sz w:val="16"/>
                <w:szCs w:val="16"/>
              </w:rPr>
              <w:t>2,583.0</w:t>
            </w:r>
          </w:p>
        </w:tc>
        <w:tc>
          <w:tcPr>
            <w:tcW w:w="944" w:type="dxa"/>
            <w:noWrap/>
            <w:hideMark/>
          </w:tcPr>
          <w:p w14:paraId="1159536A" w14:textId="77777777" w:rsidR="00C15F2E" w:rsidRPr="00D96063" w:rsidRDefault="00C15F2E" w:rsidP="002A3F9E">
            <w:pPr>
              <w:jc w:val="right"/>
              <w:rPr>
                <w:rFonts w:cs="Calibri"/>
                <w:color w:val="000000"/>
                <w:sz w:val="16"/>
                <w:szCs w:val="16"/>
              </w:rPr>
            </w:pPr>
            <w:r w:rsidRPr="00D96063">
              <w:rPr>
                <w:rFonts w:cs="Calibri"/>
                <w:color w:val="000000"/>
                <w:sz w:val="16"/>
                <w:szCs w:val="16"/>
              </w:rPr>
              <w:t>3,404.1</w:t>
            </w:r>
          </w:p>
        </w:tc>
        <w:tc>
          <w:tcPr>
            <w:tcW w:w="945" w:type="dxa"/>
            <w:noWrap/>
            <w:hideMark/>
          </w:tcPr>
          <w:p w14:paraId="2AE1BC89" w14:textId="77777777" w:rsidR="00C15F2E" w:rsidRPr="00D96063" w:rsidRDefault="00C15F2E" w:rsidP="002A3F9E">
            <w:pPr>
              <w:jc w:val="right"/>
              <w:rPr>
                <w:rFonts w:cs="Calibri"/>
                <w:color w:val="000000"/>
                <w:sz w:val="16"/>
                <w:szCs w:val="16"/>
              </w:rPr>
            </w:pPr>
            <w:r w:rsidRPr="00D96063">
              <w:rPr>
                <w:rFonts w:cs="Calibri"/>
                <w:color w:val="000000"/>
                <w:sz w:val="16"/>
                <w:szCs w:val="16"/>
              </w:rPr>
              <w:t>3,732.9</w:t>
            </w:r>
          </w:p>
        </w:tc>
      </w:tr>
      <w:tr w:rsidR="00C15F2E" w:rsidRPr="00D96063" w14:paraId="1E326C78"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7FF57F63" w14:textId="77777777" w:rsidR="00C15F2E" w:rsidRPr="00D96063" w:rsidRDefault="00C15F2E" w:rsidP="002A3F9E">
            <w:pPr>
              <w:ind w:left="284" w:hanging="284"/>
              <w:jc w:val="left"/>
              <w:rPr>
                <w:rFonts w:cs="Calibri"/>
                <w:color w:val="000000"/>
                <w:sz w:val="16"/>
                <w:szCs w:val="16"/>
              </w:rPr>
            </w:pPr>
            <w:r w:rsidRPr="00D96063">
              <w:rPr>
                <w:rFonts w:cs="Calibri"/>
                <w:color w:val="000000"/>
                <w:sz w:val="16"/>
                <w:szCs w:val="16"/>
              </w:rPr>
              <w:tab/>
              <w:t>Private (net)</w:t>
            </w:r>
          </w:p>
        </w:tc>
        <w:tc>
          <w:tcPr>
            <w:tcW w:w="944" w:type="dxa"/>
            <w:noWrap/>
            <w:hideMark/>
          </w:tcPr>
          <w:p w14:paraId="0824EB4F" w14:textId="77777777" w:rsidR="00C15F2E" w:rsidRPr="00D96063" w:rsidRDefault="00C15F2E" w:rsidP="002A3F9E">
            <w:pPr>
              <w:jc w:val="right"/>
              <w:rPr>
                <w:rFonts w:cs="Calibri"/>
                <w:color w:val="000000"/>
                <w:sz w:val="16"/>
                <w:szCs w:val="16"/>
              </w:rPr>
            </w:pPr>
            <w:r w:rsidRPr="00D96063">
              <w:rPr>
                <w:rFonts w:cs="Calibri"/>
                <w:color w:val="000000"/>
                <w:sz w:val="16"/>
                <w:szCs w:val="16"/>
              </w:rPr>
              <w:t>1,998.9</w:t>
            </w:r>
          </w:p>
        </w:tc>
        <w:tc>
          <w:tcPr>
            <w:tcW w:w="944" w:type="dxa"/>
            <w:noWrap/>
            <w:hideMark/>
          </w:tcPr>
          <w:p w14:paraId="0B63F05F" w14:textId="77777777" w:rsidR="00C15F2E" w:rsidRPr="00D96063" w:rsidRDefault="00C15F2E" w:rsidP="002A3F9E">
            <w:pPr>
              <w:jc w:val="right"/>
              <w:rPr>
                <w:rFonts w:cs="Calibri"/>
                <w:color w:val="000000"/>
                <w:sz w:val="16"/>
                <w:szCs w:val="16"/>
              </w:rPr>
            </w:pPr>
            <w:r w:rsidRPr="00D96063">
              <w:rPr>
                <w:rFonts w:cs="Calibri"/>
                <w:color w:val="000000"/>
                <w:sz w:val="16"/>
                <w:szCs w:val="16"/>
              </w:rPr>
              <w:t>2,375.3</w:t>
            </w:r>
          </w:p>
        </w:tc>
        <w:tc>
          <w:tcPr>
            <w:tcW w:w="945" w:type="dxa"/>
            <w:noWrap/>
            <w:hideMark/>
          </w:tcPr>
          <w:p w14:paraId="1409289B" w14:textId="77777777" w:rsidR="00C15F2E" w:rsidRPr="00D96063" w:rsidRDefault="00C15F2E" w:rsidP="002A3F9E">
            <w:pPr>
              <w:jc w:val="right"/>
              <w:rPr>
                <w:rFonts w:cs="Calibri"/>
                <w:color w:val="000000"/>
                <w:sz w:val="16"/>
                <w:szCs w:val="16"/>
              </w:rPr>
            </w:pPr>
            <w:r w:rsidRPr="00D96063">
              <w:rPr>
                <w:rFonts w:cs="Calibri"/>
                <w:color w:val="000000"/>
                <w:sz w:val="16"/>
                <w:szCs w:val="16"/>
              </w:rPr>
              <w:t>1,431.0</w:t>
            </w:r>
          </w:p>
        </w:tc>
        <w:tc>
          <w:tcPr>
            <w:tcW w:w="944" w:type="dxa"/>
            <w:noWrap/>
            <w:hideMark/>
          </w:tcPr>
          <w:p w14:paraId="3E678FB6" w14:textId="77777777" w:rsidR="00C15F2E" w:rsidRPr="00D96063" w:rsidRDefault="00C15F2E" w:rsidP="002A3F9E">
            <w:pPr>
              <w:jc w:val="right"/>
              <w:rPr>
                <w:rFonts w:cs="Calibri"/>
                <w:color w:val="000000"/>
                <w:sz w:val="16"/>
                <w:szCs w:val="16"/>
              </w:rPr>
            </w:pPr>
            <w:r w:rsidRPr="00D96063">
              <w:rPr>
                <w:rFonts w:cs="Calibri"/>
                <w:color w:val="000000"/>
                <w:sz w:val="16"/>
                <w:szCs w:val="16"/>
              </w:rPr>
              <w:t>2,424.2</w:t>
            </w:r>
          </w:p>
        </w:tc>
        <w:tc>
          <w:tcPr>
            <w:tcW w:w="945" w:type="dxa"/>
            <w:noWrap/>
            <w:hideMark/>
          </w:tcPr>
          <w:p w14:paraId="260104F2" w14:textId="77777777" w:rsidR="00C15F2E" w:rsidRPr="00D96063" w:rsidRDefault="00C15F2E" w:rsidP="002A3F9E">
            <w:pPr>
              <w:jc w:val="right"/>
              <w:rPr>
                <w:rFonts w:cs="Calibri"/>
                <w:color w:val="000000"/>
                <w:sz w:val="16"/>
                <w:szCs w:val="16"/>
              </w:rPr>
            </w:pPr>
            <w:r w:rsidRPr="00D96063">
              <w:rPr>
                <w:rFonts w:cs="Calibri"/>
                <w:color w:val="000000"/>
                <w:sz w:val="16"/>
                <w:szCs w:val="16"/>
              </w:rPr>
              <w:t>2,564.3</w:t>
            </w:r>
          </w:p>
        </w:tc>
        <w:tc>
          <w:tcPr>
            <w:tcW w:w="944" w:type="dxa"/>
            <w:noWrap/>
            <w:hideMark/>
          </w:tcPr>
          <w:p w14:paraId="10278ADD" w14:textId="77777777" w:rsidR="00C15F2E" w:rsidRPr="00D96063" w:rsidRDefault="00C15F2E" w:rsidP="002A3F9E">
            <w:pPr>
              <w:jc w:val="right"/>
              <w:rPr>
                <w:rFonts w:cs="Calibri"/>
                <w:color w:val="000000"/>
                <w:sz w:val="16"/>
                <w:szCs w:val="16"/>
              </w:rPr>
            </w:pPr>
            <w:r w:rsidRPr="00D96063">
              <w:rPr>
                <w:rFonts w:cs="Calibri"/>
                <w:color w:val="000000"/>
                <w:sz w:val="16"/>
                <w:szCs w:val="16"/>
              </w:rPr>
              <w:t>3,386.4</w:t>
            </w:r>
          </w:p>
        </w:tc>
        <w:tc>
          <w:tcPr>
            <w:tcW w:w="945" w:type="dxa"/>
            <w:noWrap/>
            <w:hideMark/>
          </w:tcPr>
          <w:p w14:paraId="5806F6AF" w14:textId="77777777" w:rsidR="00C15F2E" w:rsidRPr="00D96063" w:rsidRDefault="00C15F2E" w:rsidP="002A3F9E">
            <w:pPr>
              <w:jc w:val="right"/>
              <w:rPr>
                <w:rFonts w:cs="Calibri"/>
                <w:color w:val="000000"/>
                <w:sz w:val="16"/>
                <w:szCs w:val="16"/>
              </w:rPr>
            </w:pPr>
            <w:r w:rsidRPr="00D96063">
              <w:rPr>
                <w:rFonts w:cs="Calibri"/>
                <w:color w:val="000000"/>
                <w:sz w:val="16"/>
                <w:szCs w:val="16"/>
              </w:rPr>
              <w:t>3,564.8</w:t>
            </w:r>
          </w:p>
        </w:tc>
      </w:tr>
      <w:tr w:rsidR="00C15F2E" w:rsidRPr="00D96063" w14:paraId="311AC56D" w14:textId="77777777" w:rsidTr="002A3F9E">
        <w:trPr>
          <w:trHeight w:val="240"/>
        </w:trPr>
        <w:tc>
          <w:tcPr>
            <w:tcW w:w="2405" w:type="dxa"/>
            <w:noWrap/>
            <w:hideMark/>
          </w:tcPr>
          <w:p w14:paraId="0F7809B8" w14:textId="77777777" w:rsidR="00C15F2E" w:rsidRPr="00D96063" w:rsidRDefault="00C15F2E" w:rsidP="002A3F9E">
            <w:pPr>
              <w:ind w:left="284" w:hanging="284"/>
              <w:jc w:val="left"/>
              <w:rPr>
                <w:rFonts w:cs="Calibri"/>
                <w:color w:val="000000"/>
                <w:sz w:val="16"/>
                <w:szCs w:val="16"/>
              </w:rPr>
            </w:pPr>
            <w:r w:rsidRPr="00D96063">
              <w:rPr>
                <w:rFonts w:cs="Calibri"/>
                <w:color w:val="000000"/>
                <w:sz w:val="16"/>
                <w:szCs w:val="16"/>
              </w:rPr>
              <w:tab/>
              <w:t>Official (net)</w:t>
            </w:r>
          </w:p>
        </w:tc>
        <w:tc>
          <w:tcPr>
            <w:tcW w:w="944" w:type="dxa"/>
            <w:noWrap/>
            <w:hideMark/>
          </w:tcPr>
          <w:p w14:paraId="0B198E52" w14:textId="77777777" w:rsidR="00C15F2E" w:rsidRPr="00D96063" w:rsidRDefault="00C15F2E" w:rsidP="002A3F9E">
            <w:pPr>
              <w:jc w:val="right"/>
              <w:rPr>
                <w:rFonts w:cs="Calibri"/>
                <w:color w:val="000000"/>
                <w:sz w:val="16"/>
                <w:szCs w:val="16"/>
              </w:rPr>
            </w:pPr>
            <w:r w:rsidRPr="00D96063">
              <w:rPr>
                <w:rFonts w:cs="Calibri"/>
                <w:color w:val="000000"/>
                <w:sz w:val="16"/>
                <w:szCs w:val="16"/>
              </w:rPr>
              <w:t>9.6</w:t>
            </w:r>
          </w:p>
        </w:tc>
        <w:tc>
          <w:tcPr>
            <w:tcW w:w="944" w:type="dxa"/>
            <w:noWrap/>
            <w:hideMark/>
          </w:tcPr>
          <w:p w14:paraId="6E759549" w14:textId="77777777" w:rsidR="00C15F2E" w:rsidRPr="00D96063" w:rsidRDefault="00C15F2E" w:rsidP="002A3F9E">
            <w:pPr>
              <w:jc w:val="right"/>
              <w:rPr>
                <w:rFonts w:cs="Calibri"/>
                <w:color w:val="000000"/>
                <w:sz w:val="16"/>
                <w:szCs w:val="16"/>
              </w:rPr>
            </w:pPr>
            <w:r w:rsidRPr="00D96063">
              <w:rPr>
                <w:rFonts w:cs="Calibri"/>
                <w:color w:val="000000"/>
                <w:sz w:val="16"/>
                <w:szCs w:val="16"/>
              </w:rPr>
              <w:t>222.4</w:t>
            </w:r>
          </w:p>
        </w:tc>
        <w:tc>
          <w:tcPr>
            <w:tcW w:w="945" w:type="dxa"/>
            <w:noWrap/>
            <w:hideMark/>
          </w:tcPr>
          <w:p w14:paraId="2FED05E2" w14:textId="77777777" w:rsidR="00C15F2E" w:rsidRPr="00D96063" w:rsidRDefault="00C15F2E" w:rsidP="002A3F9E">
            <w:pPr>
              <w:jc w:val="right"/>
              <w:rPr>
                <w:rFonts w:cs="Calibri"/>
                <w:color w:val="000000"/>
                <w:sz w:val="16"/>
                <w:szCs w:val="16"/>
              </w:rPr>
            </w:pPr>
            <w:r w:rsidRPr="00D96063">
              <w:rPr>
                <w:rFonts w:cs="Calibri"/>
                <w:color w:val="000000"/>
                <w:sz w:val="16"/>
                <w:szCs w:val="16"/>
              </w:rPr>
              <w:t>25.6</w:t>
            </w:r>
          </w:p>
        </w:tc>
        <w:tc>
          <w:tcPr>
            <w:tcW w:w="944" w:type="dxa"/>
            <w:noWrap/>
            <w:hideMark/>
          </w:tcPr>
          <w:p w14:paraId="33078C63" w14:textId="77777777" w:rsidR="00C15F2E" w:rsidRPr="00D96063" w:rsidRDefault="00C15F2E" w:rsidP="002A3F9E">
            <w:pPr>
              <w:jc w:val="right"/>
              <w:rPr>
                <w:rFonts w:cs="Calibri"/>
                <w:color w:val="000000"/>
                <w:sz w:val="16"/>
                <w:szCs w:val="16"/>
              </w:rPr>
            </w:pPr>
            <w:r w:rsidRPr="00D96063">
              <w:rPr>
                <w:rFonts w:cs="Calibri"/>
                <w:color w:val="000000"/>
                <w:sz w:val="16"/>
                <w:szCs w:val="16"/>
              </w:rPr>
              <w:t>0.0</w:t>
            </w:r>
          </w:p>
        </w:tc>
        <w:tc>
          <w:tcPr>
            <w:tcW w:w="945" w:type="dxa"/>
            <w:noWrap/>
            <w:hideMark/>
          </w:tcPr>
          <w:p w14:paraId="43A19146" w14:textId="77777777" w:rsidR="00C15F2E" w:rsidRPr="00D96063" w:rsidRDefault="00C15F2E" w:rsidP="002A3F9E">
            <w:pPr>
              <w:jc w:val="right"/>
              <w:rPr>
                <w:rFonts w:cs="Calibri"/>
                <w:color w:val="000000"/>
                <w:sz w:val="16"/>
                <w:szCs w:val="16"/>
              </w:rPr>
            </w:pPr>
            <w:r w:rsidRPr="00D96063">
              <w:rPr>
                <w:rFonts w:cs="Calibri"/>
                <w:color w:val="000000"/>
                <w:sz w:val="16"/>
                <w:szCs w:val="16"/>
              </w:rPr>
              <w:t>18.7</w:t>
            </w:r>
          </w:p>
        </w:tc>
        <w:tc>
          <w:tcPr>
            <w:tcW w:w="944" w:type="dxa"/>
            <w:noWrap/>
            <w:hideMark/>
          </w:tcPr>
          <w:p w14:paraId="284F0612" w14:textId="77777777" w:rsidR="00C15F2E" w:rsidRPr="00D96063" w:rsidRDefault="00C15F2E" w:rsidP="002A3F9E">
            <w:pPr>
              <w:jc w:val="right"/>
              <w:rPr>
                <w:rFonts w:cs="Calibri"/>
                <w:color w:val="000000"/>
                <w:sz w:val="16"/>
                <w:szCs w:val="16"/>
              </w:rPr>
            </w:pPr>
            <w:r w:rsidRPr="00D96063">
              <w:rPr>
                <w:rFonts w:cs="Calibri"/>
                <w:color w:val="000000"/>
                <w:sz w:val="16"/>
                <w:szCs w:val="16"/>
              </w:rPr>
              <w:t>17.7</w:t>
            </w:r>
          </w:p>
        </w:tc>
        <w:tc>
          <w:tcPr>
            <w:tcW w:w="945" w:type="dxa"/>
            <w:noWrap/>
            <w:hideMark/>
          </w:tcPr>
          <w:p w14:paraId="7AA899A2" w14:textId="77777777" w:rsidR="00C15F2E" w:rsidRPr="00D96063" w:rsidRDefault="00C15F2E" w:rsidP="002A3F9E">
            <w:pPr>
              <w:jc w:val="right"/>
              <w:rPr>
                <w:rFonts w:cs="Calibri"/>
                <w:color w:val="000000"/>
                <w:sz w:val="16"/>
                <w:szCs w:val="16"/>
              </w:rPr>
            </w:pPr>
            <w:r w:rsidRPr="00D96063">
              <w:rPr>
                <w:rFonts w:cs="Calibri"/>
                <w:color w:val="000000"/>
                <w:sz w:val="16"/>
                <w:szCs w:val="16"/>
              </w:rPr>
              <w:t>168.1</w:t>
            </w:r>
          </w:p>
        </w:tc>
      </w:tr>
      <w:tr w:rsidR="00C15F2E" w:rsidRPr="00D96063" w14:paraId="030FC5BD"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6B14BDE3" w14:textId="77777777" w:rsidR="00C15F2E" w:rsidRPr="00D96063" w:rsidRDefault="00C15F2E" w:rsidP="002A3F9E">
            <w:pPr>
              <w:jc w:val="left"/>
              <w:rPr>
                <w:rFonts w:cs="Calibri"/>
                <w:color w:val="000000"/>
                <w:sz w:val="16"/>
                <w:szCs w:val="16"/>
              </w:rPr>
            </w:pPr>
            <w:r w:rsidRPr="00D96063">
              <w:rPr>
                <w:rFonts w:cs="Calibri"/>
                <w:color w:val="000000"/>
                <w:sz w:val="16"/>
                <w:szCs w:val="16"/>
              </w:rPr>
              <w:t>Financial &amp; capital account</w:t>
            </w:r>
          </w:p>
        </w:tc>
        <w:tc>
          <w:tcPr>
            <w:tcW w:w="944" w:type="dxa"/>
            <w:noWrap/>
            <w:hideMark/>
          </w:tcPr>
          <w:p w14:paraId="15C59EC2" w14:textId="77777777" w:rsidR="00C15F2E" w:rsidRPr="00D96063" w:rsidRDefault="00C15F2E" w:rsidP="002A3F9E">
            <w:pPr>
              <w:jc w:val="right"/>
              <w:rPr>
                <w:rFonts w:cs="Calibri"/>
                <w:color w:val="000000"/>
                <w:sz w:val="16"/>
                <w:szCs w:val="16"/>
              </w:rPr>
            </w:pPr>
            <w:r w:rsidRPr="00D96063">
              <w:rPr>
                <w:rFonts w:cs="Calibri"/>
                <w:color w:val="000000"/>
                <w:sz w:val="16"/>
                <w:szCs w:val="16"/>
              </w:rPr>
              <w:t>3,752.8</w:t>
            </w:r>
          </w:p>
        </w:tc>
        <w:tc>
          <w:tcPr>
            <w:tcW w:w="944" w:type="dxa"/>
            <w:noWrap/>
            <w:hideMark/>
          </w:tcPr>
          <w:p w14:paraId="59684487" w14:textId="77777777" w:rsidR="00C15F2E" w:rsidRPr="00D96063" w:rsidRDefault="00C15F2E" w:rsidP="002A3F9E">
            <w:pPr>
              <w:jc w:val="right"/>
              <w:rPr>
                <w:rFonts w:cs="Calibri"/>
                <w:color w:val="000000"/>
                <w:sz w:val="16"/>
                <w:szCs w:val="16"/>
              </w:rPr>
            </w:pPr>
            <w:r w:rsidRPr="00D96063">
              <w:rPr>
                <w:rFonts w:cs="Calibri"/>
                <w:color w:val="000000"/>
                <w:sz w:val="16"/>
                <w:szCs w:val="16"/>
              </w:rPr>
              <w:t>3,123.2</w:t>
            </w:r>
          </w:p>
        </w:tc>
        <w:tc>
          <w:tcPr>
            <w:tcW w:w="945" w:type="dxa"/>
            <w:noWrap/>
            <w:hideMark/>
          </w:tcPr>
          <w:p w14:paraId="1019D6E6" w14:textId="77777777" w:rsidR="00C15F2E" w:rsidRPr="00D96063" w:rsidRDefault="00C15F2E" w:rsidP="002A3F9E">
            <w:pPr>
              <w:jc w:val="right"/>
              <w:rPr>
                <w:rFonts w:cs="Calibri"/>
                <w:color w:val="000000"/>
                <w:sz w:val="16"/>
                <w:szCs w:val="16"/>
              </w:rPr>
            </w:pPr>
            <w:r w:rsidRPr="00D96063">
              <w:rPr>
                <w:rFonts w:cs="Calibri"/>
                <w:color w:val="000000"/>
                <w:sz w:val="16"/>
                <w:szCs w:val="16"/>
              </w:rPr>
              <w:t>2,557.9</w:t>
            </w:r>
          </w:p>
        </w:tc>
        <w:tc>
          <w:tcPr>
            <w:tcW w:w="944" w:type="dxa"/>
            <w:noWrap/>
            <w:hideMark/>
          </w:tcPr>
          <w:p w14:paraId="4A55DF97" w14:textId="77777777" w:rsidR="00C15F2E" w:rsidRPr="00D96063" w:rsidRDefault="00C15F2E" w:rsidP="002A3F9E">
            <w:pPr>
              <w:jc w:val="right"/>
              <w:rPr>
                <w:rFonts w:cs="Calibri"/>
                <w:color w:val="000000"/>
                <w:sz w:val="16"/>
                <w:szCs w:val="16"/>
              </w:rPr>
            </w:pPr>
            <w:r w:rsidRPr="00D96063">
              <w:rPr>
                <w:rFonts w:cs="Calibri"/>
                <w:color w:val="000000"/>
                <w:sz w:val="16"/>
                <w:szCs w:val="16"/>
              </w:rPr>
              <w:t>3,015.7</w:t>
            </w:r>
          </w:p>
        </w:tc>
        <w:tc>
          <w:tcPr>
            <w:tcW w:w="945" w:type="dxa"/>
            <w:noWrap/>
            <w:hideMark/>
          </w:tcPr>
          <w:p w14:paraId="5B6F79DF" w14:textId="77777777" w:rsidR="00C15F2E" w:rsidRPr="00D96063" w:rsidRDefault="00C15F2E" w:rsidP="002A3F9E">
            <w:pPr>
              <w:jc w:val="right"/>
              <w:rPr>
                <w:rFonts w:cs="Calibri"/>
                <w:color w:val="000000"/>
                <w:sz w:val="16"/>
                <w:szCs w:val="16"/>
              </w:rPr>
            </w:pPr>
            <w:r w:rsidRPr="00D96063">
              <w:rPr>
                <w:rFonts w:cs="Calibri"/>
                <w:color w:val="000000"/>
                <w:sz w:val="16"/>
                <w:szCs w:val="16"/>
              </w:rPr>
              <w:t>1,500.4</w:t>
            </w:r>
          </w:p>
        </w:tc>
        <w:tc>
          <w:tcPr>
            <w:tcW w:w="944" w:type="dxa"/>
            <w:noWrap/>
            <w:hideMark/>
          </w:tcPr>
          <w:p w14:paraId="5EA34DEE" w14:textId="77777777" w:rsidR="00C15F2E" w:rsidRPr="00D96063" w:rsidRDefault="00C15F2E" w:rsidP="002A3F9E">
            <w:pPr>
              <w:jc w:val="right"/>
              <w:rPr>
                <w:rFonts w:cs="Calibri"/>
                <w:color w:val="000000"/>
                <w:sz w:val="16"/>
                <w:szCs w:val="16"/>
              </w:rPr>
            </w:pPr>
            <w:r w:rsidRPr="00D96063">
              <w:rPr>
                <w:rFonts w:cs="Calibri"/>
                <w:color w:val="000000"/>
                <w:sz w:val="16"/>
                <w:szCs w:val="16"/>
              </w:rPr>
              <w:t>3,067.6</w:t>
            </w:r>
          </w:p>
        </w:tc>
        <w:tc>
          <w:tcPr>
            <w:tcW w:w="945" w:type="dxa"/>
            <w:noWrap/>
            <w:hideMark/>
          </w:tcPr>
          <w:p w14:paraId="39F18F35" w14:textId="77777777" w:rsidR="00C15F2E" w:rsidRPr="00D96063" w:rsidRDefault="00C15F2E" w:rsidP="002A3F9E">
            <w:pPr>
              <w:jc w:val="right"/>
              <w:rPr>
                <w:rFonts w:cs="Calibri"/>
                <w:color w:val="000000"/>
                <w:sz w:val="16"/>
                <w:szCs w:val="16"/>
              </w:rPr>
            </w:pPr>
            <w:r w:rsidRPr="00D96063">
              <w:rPr>
                <w:rFonts w:cs="Calibri"/>
                <w:color w:val="000000"/>
                <w:sz w:val="16"/>
                <w:szCs w:val="16"/>
              </w:rPr>
              <w:t>2,887.2</w:t>
            </w:r>
          </w:p>
        </w:tc>
      </w:tr>
      <w:tr w:rsidR="00C15F2E" w:rsidRPr="00D96063" w14:paraId="7E2A4E4D" w14:textId="77777777" w:rsidTr="002A3F9E">
        <w:trPr>
          <w:trHeight w:val="240"/>
        </w:trPr>
        <w:tc>
          <w:tcPr>
            <w:tcW w:w="2405" w:type="dxa"/>
            <w:noWrap/>
            <w:hideMark/>
          </w:tcPr>
          <w:p w14:paraId="0F21A334" w14:textId="77777777" w:rsidR="00C15F2E" w:rsidRPr="00D96063" w:rsidRDefault="00C15F2E" w:rsidP="002A3F9E">
            <w:pPr>
              <w:ind w:left="284" w:hanging="284"/>
              <w:jc w:val="left"/>
              <w:rPr>
                <w:rFonts w:cs="Calibri"/>
                <w:color w:val="000000"/>
                <w:sz w:val="16"/>
                <w:szCs w:val="16"/>
              </w:rPr>
            </w:pPr>
            <w:r w:rsidRPr="00D96063">
              <w:rPr>
                <w:rFonts w:cs="Calibri"/>
                <w:color w:val="000000"/>
                <w:sz w:val="16"/>
                <w:szCs w:val="16"/>
              </w:rPr>
              <w:tab/>
              <w:t>Capital (net)</w:t>
            </w:r>
          </w:p>
        </w:tc>
        <w:tc>
          <w:tcPr>
            <w:tcW w:w="944" w:type="dxa"/>
            <w:noWrap/>
            <w:hideMark/>
          </w:tcPr>
          <w:p w14:paraId="187EB692" w14:textId="77777777" w:rsidR="00C15F2E" w:rsidRPr="00D96063" w:rsidRDefault="00C15F2E" w:rsidP="002A3F9E">
            <w:pPr>
              <w:jc w:val="right"/>
              <w:rPr>
                <w:rFonts w:cs="Calibri"/>
                <w:color w:val="000000"/>
                <w:sz w:val="16"/>
                <w:szCs w:val="16"/>
              </w:rPr>
            </w:pPr>
            <w:r w:rsidRPr="00D96063">
              <w:rPr>
                <w:rFonts w:cs="Calibri"/>
                <w:color w:val="000000"/>
                <w:sz w:val="16"/>
                <w:szCs w:val="16"/>
              </w:rPr>
              <w:t>0.0</w:t>
            </w:r>
          </w:p>
        </w:tc>
        <w:tc>
          <w:tcPr>
            <w:tcW w:w="944" w:type="dxa"/>
            <w:noWrap/>
            <w:hideMark/>
          </w:tcPr>
          <w:p w14:paraId="502EBDC1" w14:textId="77777777" w:rsidR="00C15F2E" w:rsidRPr="00D96063" w:rsidRDefault="00C15F2E" w:rsidP="002A3F9E">
            <w:pPr>
              <w:jc w:val="right"/>
              <w:rPr>
                <w:rFonts w:cs="Calibri"/>
                <w:color w:val="000000"/>
                <w:sz w:val="16"/>
                <w:szCs w:val="16"/>
              </w:rPr>
            </w:pPr>
            <w:r w:rsidRPr="00D96063">
              <w:rPr>
                <w:rFonts w:cs="Calibri"/>
                <w:color w:val="000000"/>
                <w:sz w:val="16"/>
                <w:szCs w:val="16"/>
              </w:rPr>
              <w:t>473.9</w:t>
            </w:r>
          </w:p>
        </w:tc>
        <w:tc>
          <w:tcPr>
            <w:tcW w:w="945" w:type="dxa"/>
            <w:noWrap/>
            <w:hideMark/>
          </w:tcPr>
          <w:p w14:paraId="2C32703A" w14:textId="77777777" w:rsidR="00C15F2E" w:rsidRPr="00D96063" w:rsidRDefault="00C15F2E" w:rsidP="002A3F9E">
            <w:pPr>
              <w:jc w:val="right"/>
              <w:rPr>
                <w:rFonts w:cs="Calibri"/>
                <w:color w:val="000000"/>
                <w:sz w:val="16"/>
                <w:szCs w:val="16"/>
              </w:rPr>
            </w:pPr>
            <w:r w:rsidRPr="00D96063">
              <w:rPr>
                <w:rFonts w:cs="Calibri"/>
                <w:color w:val="000000"/>
                <w:sz w:val="16"/>
                <w:szCs w:val="16"/>
              </w:rPr>
              <w:t>274.3</w:t>
            </w:r>
          </w:p>
        </w:tc>
        <w:tc>
          <w:tcPr>
            <w:tcW w:w="944" w:type="dxa"/>
            <w:noWrap/>
            <w:hideMark/>
          </w:tcPr>
          <w:p w14:paraId="2608361E" w14:textId="77777777" w:rsidR="00C15F2E" w:rsidRPr="00D96063" w:rsidRDefault="00C15F2E" w:rsidP="002A3F9E">
            <w:pPr>
              <w:jc w:val="right"/>
              <w:rPr>
                <w:rFonts w:cs="Calibri"/>
                <w:color w:val="000000"/>
                <w:sz w:val="16"/>
                <w:szCs w:val="16"/>
              </w:rPr>
            </w:pPr>
            <w:r w:rsidRPr="00D96063">
              <w:rPr>
                <w:rFonts w:cs="Calibri"/>
                <w:color w:val="000000"/>
                <w:sz w:val="16"/>
                <w:szCs w:val="16"/>
              </w:rPr>
              <w:t>242.2</w:t>
            </w:r>
          </w:p>
        </w:tc>
        <w:tc>
          <w:tcPr>
            <w:tcW w:w="945" w:type="dxa"/>
            <w:noWrap/>
            <w:hideMark/>
          </w:tcPr>
          <w:p w14:paraId="2410D698" w14:textId="77777777" w:rsidR="00C15F2E" w:rsidRPr="00D96063" w:rsidRDefault="00C15F2E" w:rsidP="002A3F9E">
            <w:pPr>
              <w:jc w:val="right"/>
              <w:rPr>
                <w:rFonts w:cs="Calibri"/>
                <w:color w:val="000000"/>
                <w:sz w:val="16"/>
                <w:szCs w:val="16"/>
              </w:rPr>
            </w:pPr>
            <w:r w:rsidRPr="00D96063">
              <w:rPr>
                <w:rFonts w:cs="Calibri"/>
                <w:color w:val="000000"/>
                <w:sz w:val="16"/>
                <w:szCs w:val="16"/>
              </w:rPr>
              <w:t>257.8</w:t>
            </w:r>
          </w:p>
        </w:tc>
        <w:tc>
          <w:tcPr>
            <w:tcW w:w="944" w:type="dxa"/>
            <w:noWrap/>
            <w:hideMark/>
          </w:tcPr>
          <w:p w14:paraId="350559D0" w14:textId="77777777" w:rsidR="00C15F2E" w:rsidRPr="00D96063" w:rsidRDefault="00C15F2E" w:rsidP="002A3F9E">
            <w:pPr>
              <w:jc w:val="right"/>
              <w:rPr>
                <w:rFonts w:cs="Calibri"/>
                <w:color w:val="000000"/>
                <w:sz w:val="16"/>
                <w:szCs w:val="16"/>
              </w:rPr>
            </w:pPr>
            <w:r w:rsidRPr="00D96063">
              <w:rPr>
                <w:rFonts w:cs="Calibri"/>
                <w:color w:val="000000"/>
                <w:sz w:val="16"/>
                <w:szCs w:val="16"/>
              </w:rPr>
              <w:t>257.1</w:t>
            </w:r>
          </w:p>
        </w:tc>
        <w:tc>
          <w:tcPr>
            <w:tcW w:w="945" w:type="dxa"/>
            <w:noWrap/>
            <w:hideMark/>
          </w:tcPr>
          <w:p w14:paraId="29535D2D" w14:textId="77777777" w:rsidR="00C15F2E" w:rsidRPr="00D96063" w:rsidRDefault="00C15F2E" w:rsidP="002A3F9E">
            <w:pPr>
              <w:jc w:val="right"/>
              <w:rPr>
                <w:rFonts w:cs="Calibri"/>
                <w:color w:val="000000"/>
                <w:sz w:val="16"/>
                <w:szCs w:val="16"/>
              </w:rPr>
            </w:pPr>
            <w:r w:rsidRPr="00D96063">
              <w:rPr>
                <w:rFonts w:cs="Calibri"/>
                <w:color w:val="000000"/>
                <w:sz w:val="16"/>
                <w:szCs w:val="16"/>
              </w:rPr>
              <w:t>250.1</w:t>
            </w:r>
          </w:p>
        </w:tc>
      </w:tr>
      <w:tr w:rsidR="00C15F2E" w:rsidRPr="00D96063" w14:paraId="7D565B27"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380AE0B3" w14:textId="77777777" w:rsidR="00C15F2E" w:rsidRPr="00D96063" w:rsidRDefault="00C15F2E" w:rsidP="002A3F9E">
            <w:pPr>
              <w:ind w:left="284" w:hanging="284"/>
              <w:jc w:val="left"/>
              <w:rPr>
                <w:rFonts w:cs="Calibri"/>
                <w:color w:val="000000"/>
                <w:sz w:val="16"/>
                <w:szCs w:val="16"/>
              </w:rPr>
            </w:pPr>
            <w:r w:rsidRPr="00D96063">
              <w:rPr>
                <w:rFonts w:cs="Calibri"/>
                <w:color w:val="000000"/>
                <w:sz w:val="16"/>
                <w:szCs w:val="16"/>
              </w:rPr>
              <w:tab/>
              <w:t>Financial account (net), of which:</w:t>
            </w:r>
          </w:p>
        </w:tc>
        <w:tc>
          <w:tcPr>
            <w:tcW w:w="944" w:type="dxa"/>
            <w:noWrap/>
            <w:hideMark/>
          </w:tcPr>
          <w:p w14:paraId="145B0F44" w14:textId="77777777" w:rsidR="00C15F2E" w:rsidRPr="00D96063" w:rsidRDefault="00C15F2E" w:rsidP="002A3F9E">
            <w:pPr>
              <w:jc w:val="right"/>
              <w:rPr>
                <w:rFonts w:cs="Calibri"/>
                <w:color w:val="000000"/>
                <w:sz w:val="16"/>
                <w:szCs w:val="16"/>
              </w:rPr>
            </w:pPr>
            <w:r w:rsidRPr="00D96063">
              <w:rPr>
                <w:rFonts w:cs="Calibri"/>
                <w:color w:val="000000"/>
                <w:sz w:val="16"/>
                <w:szCs w:val="16"/>
              </w:rPr>
              <w:t>3,752.8</w:t>
            </w:r>
          </w:p>
        </w:tc>
        <w:tc>
          <w:tcPr>
            <w:tcW w:w="944" w:type="dxa"/>
            <w:noWrap/>
            <w:hideMark/>
          </w:tcPr>
          <w:p w14:paraId="04656E30" w14:textId="77777777" w:rsidR="00C15F2E" w:rsidRPr="00D96063" w:rsidRDefault="00C15F2E" w:rsidP="002A3F9E">
            <w:pPr>
              <w:jc w:val="right"/>
              <w:rPr>
                <w:rFonts w:cs="Calibri"/>
                <w:color w:val="000000"/>
                <w:sz w:val="16"/>
                <w:szCs w:val="16"/>
              </w:rPr>
            </w:pPr>
            <w:r w:rsidRPr="00D96063">
              <w:rPr>
                <w:rFonts w:cs="Calibri"/>
                <w:color w:val="000000"/>
                <w:sz w:val="16"/>
                <w:szCs w:val="16"/>
              </w:rPr>
              <w:t>2,649.4</w:t>
            </w:r>
          </w:p>
        </w:tc>
        <w:tc>
          <w:tcPr>
            <w:tcW w:w="945" w:type="dxa"/>
            <w:noWrap/>
            <w:hideMark/>
          </w:tcPr>
          <w:p w14:paraId="4240C9AE" w14:textId="77777777" w:rsidR="00C15F2E" w:rsidRPr="00D96063" w:rsidRDefault="00C15F2E" w:rsidP="002A3F9E">
            <w:pPr>
              <w:jc w:val="right"/>
              <w:rPr>
                <w:rFonts w:cs="Calibri"/>
                <w:color w:val="000000"/>
                <w:sz w:val="16"/>
                <w:szCs w:val="16"/>
              </w:rPr>
            </w:pPr>
            <w:r w:rsidRPr="00D96063">
              <w:rPr>
                <w:rFonts w:cs="Calibri"/>
                <w:color w:val="000000"/>
                <w:sz w:val="16"/>
                <w:szCs w:val="16"/>
              </w:rPr>
              <w:t>2,283.6</w:t>
            </w:r>
          </w:p>
        </w:tc>
        <w:tc>
          <w:tcPr>
            <w:tcW w:w="944" w:type="dxa"/>
            <w:noWrap/>
            <w:hideMark/>
          </w:tcPr>
          <w:p w14:paraId="4A85F26D" w14:textId="77777777" w:rsidR="00C15F2E" w:rsidRPr="00D96063" w:rsidRDefault="00C15F2E" w:rsidP="002A3F9E">
            <w:pPr>
              <w:jc w:val="right"/>
              <w:rPr>
                <w:rFonts w:cs="Calibri"/>
                <w:color w:val="000000"/>
                <w:sz w:val="16"/>
                <w:szCs w:val="16"/>
              </w:rPr>
            </w:pPr>
            <w:r w:rsidRPr="00D96063">
              <w:rPr>
                <w:rFonts w:cs="Calibri"/>
                <w:color w:val="000000"/>
                <w:sz w:val="16"/>
                <w:szCs w:val="16"/>
              </w:rPr>
              <w:t>2,773.5</w:t>
            </w:r>
          </w:p>
        </w:tc>
        <w:tc>
          <w:tcPr>
            <w:tcW w:w="945" w:type="dxa"/>
            <w:noWrap/>
            <w:hideMark/>
          </w:tcPr>
          <w:p w14:paraId="0FB20DC0" w14:textId="77777777" w:rsidR="00C15F2E" w:rsidRPr="00D96063" w:rsidRDefault="00C15F2E" w:rsidP="002A3F9E">
            <w:pPr>
              <w:jc w:val="right"/>
              <w:rPr>
                <w:rFonts w:cs="Calibri"/>
                <w:color w:val="000000"/>
                <w:sz w:val="16"/>
                <w:szCs w:val="16"/>
              </w:rPr>
            </w:pPr>
            <w:r w:rsidRPr="00D96063">
              <w:rPr>
                <w:rFonts w:cs="Calibri"/>
                <w:color w:val="000000"/>
                <w:sz w:val="16"/>
                <w:szCs w:val="16"/>
              </w:rPr>
              <w:t>1,242.6</w:t>
            </w:r>
          </w:p>
        </w:tc>
        <w:tc>
          <w:tcPr>
            <w:tcW w:w="944" w:type="dxa"/>
            <w:noWrap/>
            <w:hideMark/>
          </w:tcPr>
          <w:p w14:paraId="3CC64389" w14:textId="77777777" w:rsidR="00C15F2E" w:rsidRPr="00D96063" w:rsidRDefault="00C15F2E" w:rsidP="002A3F9E">
            <w:pPr>
              <w:jc w:val="right"/>
              <w:rPr>
                <w:rFonts w:cs="Calibri"/>
                <w:color w:val="000000"/>
                <w:sz w:val="16"/>
                <w:szCs w:val="16"/>
              </w:rPr>
            </w:pPr>
            <w:r w:rsidRPr="00D96063">
              <w:rPr>
                <w:rFonts w:cs="Calibri"/>
                <w:color w:val="000000"/>
                <w:sz w:val="16"/>
                <w:szCs w:val="16"/>
              </w:rPr>
              <w:t>2,810.5</w:t>
            </w:r>
          </w:p>
        </w:tc>
        <w:tc>
          <w:tcPr>
            <w:tcW w:w="945" w:type="dxa"/>
            <w:noWrap/>
            <w:hideMark/>
          </w:tcPr>
          <w:p w14:paraId="1D19AEDF" w14:textId="77777777" w:rsidR="00C15F2E" w:rsidRPr="00D96063" w:rsidRDefault="00C15F2E" w:rsidP="002A3F9E">
            <w:pPr>
              <w:jc w:val="right"/>
              <w:rPr>
                <w:rFonts w:cs="Calibri"/>
                <w:color w:val="000000"/>
                <w:sz w:val="16"/>
                <w:szCs w:val="16"/>
              </w:rPr>
            </w:pPr>
            <w:r w:rsidRPr="00D96063">
              <w:rPr>
                <w:rFonts w:cs="Calibri"/>
                <w:color w:val="000000"/>
                <w:sz w:val="16"/>
                <w:szCs w:val="16"/>
              </w:rPr>
              <w:t>2,637.1</w:t>
            </w:r>
          </w:p>
        </w:tc>
      </w:tr>
      <w:tr w:rsidR="00C15F2E" w:rsidRPr="00D96063" w14:paraId="3869A161" w14:textId="77777777" w:rsidTr="002A3F9E">
        <w:trPr>
          <w:trHeight w:val="240"/>
        </w:trPr>
        <w:tc>
          <w:tcPr>
            <w:tcW w:w="2405" w:type="dxa"/>
            <w:noWrap/>
            <w:hideMark/>
          </w:tcPr>
          <w:p w14:paraId="74F3E592" w14:textId="77777777" w:rsidR="00C15F2E" w:rsidRPr="00D96063" w:rsidRDefault="00C15F2E" w:rsidP="002A3F9E">
            <w:pPr>
              <w:ind w:left="567" w:hanging="567"/>
              <w:jc w:val="left"/>
              <w:rPr>
                <w:rFonts w:cs="Calibri"/>
                <w:color w:val="000000"/>
                <w:sz w:val="14"/>
                <w:szCs w:val="14"/>
              </w:rPr>
            </w:pPr>
            <w:r w:rsidRPr="00D96063">
              <w:rPr>
                <w:rFonts w:cs="Calibri"/>
                <w:color w:val="000000"/>
                <w:sz w:val="14"/>
                <w:szCs w:val="14"/>
              </w:rPr>
              <w:tab/>
              <w:t>Direct investments</w:t>
            </w:r>
          </w:p>
        </w:tc>
        <w:tc>
          <w:tcPr>
            <w:tcW w:w="944" w:type="dxa"/>
            <w:noWrap/>
            <w:hideMark/>
          </w:tcPr>
          <w:p w14:paraId="4BBAFC5D" w14:textId="77777777" w:rsidR="00C15F2E" w:rsidRPr="00D96063" w:rsidRDefault="00C15F2E" w:rsidP="002A3F9E">
            <w:pPr>
              <w:jc w:val="right"/>
              <w:rPr>
                <w:rFonts w:cs="Calibri"/>
                <w:color w:val="000000"/>
                <w:sz w:val="16"/>
                <w:szCs w:val="16"/>
              </w:rPr>
            </w:pPr>
            <w:r w:rsidRPr="00D96063">
              <w:rPr>
                <w:rFonts w:cs="Calibri"/>
                <w:color w:val="000000"/>
                <w:sz w:val="16"/>
                <w:szCs w:val="16"/>
              </w:rPr>
              <w:t>3,357.0</w:t>
            </w:r>
          </w:p>
        </w:tc>
        <w:tc>
          <w:tcPr>
            <w:tcW w:w="944" w:type="dxa"/>
            <w:noWrap/>
            <w:hideMark/>
          </w:tcPr>
          <w:p w14:paraId="5F704C08" w14:textId="77777777" w:rsidR="00C15F2E" w:rsidRPr="00D96063" w:rsidRDefault="00C15F2E" w:rsidP="002A3F9E">
            <w:pPr>
              <w:jc w:val="right"/>
              <w:rPr>
                <w:rFonts w:cs="Calibri"/>
                <w:color w:val="000000"/>
                <w:sz w:val="16"/>
                <w:szCs w:val="16"/>
              </w:rPr>
            </w:pPr>
            <w:r w:rsidRPr="00D96063">
              <w:rPr>
                <w:rFonts w:cs="Calibri"/>
                <w:color w:val="000000"/>
                <w:sz w:val="16"/>
                <w:szCs w:val="16"/>
              </w:rPr>
              <w:t>2,970.9</w:t>
            </w:r>
          </w:p>
        </w:tc>
        <w:tc>
          <w:tcPr>
            <w:tcW w:w="945" w:type="dxa"/>
            <w:noWrap/>
            <w:hideMark/>
          </w:tcPr>
          <w:p w14:paraId="7221BD59" w14:textId="77777777" w:rsidR="00C15F2E" w:rsidRPr="00D96063" w:rsidRDefault="00C15F2E" w:rsidP="002A3F9E">
            <w:pPr>
              <w:jc w:val="right"/>
              <w:rPr>
                <w:rFonts w:cs="Calibri"/>
                <w:color w:val="000000"/>
                <w:sz w:val="16"/>
                <w:szCs w:val="16"/>
              </w:rPr>
            </w:pPr>
            <w:r w:rsidRPr="00D96063">
              <w:rPr>
                <w:rFonts w:cs="Calibri"/>
                <w:color w:val="000000"/>
                <w:sz w:val="16"/>
                <w:szCs w:val="16"/>
              </w:rPr>
              <w:t>3,470.7</w:t>
            </w:r>
          </w:p>
        </w:tc>
        <w:tc>
          <w:tcPr>
            <w:tcW w:w="944" w:type="dxa"/>
            <w:noWrap/>
            <w:hideMark/>
          </w:tcPr>
          <w:p w14:paraId="1369F57F" w14:textId="77777777" w:rsidR="00C15F2E" w:rsidRPr="00D96063" w:rsidRDefault="00C15F2E" w:rsidP="002A3F9E">
            <w:pPr>
              <w:jc w:val="right"/>
              <w:rPr>
                <w:rFonts w:cs="Calibri"/>
                <w:color w:val="000000"/>
                <w:sz w:val="16"/>
                <w:szCs w:val="16"/>
              </w:rPr>
            </w:pPr>
            <w:r w:rsidRPr="00D96063">
              <w:rPr>
                <w:rFonts w:cs="Calibri"/>
                <w:color w:val="000000"/>
                <w:sz w:val="16"/>
                <w:szCs w:val="16"/>
              </w:rPr>
              <w:t>3,239.1</w:t>
            </w:r>
          </w:p>
        </w:tc>
        <w:tc>
          <w:tcPr>
            <w:tcW w:w="945" w:type="dxa"/>
            <w:noWrap/>
            <w:hideMark/>
          </w:tcPr>
          <w:p w14:paraId="62FBCDD8" w14:textId="77777777" w:rsidR="00C15F2E" w:rsidRPr="00D96063" w:rsidRDefault="00C15F2E" w:rsidP="002A3F9E">
            <w:pPr>
              <w:jc w:val="right"/>
              <w:rPr>
                <w:rFonts w:cs="Calibri"/>
                <w:color w:val="000000"/>
                <w:sz w:val="16"/>
                <w:szCs w:val="16"/>
              </w:rPr>
            </w:pPr>
            <w:r w:rsidRPr="00D96063">
              <w:rPr>
                <w:rFonts w:cs="Calibri"/>
                <w:color w:val="000000"/>
                <w:sz w:val="16"/>
                <w:szCs w:val="16"/>
              </w:rPr>
              <w:t>2,908.2</w:t>
            </w:r>
          </w:p>
        </w:tc>
        <w:tc>
          <w:tcPr>
            <w:tcW w:w="944" w:type="dxa"/>
            <w:noWrap/>
            <w:hideMark/>
          </w:tcPr>
          <w:p w14:paraId="7114C6F6" w14:textId="77777777" w:rsidR="00C15F2E" w:rsidRPr="00D96063" w:rsidRDefault="00C15F2E" w:rsidP="002A3F9E">
            <w:pPr>
              <w:jc w:val="right"/>
              <w:rPr>
                <w:rFonts w:cs="Calibri"/>
                <w:color w:val="000000"/>
                <w:sz w:val="16"/>
                <w:szCs w:val="16"/>
              </w:rPr>
            </w:pPr>
            <w:r w:rsidRPr="00D96063">
              <w:rPr>
                <w:rFonts w:cs="Calibri"/>
                <w:color w:val="000000"/>
                <w:sz w:val="16"/>
                <w:szCs w:val="16"/>
              </w:rPr>
              <w:t>3,292.1</w:t>
            </w:r>
          </w:p>
        </w:tc>
        <w:tc>
          <w:tcPr>
            <w:tcW w:w="945" w:type="dxa"/>
            <w:noWrap/>
            <w:hideMark/>
          </w:tcPr>
          <w:p w14:paraId="4521AFFF" w14:textId="77777777" w:rsidR="00C15F2E" w:rsidRPr="00D96063" w:rsidRDefault="00C15F2E" w:rsidP="002A3F9E">
            <w:pPr>
              <w:jc w:val="right"/>
              <w:rPr>
                <w:rFonts w:cs="Calibri"/>
                <w:color w:val="000000"/>
                <w:sz w:val="16"/>
                <w:szCs w:val="16"/>
              </w:rPr>
            </w:pPr>
            <w:r w:rsidRPr="00D96063">
              <w:rPr>
                <w:rFonts w:cs="Calibri"/>
                <w:color w:val="000000"/>
                <w:sz w:val="16"/>
                <w:szCs w:val="16"/>
              </w:rPr>
              <w:t>1,333.4</w:t>
            </w:r>
          </w:p>
        </w:tc>
      </w:tr>
      <w:tr w:rsidR="00C15F2E" w:rsidRPr="00D96063" w14:paraId="527739EF"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4760D49D" w14:textId="77777777" w:rsidR="00C15F2E" w:rsidRPr="00D96063" w:rsidRDefault="00C15F2E" w:rsidP="002A3F9E">
            <w:pPr>
              <w:ind w:left="567" w:hanging="567"/>
              <w:jc w:val="left"/>
              <w:rPr>
                <w:rFonts w:cs="Calibri"/>
                <w:color w:val="000000"/>
                <w:sz w:val="14"/>
                <w:szCs w:val="14"/>
              </w:rPr>
            </w:pPr>
            <w:r w:rsidRPr="00D96063">
              <w:rPr>
                <w:rFonts w:cs="Calibri"/>
                <w:color w:val="000000"/>
                <w:sz w:val="14"/>
                <w:szCs w:val="14"/>
              </w:rPr>
              <w:tab/>
              <w:t>Portfolio investments</w:t>
            </w:r>
          </w:p>
        </w:tc>
        <w:tc>
          <w:tcPr>
            <w:tcW w:w="944" w:type="dxa"/>
            <w:noWrap/>
            <w:hideMark/>
          </w:tcPr>
          <w:p w14:paraId="68C964B9" w14:textId="77777777" w:rsidR="00C15F2E" w:rsidRPr="00D96063" w:rsidRDefault="00C15F2E" w:rsidP="002A3F9E">
            <w:pPr>
              <w:jc w:val="right"/>
              <w:rPr>
                <w:rFonts w:cs="Calibri"/>
                <w:color w:val="000000"/>
                <w:sz w:val="16"/>
                <w:szCs w:val="16"/>
              </w:rPr>
            </w:pPr>
            <w:r w:rsidRPr="00D96063">
              <w:rPr>
                <w:rFonts w:cs="Calibri"/>
                <w:color w:val="000000"/>
                <w:sz w:val="16"/>
                <w:szCs w:val="16"/>
              </w:rPr>
              <w:t>835.9</w:t>
            </w:r>
          </w:p>
        </w:tc>
        <w:tc>
          <w:tcPr>
            <w:tcW w:w="944" w:type="dxa"/>
            <w:noWrap/>
            <w:hideMark/>
          </w:tcPr>
          <w:p w14:paraId="1129F74F" w14:textId="77777777" w:rsidR="00C15F2E" w:rsidRPr="00D96063" w:rsidRDefault="00C15F2E" w:rsidP="002A3F9E">
            <w:pPr>
              <w:jc w:val="right"/>
              <w:rPr>
                <w:rFonts w:cs="Calibri"/>
                <w:color w:val="000000"/>
                <w:sz w:val="16"/>
                <w:szCs w:val="16"/>
              </w:rPr>
            </w:pPr>
            <w:r w:rsidRPr="00D96063">
              <w:rPr>
                <w:rFonts w:cs="Calibri"/>
                <w:color w:val="000000"/>
                <w:sz w:val="16"/>
                <w:szCs w:val="16"/>
              </w:rPr>
              <w:t>900.0</w:t>
            </w:r>
          </w:p>
        </w:tc>
        <w:tc>
          <w:tcPr>
            <w:tcW w:w="945" w:type="dxa"/>
            <w:noWrap/>
            <w:hideMark/>
          </w:tcPr>
          <w:p w14:paraId="12014CF8" w14:textId="77777777" w:rsidR="00C15F2E" w:rsidRPr="00D96063" w:rsidRDefault="00C15F2E" w:rsidP="002A3F9E">
            <w:pPr>
              <w:jc w:val="right"/>
              <w:rPr>
                <w:rFonts w:cs="Calibri"/>
                <w:color w:val="000000"/>
                <w:sz w:val="16"/>
                <w:szCs w:val="16"/>
              </w:rPr>
            </w:pPr>
            <w:r w:rsidRPr="00D96063">
              <w:rPr>
                <w:rFonts w:cs="Calibri"/>
                <w:color w:val="000000"/>
                <w:sz w:val="16"/>
                <w:szCs w:val="16"/>
              </w:rPr>
              <w:t>553.7</w:t>
            </w:r>
          </w:p>
        </w:tc>
        <w:tc>
          <w:tcPr>
            <w:tcW w:w="944" w:type="dxa"/>
            <w:noWrap/>
            <w:hideMark/>
          </w:tcPr>
          <w:p w14:paraId="56F29392" w14:textId="77777777" w:rsidR="00C15F2E" w:rsidRPr="00D96063" w:rsidRDefault="00C15F2E" w:rsidP="002A3F9E">
            <w:pPr>
              <w:jc w:val="right"/>
              <w:rPr>
                <w:rFonts w:cs="Calibri"/>
                <w:color w:val="000000"/>
                <w:sz w:val="16"/>
                <w:szCs w:val="16"/>
              </w:rPr>
            </w:pPr>
            <w:r w:rsidRPr="00D96063">
              <w:rPr>
                <w:rFonts w:cs="Calibri"/>
                <w:color w:val="000000"/>
                <w:sz w:val="16"/>
                <w:szCs w:val="16"/>
              </w:rPr>
              <w:t>2,536.1</w:t>
            </w:r>
          </w:p>
        </w:tc>
        <w:tc>
          <w:tcPr>
            <w:tcW w:w="945" w:type="dxa"/>
            <w:noWrap/>
            <w:hideMark/>
          </w:tcPr>
          <w:p w14:paraId="33141AD6" w14:textId="77777777" w:rsidR="00C15F2E" w:rsidRPr="00D96063" w:rsidRDefault="00C15F2E" w:rsidP="002A3F9E">
            <w:pPr>
              <w:jc w:val="right"/>
              <w:rPr>
                <w:rFonts w:cs="Calibri"/>
                <w:color w:val="000000"/>
                <w:sz w:val="16"/>
                <w:szCs w:val="16"/>
              </w:rPr>
            </w:pPr>
            <w:r w:rsidRPr="00D96063">
              <w:rPr>
                <w:rFonts w:cs="Calibri"/>
                <w:color w:val="000000"/>
                <w:sz w:val="16"/>
                <w:szCs w:val="16"/>
              </w:rPr>
              <w:t>929.0</w:t>
            </w:r>
          </w:p>
        </w:tc>
        <w:tc>
          <w:tcPr>
            <w:tcW w:w="944" w:type="dxa"/>
            <w:noWrap/>
            <w:hideMark/>
          </w:tcPr>
          <w:p w14:paraId="25565292" w14:textId="77777777" w:rsidR="00C15F2E" w:rsidRPr="00D96063" w:rsidRDefault="00C15F2E" w:rsidP="002A3F9E">
            <w:pPr>
              <w:jc w:val="right"/>
              <w:rPr>
                <w:rFonts w:cs="Calibri"/>
                <w:color w:val="000000"/>
                <w:sz w:val="16"/>
                <w:szCs w:val="16"/>
              </w:rPr>
            </w:pPr>
            <w:r w:rsidRPr="00D96063">
              <w:rPr>
                <w:rFonts w:cs="Calibri"/>
                <w:color w:val="000000"/>
                <w:sz w:val="16"/>
                <w:szCs w:val="16"/>
              </w:rPr>
              <w:t>2,297.7</w:t>
            </w:r>
          </w:p>
        </w:tc>
        <w:tc>
          <w:tcPr>
            <w:tcW w:w="945" w:type="dxa"/>
            <w:noWrap/>
            <w:hideMark/>
          </w:tcPr>
          <w:p w14:paraId="7BAA61CF" w14:textId="77777777" w:rsidR="00C15F2E" w:rsidRPr="00D96063" w:rsidRDefault="00C15F2E" w:rsidP="002A3F9E">
            <w:pPr>
              <w:jc w:val="right"/>
              <w:rPr>
                <w:rFonts w:cs="Calibri"/>
                <w:color w:val="000000"/>
                <w:sz w:val="16"/>
                <w:szCs w:val="16"/>
              </w:rPr>
            </w:pPr>
            <w:r w:rsidRPr="00D96063">
              <w:rPr>
                <w:rFonts w:cs="Calibri"/>
                <w:color w:val="000000"/>
                <w:sz w:val="16"/>
                <w:szCs w:val="16"/>
              </w:rPr>
              <w:t>1,561.2</w:t>
            </w:r>
          </w:p>
        </w:tc>
      </w:tr>
      <w:tr w:rsidR="00C15F2E" w:rsidRPr="00D96063" w14:paraId="280AB920" w14:textId="77777777" w:rsidTr="002A3F9E">
        <w:trPr>
          <w:trHeight w:val="240"/>
        </w:trPr>
        <w:tc>
          <w:tcPr>
            <w:tcW w:w="2405" w:type="dxa"/>
            <w:noWrap/>
            <w:hideMark/>
          </w:tcPr>
          <w:p w14:paraId="42F669DB" w14:textId="77777777" w:rsidR="00C15F2E" w:rsidRPr="00D96063" w:rsidRDefault="00C15F2E" w:rsidP="002A3F9E">
            <w:pPr>
              <w:ind w:left="567" w:hanging="567"/>
              <w:jc w:val="left"/>
              <w:rPr>
                <w:rFonts w:cs="Calibri"/>
                <w:color w:val="000000"/>
                <w:sz w:val="14"/>
                <w:szCs w:val="14"/>
              </w:rPr>
            </w:pPr>
            <w:r w:rsidRPr="00D96063">
              <w:rPr>
                <w:rFonts w:cs="Calibri"/>
                <w:color w:val="000000"/>
                <w:sz w:val="14"/>
                <w:szCs w:val="14"/>
              </w:rPr>
              <w:tab/>
              <w:t>Financial derivatives</w:t>
            </w:r>
          </w:p>
        </w:tc>
        <w:tc>
          <w:tcPr>
            <w:tcW w:w="944" w:type="dxa"/>
            <w:noWrap/>
            <w:hideMark/>
          </w:tcPr>
          <w:p w14:paraId="0247BCD8" w14:textId="77777777" w:rsidR="00C15F2E" w:rsidRPr="00D96063" w:rsidRDefault="00C15F2E" w:rsidP="002A3F9E">
            <w:pPr>
              <w:jc w:val="right"/>
              <w:rPr>
                <w:rFonts w:cs="Calibri"/>
                <w:color w:val="000000"/>
                <w:sz w:val="16"/>
                <w:szCs w:val="16"/>
              </w:rPr>
            </w:pPr>
            <w:r w:rsidRPr="00D96063">
              <w:rPr>
                <w:rFonts w:cs="Calibri"/>
                <w:color w:val="000000"/>
                <w:sz w:val="16"/>
                <w:szCs w:val="16"/>
              </w:rPr>
              <w:t>..</w:t>
            </w:r>
          </w:p>
        </w:tc>
        <w:tc>
          <w:tcPr>
            <w:tcW w:w="944" w:type="dxa"/>
            <w:noWrap/>
            <w:hideMark/>
          </w:tcPr>
          <w:p w14:paraId="15246C7C" w14:textId="77777777" w:rsidR="00C15F2E" w:rsidRPr="00D96063" w:rsidRDefault="00C15F2E" w:rsidP="002A3F9E">
            <w:pPr>
              <w:jc w:val="right"/>
              <w:rPr>
                <w:rFonts w:cs="Calibri"/>
                <w:color w:val="000000"/>
                <w:sz w:val="16"/>
                <w:szCs w:val="16"/>
              </w:rPr>
            </w:pPr>
            <w:r w:rsidRPr="00D96063">
              <w:rPr>
                <w:rFonts w:cs="Calibri"/>
                <w:color w:val="000000"/>
                <w:sz w:val="16"/>
                <w:szCs w:val="16"/>
              </w:rPr>
              <w:t>..</w:t>
            </w:r>
          </w:p>
        </w:tc>
        <w:tc>
          <w:tcPr>
            <w:tcW w:w="945" w:type="dxa"/>
            <w:noWrap/>
            <w:hideMark/>
          </w:tcPr>
          <w:p w14:paraId="31628580" w14:textId="77777777" w:rsidR="00C15F2E" w:rsidRPr="00D96063" w:rsidRDefault="00C15F2E" w:rsidP="002A3F9E">
            <w:pPr>
              <w:jc w:val="right"/>
              <w:rPr>
                <w:rFonts w:cs="Calibri"/>
                <w:color w:val="000000"/>
                <w:sz w:val="16"/>
                <w:szCs w:val="16"/>
              </w:rPr>
            </w:pPr>
            <w:r w:rsidRPr="00D96063">
              <w:rPr>
                <w:rFonts w:cs="Calibri"/>
                <w:color w:val="000000"/>
                <w:sz w:val="16"/>
                <w:szCs w:val="16"/>
              </w:rPr>
              <w:t>..</w:t>
            </w:r>
          </w:p>
        </w:tc>
        <w:tc>
          <w:tcPr>
            <w:tcW w:w="944" w:type="dxa"/>
            <w:noWrap/>
            <w:hideMark/>
          </w:tcPr>
          <w:p w14:paraId="2BA84FAD" w14:textId="77777777" w:rsidR="00C15F2E" w:rsidRPr="00D96063" w:rsidRDefault="00C15F2E" w:rsidP="002A3F9E">
            <w:pPr>
              <w:jc w:val="right"/>
              <w:rPr>
                <w:rFonts w:cs="Calibri"/>
                <w:color w:val="000000"/>
                <w:sz w:val="16"/>
                <w:szCs w:val="16"/>
              </w:rPr>
            </w:pPr>
            <w:r w:rsidRPr="00D96063">
              <w:rPr>
                <w:rFonts w:cs="Calibri"/>
                <w:color w:val="000000"/>
                <w:sz w:val="16"/>
                <w:szCs w:val="16"/>
              </w:rPr>
              <w:t>-1,009.7</w:t>
            </w:r>
          </w:p>
        </w:tc>
        <w:tc>
          <w:tcPr>
            <w:tcW w:w="945" w:type="dxa"/>
            <w:noWrap/>
            <w:hideMark/>
          </w:tcPr>
          <w:p w14:paraId="730560F5" w14:textId="77777777" w:rsidR="00C15F2E" w:rsidRPr="00D96063" w:rsidRDefault="00C15F2E" w:rsidP="002A3F9E">
            <w:pPr>
              <w:jc w:val="right"/>
              <w:rPr>
                <w:rFonts w:cs="Calibri"/>
                <w:color w:val="000000"/>
                <w:sz w:val="16"/>
                <w:szCs w:val="16"/>
              </w:rPr>
            </w:pPr>
            <w:r w:rsidRPr="00D96063">
              <w:rPr>
                <w:rFonts w:cs="Calibri"/>
                <w:color w:val="000000"/>
                <w:sz w:val="16"/>
                <w:szCs w:val="16"/>
              </w:rPr>
              <w:t>1,493.1</w:t>
            </w:r>
          </w:p>
        </w:tc>
        <w:tc>
          <w:tcPr>
            <w:tcW w:w="944" w:type="dxa"/>
            <w:noWrap/>
            <w:hideMark/>
          </w:tcPr>
          <w:p w14:paraId="3065914A" w14:textId="77777777" w:rsidR="00C15F2E" w:rsidRPr="00D96063" w:rsidRDefault="00C15F2E" w:rsidP="002A3F9E">
            <w:pPr>
              <w:jc w:val="right"/>
              <w:rPr>
                <w:rFonts w:cs="Calibri"/>
                <w:color w:val="000000"/>
                <w:sz w:val="16"/>
                <w:szCs w:val="16"/>
              </w:rPr>
            </w:pPr>
            <w:r w:rsidRPr="00D96063">
              <w:rPr>
                <w:rFonts w:cs="Calibri"/>
                <w:color w:val="000000"/>
                <w:sz w:val="16"/>
                <w:szCs w:val="16"/>
              </w:rPr>
              <w:t>-85.8</w:t>
            </w:r>
          </w:p>
        </w:tc>
        <w:tc>
          <w:tcPr>
            <w:tcW w:w="945" w:type="dxa"/>
            <w:noWrap/>
            <w:hideMark/>
          </w:tcPr>
          <w:p w14:paraId="43838825" w14:textId="77777777" w:rsidR="00C15F2E" w:rsidRPr="00D96063" w:rsidRDefault="00C15F2E" w:rsidP="002A3F9E">
            <w:pPr>
              <w:jc w:val="right"/>
              <w:rPr>
                <w:rFonts w:cs="Calibri"/>
                <w:color w:val="000000"/>
                <w:sz w:val="16"/>
                <w:szCs w:val="16"/>
              </w:rPr>
            </w:pPr>
            <w:r w:rsidRPr="00D96063">
              <w:rPr>
                <w:rFonts w:cs="Calibri"/>
                <w:color w:val="000000"/>
                <w:sz w:val="16"/>
                <w:szCs w:val="16"/>
              </w:rPr>
              <w:t>329.7</w:t>
            </w:r>
          </w:p>
        </w:tc>
      </w:tr>
      <w:tr w:rsidR="00C15F2E" w:rsidRPr="00D96063" w14:paraId="0FCFB7DB"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3E6CD79E" w14:textId="77777777" w:rsidR="00C15F2E" w:rsidRPr="00D96063" w:rsidRDefault="00C15F2E" w:rsidP="002A3F9E">
            <w:pPr>
              <w:ind w:left="567" w:hanging="567"/>
              <w:jc w:val="left"/>
              <w:rPr>
                <w:rFonts w:cs="Calibri"/>
                <w:color w:val="000000"/>
                <w:sz w:val="14"/>
                <w:szCs w:val="14"/>
              </w:rPr>
            </w:pPr>
            <w:r w:rsidRPr="00D96063">
              <w:rPr>
                <w:rFonts w:cs="Calibri"/>
                <w:color w:val="000000"/>
                <w:sz w:val="14"/>
                <w:szCs w:val="14"/>
              </w:rPr>
              <w:tab/>
              <w:t>Other investment</w:t>
            </w:r>
          </w:p>
        </w:tc>
        <w:tc>
          <w:tcPr>
            <w:tcW w:w="944" w:type="dxa"/>
            <w:noWrap/>
            <w:hideMark/>
          </w:tcPr>
          <w:p w14:paraId="70989DD0" w14:textId="77777777" w:rsidR="00C15F2E" w:rsidRPr="00D96063" w:rsidRDefault="00C15F2E" w:rsidP="002A3F9E">
            <w:pPr>
              <w:jc w:val="right"/>
              <w:rPr>
                <w:rFonts w:cs="Calibri"/>
                <w:color w:val="000000"/>
                <w:sz w:val="16"/>
                <w:szCs w:val="16"/>
              </w:rPr>
            </w:pPr>
            <w:r w:rsidRPr="00D96063">
              <w:rPr>
                <w:rFonts w:cs="Calibri"/>
                <w:color w:val="000000"/>
                <w:sz w:val="16"/>
                <w:szCs w:val="16"/>
              </w:rPr>
              <w:t>-440.1</w:t>
            </w:r>
          </w:p>
        </w:tc>
        <w:tc>
          <w:tcPr>
            <w:tcW w:w="944" w:type="dxa"/>
            <w:noWrap/>
            <w:hideMark/>
          </w:tcPr>
          <w:p w14:paraId="29EB3777" w14:textId="77777777" w:rsidR="00C15F2E" w:rsidRPr="00D96063" w:rsidRDefault="00C15F2E" w:rsidP="002A3F9E">
            <w:pPr>
              <w:jc w:val="right"/>
              <w:rPr>
                <w:rFonts w:cs="Calibri"/>
                <w:color w:val="000000"/>
                <w:sz w:val="16"/>
                <w:szCs w:val="16"/>
              </w:rPr>
            </w:pPr>
            <w:r w:rsidRPr="00D96063">
              <w:rPr>
                <w:rFonts w:cs="Calibri"/>
                <w:color w:val="000000"/>
                <w:sz w:val="16"/>
                <w:szCs w:val="16"/>
              </w:rPr>
              <w:t>-1,221.5</w:t>
            </w:r>
          </w:p>
        </w:tc>
        <w:tc>
          <w:tcPr>
            <w:tcW w:w="945" w:type="dxa"/>
            <w:noWrap/>
            <w:hideMark/>
          </w:tcPr>
          <w:p w14:paraId="3FBB904B" w14:textId="77777777" w:rsidR="00C15F2E" w:rsidRPr="00D96063" w:rsidRDefault="00C15F2E" w:rsidP="002A3F9E">
            <w:pPr>
              <w:jc w:val="right"/>
              <w:rPr>
                <w:rFonts w:cs="Calibri"/>
                <w:color w:val="000000"/>
                <w:sz w:val="16"/>
                <w:szCs w:val="16"/>
              </w:rPr>
            </w:pPr>
            <w:r w:rsidRPr="00D96063">
              <w:rPr>
                <w:rFonts w:cs="Calibri"/>
                <w:color w:val="000000"/>
                <w:sz w:val="16"/>
                <w:szCs w:val="16"/>
              </w:rPr>
              <w:t>-1,530.9</w:t>
            </w:r>
          </w:p>
        </w:tc>
        <w:tc>
          <w:tcPr>
            <w:tcW w:w="944" w:type="dxa"/>
            <w:noWrap/>
            <w:hideMark/>
          </w:tcPr>
          <w:p w14:paraId="199B72B4" w14:textId="77777777" w:rsidR="00C15F2E" w:rsidRPr="00D96063" w:rsidRDefault="00C15F2E" w:rsidP="002A3F9E">
            <w:pPr>
              <w:jc w:val="right"/>
              <w:rPr>
                <w:rFonts w:cs="Calibri"/>
                <w:color w:val="000000"/>
                <w:sz w:val="16"/>
                <w:szCs w:val="16"/>
              </w:rPr>
            </w:pPr>
            <w:r w:rsidRPr="00D96063">
              <w:rPr>
                <w:rFonts w:cs="Calibri"/>
                <w:color w:val="000000"/>
                <w:sz w:val="16"/>
                <w:szCs w:val="16"/>
              </w:rPr>
              <w:t>-1,992.0</w:t>
            </w:r>
          </w:p>
        </w:tc>
        <w:tc>
          <w:tcPr>
            <w:tcW w:w="945" w:type="dxa"/>
            <w:noWrap/>
            <w:hideMark/>
          </w:tcPr>
          <w:p w14:paraId="7B8C149D" w14:textId="77777777" w:rsidR="00C15F2E" w:rsidRPr="00D96063" w:rsidRDefault="00C15F2E" w:rsidP="002A3F9E">
            <w:pPr>
              <w:jc w:val="right"/>
              <w:rPr>
                <w:rFonts w:cs="Calibri"/>
                <w:color w:val="000000"/>
                <w:sz w:val="16"/>
                <w:szCs w:val="16"/>
              </w:rPr>
            </w:pPr>
            <w:r w:rsidRPr="00D96063">
              <w:rPr>
                <w:rFonts w:cs="Calibri"/>
                <w:color w:val="000000"/>
                <w:sz w:val="16"/>
                <w:szCs w:val="16"/>
              </w:rPr>
              <w:t>-4,087.6</w:t>
            </w:r>
          </w:p>
        </w:tc>
        <w:tc>
          <w:tcPr>
            <w:tcW w:w="944" w:type="dxa"/>
            <w:noWrap/>
            <w:hideMark/>
          </w:tcPr>
          <w:p w14:paraId="47FFD833" w14:textId="77777777" w:rsidR="00C15F2E" w:rsidRPr="00D96063" w:rsidRDefault="00C15F2E" w:rsidP="002A3F9E">
            <w:pPr>
              <w:jc w:val="right"/>
              <w:rPr>
                <w:rFonts w:cs="Calibri"/>
                <w:color w:val="000000"/>
                <w:sz w:val="16"/>
                <w:szCs w:val="16"/>
              </w:rPr>
            </w:pPr>
            <w:r w:rsidRPr="00D96063">
              <w:rPr>
                <w:rFonts w:cs="Calibri"/>
                <w:color w:val="000000"/>
                <w:sz w:val="16"/>
                <w:szCs w:val="16"/>
              </w:rPr>
              <w:t>-2,693.4</w:t>
            </w:r>
          </w:p>
        </w:tc>
        <w:tc>
          <w:tcPr>
            <w:tcW w:w="945" w:type="dxa"/>
            <w:noWrap/>
            <w:hideMark/>
          </w:tcPr>
          <w:p w14:paraId="3D15FE76" w14:textId="77777777" w:rsidR="00C15F2E" w:rsidRPr="00D96063" w:rsidRDefault="00C15F2E" w:rsidP="002A3F9E">
            <w:pPr>
              <w:jc w:val="right"/>
              <w:rPr>
                <w:rFonts w:cs="Calibri"/>
                <w:color w:val="000000"/>
                <w:sz w:val="16"/>
                <w:szCs w:val="16"/>
              </w:rPr>
            </w:pPr>
            <w:r w:rsidRPr="00D96063">
              <w:rPr>
                <w:rFonts w:cs="Calibri"/>
                <w:color w:val="000000"/>
                <w:sz w:val="16"/>
                <w:szCs w:val="16"/>
              </w:rPr>
              <w:t>-587.2</w:t>
            </w:r>
          </w:p>
        </w:tc>
      </w:tr>
      <w:tr w:rsidR="00C15F2E" w:rsidRPr="00D96063" w14:paraId="543BCCCB" w14:textId="77777777" w:rsidTr="002A3F9E">
        <w:trPr>
          <w:trHeight w:val="240"/>
        </w:trPr>
        <w:tc>
          <w:tcPr>
            <w:tcW w:w="2405" w:type="dxa"/>
            <w:noWrap/>
            <w:hideMark/>
          </w:tcPr>
          <w:p w14:paraId="2ECD0EDF" w14:textId="77777777" w:rsidR="00C15F2E" w:rsidRPr="00D96063" w:rsidRDefault="00C15F2E" w:rsidP="002A3F9E">
            <w:pPr>
              <w:keepNext/>
              <w:jc w:val="left"/>
              <w:rPr>
                <w:rFonts w:cs="Calibri"/>
                <w:color w:val="000000"/>
                <w:sz w:val="16"/>
                <w:szCs w:val="16"/>
              </w:rPr>
            </w:pPr>
            <w:r w:rsidRPr="00D96063">
              <w:rPr>
                <w:rFonts w:cs="Calibri"/>
                <w:color w:val="000000"/>
                <w:sz w:val="16"/>
                <w:szCs w:val="16"/>
              </w:rPr>
              <w:t>Net errors and omissions</w:t>
            </w:r>
          </w:p>
        </w:tc>
        <w:tc>
          <w:tcPr>
            <w:tcW w:w="944" w:type="dxa"/>
            <w:noWrap/>
            <w:hideMark/>
          </w:tcPr>
          <w:p w14:paraId="0BC05157"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-144.4</w:t>
            </w:r>
          </w:p>
        </w:tc>
        <w:tc>
          <w:tcPr>
            <w:tcW w:w="944" w:type="dxa"/>
            <w:noWrap/>
            <w:hideMark/>
          </w:tcPr>
          <w:p w14:paraId="6BFD1F4A"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-315.4</w:t>
            </w:r>
          </w:p>
        </w:tc>
        <w:tc>
          <w:tcPr>
            <w:tcW w:w="945" w:type="dxa"/>
            <w:noWrap/>
            <w:hideMark/>
          </w:tcPr>
          <w:p w14:paraId="68A64BEC"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530.1</w:t>
            </w:r>
          </w:p>
        </w:tc>
        <w:tc>
          <w:tcPr>
            <w:tcW w:w="944" w:type="dxa"/>
            <w:noWrap/>
            <w:hideMark/>
          </w:tcPr>
          <w:p w14:paraId="4EBB8842"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78.3</w:t>
            </w:r>
          </w:p>
        </w:tc>
        <w:tc>
          <w:tcPr>
            <w:tcW w:w="945" w:type="dxa"/>
            <w:noWrap/>
            <w:hideMark/>
          </w:tcPr>
          <w:p w14:paraId="0B67188F"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-128.3</w:t>
            </w:r>
          </w:p>
        </w:tc>
        <w:tc>
          <w:tcPr>
            <w:tcW w:w="944" w:type="dxa"/>
            <w:noWrap/>
            <w:hideMark/>
          </w:tcPr>
          <w:p w14:paraId="0D25CB7E"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137.3</w:t>
            </w:r>
          </w:p>
        </w:tc>
        <w:tc>
          <w:tcPr>
            <w:tcW w:w="945" w:type="dxa"/>
            <w:noWrap/>
            <w:hideMark/>
          </w:tcPr>
          <w:p w14:paraId="7DFC5452"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-385.7</w:t>
            </w:r>
          </w:p>
        </w:tc>
      </w:tr>
      <w:tr w:rsidR="00C15F2E" w:rsidRPr="00D96063" w14:paraId="12AAE365" w14:textId="77777777" w:rsidTr="002A3F9E">
        <w:trPr>
          <w:cnfStyle w:val="000000010000" w:firstRow="0" w:lastRow="0" w:firstColumn="0" w:lastColumn="0" w:oddVBand="0" w:evenVBand="0" w:oddHBand="0" w:evenHBand="1" w:firstRowFirstColumn="0" w:firstRowLastColumn="0" w:lastRowFirstColumn="0" w:lastRowLastColumn="0"/>
          <w:trHeight w:val="240"/>
        </w:trPr>
        <w:tc>
          <w:tcPr>
            <w:tcW w:w="2405" w:type="dxa"/>
            <w:noWrap/>
            <w:hideMark/>
          </w:tcPr>
          <w:p w14:paraId="152C5D18" w14:textId="77777777" w:rsidR="00C15F2E" w:rsidRPr="00D96063" w:rsidRDefault="00C15F2E" w:rsidP="002A3F9E">
            <w:pPr>
              <w:keepNext/>
              <w:jc w:val="left"/>
              <w:rPr>
                <w:rFonts w:cs="Calibri"/>
                <w:color w:val="000000"/>
                <w:sz w:val="16"/>
                <w:szCs w:val="16"/>
              </w:rPr>
            </w:pPr>
            <w:r w:rsidRPr="00D96063">
              <w:rPr>
                <w:rFonts w:cs="Calibri"/>
                <w:color w:val="000000"/>
                <w:sz w:val="16"/>
                <w:szCs w:val="16"/>
              </w:rPr>
              <w:t>Overall balance</w:t>
            </w:r>
          </w:p>
        </w:tc>
        <w:tc>
          <w:tcPr>
            <w:tcW w:w="944" w:type="dxa"/>
            <w:noWrap/>
            <w:hideMark/>
          </w:tcPr>
          <w:p w14:paraId="61FC10EC"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-86.1</w:t>
            </w:r>
          </w:p>
        </w:tc>
        <w:tc>
          <w:tcPr>
            <w:tcW w:w="944" w:type="dxa"/>
            <w:noWrap/>
            <w:hideMark/>
          </w:tcPr>
          <w:p w14:paraId="1E221836"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-15.9</w:t>
            </w:r>
          </w:p>
        </w:tc>
        <w:tc>
          <w:tcPr>
            <w:tcW w:w="945" w:type="dxa"/>
            <w:noWrap/>
            <w:hideMark/>
          </w:tcPr>
          <w:p w14:paraId="1D07875E"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247.4</w:t>
            </w:r>
          </w:p>
        </w:tc>
        <w:tc>
          <w:tcPr>
            <w:tcW w:w="944" w:type="dxa"/>
            <w:noWrap/>
            <w:hideMark/>
          </w:tcPr>
          <w:p w14:paraId="44E0DA05"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1,091.4</w:t>
            </w:r>
          </w:p>
        </w:tc>
        <w:tc>
          <w:tcPr>
            <w:tcW w:w="945" w:type="dxa"/>
            <w:noWrap/>
            <w:hideMark/>
          </w:tcPr>
          <w:p w14:paraId="0118C67D"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-671.5</w:t>
            </w:r>
          </w:p>
        </w:tc>
        <w:tc>
          <w:tcPr>
            <w:tcW w:w="944" w:type="dxa"/>
            <w:noWrap/>
            <w:hideMark/>
          </w:tcPr>
          <w:p w14:paraId="2E8366A1"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1,341.0</w:t>
            </w:r>
          </w:p>
        </w:tc>
        <w:tc>
          <w:tcPr>
            <w:tcW w:w="945" w:type="dxa"/>
            <w:noWrap/>
            <w:hideMark/>
          </w:tcPr>
          <w:p w14:paraId="0204F154" w14:textId="77777777" w:rsidR="00C15F2E" w:rsidRPr="00D96063" w:rsidRDefault="00C15F2E" w:rsidP="002A3F9E">
            <w:pPr>
              <w:keepNext/>
              <w:jc w:val="right"/>
              <w:rPr>
                <w:rFonts w:cs="Calibri"/>
                <w:color w:val="000000"/>
                <w:sz w:val="16"/>
                <w:szCs w:val="16"/>
              </w:rPr>
            </w:pPr>
            <w:r w:rsidRPr="00D96063">
              <w:rPr>
                <w:rFonts w:cs="Calibri"/>
                <w:color w:val="000000"/>
                <w:sz w:val="16"/>
                <w:szCs w:val="16"/>
              </w:rPr>
              <w:t>367.5</w:t>
            </w:r>
          </w:p>
        </w:tc>
      </w:tr>
    </w:tbl>
    <w:p w14:paraId="40E25A8B" w14:textId="77777777" w:rsidR="00C15F2E" w:rsidRPr="00D96063" w:rsidRDefault="00C15F2E" w:rsidP="004E08B7">
      <w:pPr>
        <w:pStyle w:val="NoteText"/>
        <w:spacing w:before="120" w:after="120"/>
        <w:rPr>
          <w:lang w:eastAsia="en-GB"/>
        </w:rPr>
      </w:pPr>
      <w:r w:rsidRPr="00D96063">
        <w:rPr>
          <w:lang w:eastAsia="en-GB"/>
        </w:rPr>
        <w:t>..</w:t>
      </w:r>
      <w:r w:rsidRPr="00D96063">
        <w:rPr>
          <w:lang w:eastAsia="en-GB"/>
        </w:rPr>
        <w:tab/>
        <w:t>Not available.</w:t>
      </w:r>
    </w:p>
    <w:p w14:paraId="46B86C36" w14:textId="03EC267A" w:rsidR="00C15F2E" w:rsidRPr="00D96063" w:rsidRDefault="00CC3C7E" w:rsidP="004E08B7">
      <w:pPr>
        <w:pStyle w:val="NoteText"/>
        <w:spacing w:before="120" w:after="120"/>
        <w:rPr>
          <w:lang w:eastAsia="en-GB"/>
        </w:rPr>
      </w:pPr>
      <w:r>
        <w:rPr>
          <w:lang w:eastAsia="en-GB"/>
        </w:rPr>
        <w:t>a</w:t>
      </w:r>
      <w:r w:rsidR="00C15F2E" w:rsidRPr="00D96063">
        <w:rPr>
          <w:lang w:eastAsia="en-GB"/>
        </w:rPr>
        <w:tab/>
        <w:t>Provisional.</w:t>
      </w:r>
      <w:r w:rsidR="00C15F2E" w:rsidRPr="00D96063">
        <w:rPr>
          <w:lang w:eastAsia="en-GB"/>
        </w:rPr>
        <w:tab/>
      </w:r>
    </w:p>
    <w:p w14:paraId="2C1C3061" w14:textId="77777777" w:rsidR="00C15F2E" w:rsidRPr="00D96063" w:rsidRDefault="00C15F2E" w:rsidP="004E08B7">
      <w:pPr>
        <w:pStyle w:val="NoteText"/>
        <w:spacing w:before="120" w:after="240"/>
        <w:rPr>
          <w:lang w:eastAsia="en-GB"/>
        </w:rPr>
      </w:pPr>
      <w:r w:rsidRPr="00D96063">
        <w:rPr>
          <w:lang w:eastAsia="en-GB"/>
        </w:rPr>
        <w:t>Source:</w:t>
      </w:r>
      <w:r w:rsidRPr="00D96063">
        <w:rPr>
          <w:lang w:eastAsia="en-GB"/>
        </w:rPr>
        <w:tab/>
        <w:t xml:space="preserve">BoG, </w:t>
      </w:r>
      <w:r w:rsidRPr="00D96063">
        <w:rPr>
          <w:i/>
          <w:iCs/>
          <w:lang w:eastAsia="en-GB"/>
        </w:rPr>
        <w:t>Balance of Payments</w:t>
      </w:r>
      <w:r w:rsidRPr="00D96063">
        <w:rPr>
          <w:lang w:eastAsia="en-GB"/>
        </w:rPr>
        <w:t xml:space="preserve">. Viewed at: </w:t>
      </w:r>
      <w:hyperlink r:id="rId19" w:history="1">
        <w:r w:rsidRPr="00D96063">
          <w:rPr>
            <w:rStyle w:val="Hyperlink"/>
          </w:rPr>
          <w:t>https://www.bog.gov.gh/economic-data/balance-of-payment/</w:t>
        </w:r>
      </w:hyperlink>
      <w:r w:rsidRPr="00D96063">
        <w:rPr>
          <w:rStyle w:val="Hyperlink"/>
        </w:rPr>
        <w:t>; and information provided by the authorities</w:t>
      </w:r>
      <w:r w:rsidRPr="00D96063">
        <w:rPr>
          <w:lang w:eastAsia="en-GB"/>
        </w:rPr>
        <w:t>.</w:t>
      </w:r>
    </w:p>
    <w:p w14:paraId="5078CE22" w14:textId="77777777" w:rsidR="00C15F2E" w:rsidRPr="00D96063" w:rsidRDefault="00C15F2E" w:rsidP="003758E5">
      <w:pPr>
        <w:pStyle w:val="Heading2"/>
        <w:rPr>
          <w:rFonts w:eastAsia="Times New Roman" w:cs="Times New Roman"/>
        </w:rPr>
      </w:pPr>
      <w:r w:rsidRPr="00D96063">
        <w:lastRenderedPageBreak/>
        <w:t xml:space="preserve"> </w:t>
      </w:r>
      <w:bookmarkStart w:id="20" w:name="_Toc384741969"/>
      <w:bookmarkStart w:id="21" w:name="_Toc103607641"/>
      <w:r w:rsidRPr="00D96063">
        <w:t>Developments</w:t>
      </w:r>
      <w:r w:rsidRPr="00D96063">
        <w:rPr>
          <w:rFonts w:eastAsia="Times New Roman" w:cs="Times New Roman"/>
        </w:rPr>
        <w:t xml:space="preserve"> in Trade and Foreign Direct Investment</w:t>
      </w:r>
      <w:bookmarkEnd w:id="20"/>
      <w:bookmarkEnd w:id="21"/>
    </w:p>
    <w:p w14:paraId="4588C079" w14:textId="77777777" w:rsidR="00C15F2E" w:rsidRPr="00D96063" w:rsidRDefault="00C15F2E" w:rsidP="003758E5">
      <w:pPr>
        <w:pStyle w:val="Heading3"/>
        <w:rPr>
          <w:rFonts w:eastAsia="Times New Roman" w:cs="Times New Roman"/>
        </w:rPr>
      </w:pPr>
      <w:bookmarkStart w:id="22" w:name="_Toc103607642"/>
      <w:r w:rsidRPr="00D96063">
        <w:rPr>
          <w:rFonts w:eastAsia="Times New Roman" w:cs="Times New Roman"/>
        </w:rPr>
        <w:t xml:space="preserve">Merchandise </w:t>
      </w:r>
      <w:r w:rsidRPr="00D96063">
        <w:rPr>
          <w:rFonts w:eastAsia="Times New Roman"/>
        </w:rPr>
        <w:t>trade</w:t>
      </w:r>
      <w:bookmarkEnd w:id="22"/>
    </w:p>
    <w:p w14:paraId="2A4CBECB" w14:textId="77777777" w:rsidR="00C15F2E" w:rsidRPr="00D96063" w:rsidRDefault="00C15F2E" w:rsidP="003758E5">
      <w:pPr>
        <w:pStyle w:val="BodyText"/>
        <w:numPr>
          <w:ilvl w:val="6"/>
          <w:numId w:val="16"/>
        </w:numPr>
      </w:pPr>
      <w:r w:rsidRPr="00D96063">
        <w:t>Total merchandise exports reached approximately USD 17 billion in 2018 and 2019 (Chart 1.2 and Table A1.1). Ghana continued to rely on mostly unprocessed natural resources for close to 80% of its total exports of goods, up from 72% in 2014: these are unwrought gold, crude oil, and cocoa beans (and some preparations).</w:t>
      </w:r>
      <w:bookmarkStart w:id="23" w:name="_Hlk88551198"/>
    </w:p>
    <w:p w14:paraId="5D404D9B" w14:textId="77777777" w:rsidR="00C15F2E" w:rsidRPr="00D96063" w:rsidRDefault="00C15F2E" w:rsidP="003758E5">
      <w:pPr>
        <w:pStyle w:val="BodyText"/>
        <w:numPr>
          <w:ilvl w:val="6"/>
          <w:numId w:val="16"/>
        </w:numPr>
      </w:pPr>
      <w:r w:rsidRPr="00D96063">
        <w:t>After the exceptional expansion of merchandise exports during the 2007-12 period, with a quadrupling from USD 4 billion in 2007 to nearly USD 18 billion in 2012 that was mostly due to the inception of oil exports and a rise in gold prices (Chart 1.1), a stabilization occurred in 2014 and 2015, followed by a fall in 2016 that largely mirrored the falls in commodity prices, and an increase to approximately USD 17 billion in 2018-19 as gold prices increased again.</w:t>
      </w:r>
    </w:p>
    <w:bookmarkEnd w:id="23"/>
    <w:p w14:paraId="06EE27AD" w14:textId="77777777" w:rsidR="00C15F2E" w:rsidRPr="00D96063" w:rsidRDefault="00C15F2E" w:rsidP="003758E5">
      <w:pPr>
        <w:pStyle w:val="BodyText"/>
        <w:numPr>
          <w:ilvl w:val="6"/>
          <w:numId w:val="16"/>
        </w:numPr>
      </w:pPr>
      <w:r w:rsidRPr="00D96063">
        <w:t>Ghana also exports timber and timber products (such as veneer) and canned tuna, and is a small exporter of coffee and cotton. It also exports essential oils, perfumes, and cosmetics. Other non</w:t>
      </w:r>
      <w:r w:rsidRPr="00D96063">
        <w:noBreakHyphen/>
        <w:t>agricultural exports include chromium ores and concentrates, aluminium, platinum, refined petroleum fuels, and electrical energy (USD 32 million, mainly to Benin and Togo).</w:t>
      </w:r>
    </w:p>
    <w:p w14:paraId="7974CEB1" w14:textId="77777777" w:rsidR="00C15F2E" w:rsidRPr="00D96063" w:rsidRDefault="00C15F2E" w:rsidP="003758E5">
      <w:pPr>
        <w:pStyle w:val="BodyText"/>
        <w:numPr>
          <w:ilvl w:val="6"/>
          <w:numId w:val="16"/>
        </w:numPr>
      </w:pPr>
      <w:r w:rsidRPr="00D96063">
        <w:t>Merchandise imports declined from nearly USD 16.8 billion in 2014 to USD 10.4 billion in 2019 as oil prices decreased, and further in 2020 as COVID</w:t>
      </w:r>
      <w:r w:rsidRPr="00D96063">
        <w:noBreakHyphen/>
        <w:t xml:space="preserve">19 disrupted import flows. Indeed, imports of mineral products (mostly refined petroleum) have decreased substantially in both absolute and relative terms, as their price declined on world markets. </w:t>
      </w:r>
      <w:bookmarkStart w:id="24" w:name="_Hlk95204429"/>
      <w:r w:rsidRPr="00D96063">
        <w:t>Food continues to account for over 17% of imports, despite Ghana's agricultural potential.</w:t>
      </w:r>
    </w:p>
    <w:bookmarkEnd w:id="24"/>
    <w:p w14:paraId="112A5B02" w14:textId="77777777" w:rsidR="00C15F2E" w:rsidRPr="00D96063" w:rsidRDefault="00C15F2E" w:rsidP="003758E5">
      <w:pPr>
        <w:pStyle w:val="BodyText"/>
        <w:numPr>
          <w:ilvl w:val="6"/>
          <w:numId w:val="16"/>
        </w:numPr>
      </w:pPr>
      <w:r w:rsidRPr="00D96063">
        <w:t>Turning to trade partners, Ghana's main export partners are Switzerland (unwrought gold and cocoa beans), South Africa and India (unwrought gold and crude petroleum), China (crude petroleum and manganese), the United Arab Emirates (unwrought gold), and the European Union (cocoa beans and cocoa butter and paste, and crude petroleum). Exports of manganese ores have been expanding steadily. Exports of cashew nuts in shell have been erratic, suggesting that exports from other countries may be transiting through Ghana (and reciprocally), depending on the level of producer prices.</w:t>
      </w:r>
    </w:p>
    <w:p w14:paraId="20F21533" w14:textId="77777777" w:rsidR="00C15F2E" w:rsidRPr="00D96063" w:rsidRDefault="00C15F2E" w:rsidP="003758E5">
      <w:pPr>
        <w:pStyle w:val="BodyText"/>
        <w:numPr>
          <w:ilvl w:val="6"/>
          <w:numId w:val="16"/>
        </w:numPr>
      </w:pPr>
      <w:r w:rsidRPr="00D96063">
        <w:t>The European Union remains Ghana's main supplier (Chart 1.3). Imports from China continued to increase as a share of total imports, while the import share of Ghana's African trade partners declined.</w:t>
      </w:r>
    </w:p>
    <w:p w14:paraId="02240538" w14:textId="3AD6900A" w:rsidR="00C15F2E" w:rsidRPr="00D96063" w:rsidRDefault="00C15F2E" w:rsidP="003567A7">
      <w:pPr>
        <w:pStyle w:val="Caption"/>
      </w:pPr>
      <w:bookmarkStart w:id="25" w:name="_Toc103607797"/>
      <w:bookmarkStart w:id="26" w:name="_Toc382470862"/>
      <w:bookmarkStart w:id="27" w:name="_Hlk89242920"/>
      <w:r w:rsidRPr="00D96063">
        <w:lastRenderedPageBreak/>
        <w:t xml:space="preserve">Chart </w:t>
      </w:r>
      <w:fldSimple w:instr=" STYLEREF 1 \s ">
        <w:r w:rsidR="004B63B1">
          <w:rPr>
            <w:noProof/>
          </w:rPr>
          <w:t>1</w:t>
        </w:r>
      </w:fldSimple>
      <w:r w:rsidR="00045F7A">
        <w:t>.</w:t>
      </w:r>
      <w:fldSimple w:instr=" SEQ Chart \* ARABIC \s 1 ">
        <w:r w:rsidR="004B63B1">
          <w:rPr>
            <w:noProof/>
          </w:rPr>
          <w:t>2</w:t>
        </w:r>
      </w:fldSimple>
      <w:r w:rsidRPr="00D96063">
        <w:t xml:space="preserve"> Product composition of merchandise trade by main HS section/subheading, 2014 and 2019</w:t>
      </w:r>
      <w:bookmarkEnd w:id="25"/>
    </w:p>
    <w:p w14:paraId="3AE8F7F5" w14:textId="77777777" w:rsidR="00C15F2E" w:rsidRPr="00D96063" w:rsidRDefault="00C15F2E" w:rsidP="004E08B7">
      <w:r w:rsidRPr="00D96063">
        <w:rPr>
          <w:noProof/>
          <w:lang w:eastAsia="en-GB"/>
        </w:rPr>
        <w:drawing>
          <wp:inline distT="0" distB="0" distL="0" distR="0" wp14:anchorId="015672BA" wp14:editId="6C7C0356">
            <wp:extent cx="5661660" cy="598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2488" r="1219" b="14160"/>
                    <a:stretch/>
                  </pic:blipFill>
                  <pic:spPr bwMode="auto">
                    <a:xfrm>
                      <a:off x="0" y="0"/>
                      <a:ext cx="5661660" cy="5981700"/>
                    </a:xfrm>
                    <a:prstGeom prst="rect">
                      <a:avLst/>
                    </a:prstGeom>
                    <a:noFill/>
                    <a:ln>
                      <a:noFill/>
                    </a:ln>
                    <a:extLst>
                      <a:ext uri="{53640926-AAD7-44D8-BBD7-CCE9431645EC}">
                        <a14:shadowObscured xmlns:a14="http://schemas.microsoft.com/office/drawing/2010/main"/>
                      </a:ext>
                    </a:extLst>
                  </pic:spPr>
                </pic:pic>
              </a:graphicData>
            </a:graphic>
          </wp:inline>
        </w:drawing>
      </w:r>
    </w:p>
    <w:p w14:paraId="167D37D8" w14:textId="77777777" w:rsidR="00C15F2E" w:rsidRPr="00D96063" w:rsidRDefault="00C15F2E" w:rsidP="004E08B7">
      <w:pPr>
        <w:pStyle w:val="NoteText"/>
        <w:spacing w:before="120" w:after="240"/>
      </w:pPr>
      <w:r w:rsidRPr="00D96063">
        <w:t>Source:</w:t>
      </w:r>
      <w:r w:rsidRPr="00D96063">
        <w:tab/>
        <w:t>WTO Secretariat calculations, based on UN Comtrade.</w:t>
      </w:r>
    </w:p>
    <w:p w14:paraId="5CD408AC" w14:textId="77777777" w:rsidR="00C15F2E" w:rsidRPr="00D96063" w:rsidRDefault="00C15F2E" w:rsidP="004E08B7">
      <w:bookmarkStart w:id="28" w:name="_Hlk89327801"/>
      <w:bookmarkEnd w:id="26"/>
      <w:bookmarkEnd w:id="27"/>
    </w:p>
    <w:p w14:paraId="4D5D98F5" w14:textId="50EF330F" w:rsidR="00C15F2E" w:rsidRPr="00D96063" w:rsidRDefault="00C15F2E" w:rsidP="004E08B7">
      <w:pPr>
        <w:pStyle w:val="Caption"/>
        <w:rPr>
          <w:rFonts w:eastAsia="Calibri"/>
        </w:rPr>
      </w:pPr>
      <w:bookmarkStart w:id="29" w:name="_Toc103607798"/>
      <w:bookmarkEnd w:id="28"/>
      <w:r w:rsidRPr="00D96063">
        <w:lastRenderedPageBreak/>
        <w:t xml:space="preserve">Chart </w:t>
      </w:r>
      <w:fldSimple w:instr=" STYLEREF 1 \s ">
        <w:r w:rsidR="004B63B1">
          <w:rPr>
            <w:noProof/>
          </w:rPr>
          <w:t>1</w:t>
        </w:r>
      </w:fldSimple>
      <w:r w:rsidR="00045F7A">
        <w:t>.</w:t>
      </w:r>
      <w:fldSimple w:instr=" SEQ Chart \* ARABIC \s 1 ">
        <w:r w:rsidR="004B63B1">
          <w:rPr>
            <w:noProof/>
          </w:rPr>
          <w:t>3</w:t>
        </w:r>
      </w:fldSimple>
      <w:r w:rsidRPr="00D96063">
        <w:t xml:space="preserve"> Direction of merchandise trade, 2014 and 2019</w:t>
      </w:r>
      <w:bookmarkEnd w:id="29"/>
    </w:p>
    <w:p w14:paraId="1AC1CD1E" w14:textId="77777777" w:rsidR="00C15F2E" w:rsidRPr="00D96063" w:rsidRDefault="00C15F2E" w:rsidP="004E08B7">
      <w:pPr>
        <w:spacing w:after="240"/>
        <w:rPr>
          <w:rFonts w:eastAsia="Calibri" w:cs="Times New Roman"/>
        </w:rPr>
      </w:pPr>
      <w:r w:rsidRPr="00D96063">
        <w:rPr>
          <w:noProof/>
          <w:lang w:eastAsia="en-GB"/>
        </w:rPr>
        <w:drawing>
          <wp:inline distT="0" distB="0" distL="0" distR="0" wp14:anchorId="6C98FC2B" wp14:editId="440EE1A7">
            <wp:extent cx="5632658" cy="51722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5817" r="953" b="23909"/>
                    <a:stretch/>
                  </pic:blipFill>
                  <pic:spPr bwMode="auto">
                    <a:xfrm>
                      <a:off x="0" y="0"/>
                      <a:ext cx="5678371" cy="5214227"/>
                    </a:xfrm>
                    <a:prstGeom prst="rect">
                      <a:avLst/>
                    </a:prstGeom>
                    <a:noFill/>
                    <a:ln>
                      <a:noFill/>
                    </a:ln>
                    <a:extLst>
                      <a:ext uri="{53640926-AAD7-44D8-BBD7-CCE9431645EC}">
                        <a14:shadowObscured xmlns:a14="http://schemas.microsoft.com/office/drawing/2010/main"/>
                      </a:ext>
                    </a:extLst>
                  </pic:spPr>
                </pic:pic>
              </a:graphicData>
            </a:graphic>
          </wp:inline>
        </w:drawing>
      </w:r>
    </w:p>
    <w:p w14:paraId="17E6B0C6" w14:textId="77777777" w:rsidR="00C15F2E" w:rsidRPr="00D96063" w:rsidRDefault="00C15F2E" w:rsidP="004E08B7">
      <w:pPr>
        <w:pStyle w:val="NoteText"/>
        <w:spacing w:before="120" w:after="240"/>
      </w:pPr>
      <w:r w:rsidRPr="00D96063">
        <w:t>Source:</w:t>
      </w:r>
      <w:r w:rsidRPr="00D96063">
        <w:tab/>
        <w:t>WTO Secretariat calculations, based on UN Comtrade; and information provided by the authorities.</w:t>
      </w:r>
    </w:p>
    <w:p w14:paraId="08184A3D" w14:textId="77777777" w:rsidR="00C15F2E" w:rsidRPr="00D96063" w:rsidRDefault="00C15F2E" w:rsidP="003758E5">
      <w:pPr>
        <w:pStyle w:val="Heading3"/>
        <w:rPr>
          <w:rFonts w:eastAsia="Times New Roman" w:cs="Times New Roman"/>
        </w:rPr>
      </w:pPr>
      <w:bookmarkStart w:id="30" w:name="_Toc103607643"/>
      <w:r w:rsidRPr="00D96063">
        <w:rPr>
          <w:rFonts w:eastAsia="Times New Roman" w:cs="Times New Roman"/>
        </w:rPr>
        <w:t>Services trade</w:t>
      </w:r>
      <w:bookmarkEnd w:id="30"/>
    </w:p>
    <w:p w14:paraId="26E4C361" w14:textId="77777777" w:rsidR="00C15F2E" w:rsidRPr="00D96063" w:rsidRDefault="00C15F2E" w:rsidP="003758E5">
      <w:pPr>
        <w:pStyle w:val="BodyText"/>
        <w:numPr>
          <w:ilvl w:val="6"/>
          <w:numId w:val="16"/>
        </w:numPr>
      </w:pPr>
      <w:r w:rsidRPr="00D96063">
        <w:t>Exports of services expanded strongly during 2014-20, reaching nearly USD 10 billion in 2019, five times the level recorded in 2014, before decreasing in 2020 to USD 7.6 billion (Chart 1.4). The fastest-growing sector was technical, trade-related, and other business services. This reflects the decision of several multinational communications and social media companies to establish their headquarters for Africa in Ghana.</w:t>
      </w:r>
      <w:r w:rsidRPr="00D96063">
        <w:rPr>
          <w:vertAlign w:val="superscript"/>
        </w:rPr>
        <w:footnoteReference w:id="15"/>
      </w:r>
      <w:r w:rsidRPr="00D96063">
        <w:t xml:space="preserve"> Professional and management consulting services have also expanded sizeably, as have financial services. Ghana's imports of services have nearly tripled since 2014, to approximately USD 13.5 billion in 2019, before declining to USD 12.1 billion in 2020. Imports of technical, trade</w:t>
      </w:r>
      <w:r w:rsidRPr="00D96063">
        <w:noBreakHyphen/>
        <w:t>related, and other business services expanded most during the period, and transport services continued to be in strong demand due to accelerated economic growth and development.</w:t>
      </w:r>
    </w:p>
    <w:p w14:paraId="31282313" w14:textId="7DBEA880" w:rsidR="00C15F2E" w:rsidRPr="00D96063" w:rsidRDefault="00C15F2E" w:rsidP="004E08B7">
      <w:pPr>
        <w:pStyle w:val="Caption"/>
        <w:rPr>
          <w:rFonts w:eastAsia="Calibri"/>
          <w:sz w:val="16"/>
        </w:rPr>
      </w:pPr>
      <w:bookmarkStart w:id="31" w:name="_Toc103607799"/>
      <w:r w:rsidRPr="00D96063">
        <w:lastRenderedPageBreak/>
        <w:t xml:space="preserve">Chart </w:t>
      </w:r>
      <w:fldSimple w:instr=" STYLEREF 1 \s ">
        <w:r w:rsidR="004B63B1">
          <w:rPr>
            <w:noProof/>
          </w:rPr>
          <w:t>1</w:t>
        </w:r>
      </w:fldSimple>
      <w:r w:rsidR="00045F7A">
        <w:t>.</w:t>
      </w:r>
      <w:fldSimple w:instr=" SEQ Chart \* ARABIC \s 1 ">
        <w:r w:rsidR="004B63B1">
          <w:rPr>
            <w:noProof/>
          </w:rPr>
          <w:t>4</w:t>
        </w:r>
      </w:fldSimple>
      <w:r w:rsidRPr="00D96063">
        <w:t xml:space="preserve"> Trade in services, 2014-20</w:t>
      </w:r>
      <w:bookmarkEnd w:id="31"/>
    </w:p>
    <w:p w14:paraId="6BD66AA3" w14:textId="77777777" w:rsidR="00C15F2E" w:rsidRPr="00D96063" w:rsidRDefault="00C15F2E" w:rsidP="004E08B7">
      <w:pPr>
        <w:rPr>
          <w:sz w:val="15"/>
          <w:szCs w:val="15"/>
        </w:rPr>
      </w:pPr>
      <w:r w:rsidRPr="00D96063">
        <w:rPr>
          <w:noProof/>
          <w:szCs w:val="18"/>
          <w:lang w:eastAsia="en-GB"/>
        </w:rPr>
        <w:drawing>
          <wp:inline distT="0" distB="0" distL="0" distR="0" wp14:anchorId="09F38A07" wp14:editId="5F02F786">
            <wp:extent cx="5722620" cy="29153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l="665" t="5727" r="-545" b="10767"/>
                    <a:stretch>
                      <a:fillRect/>
                    </a:stretch>
                  </pic:blipFill>
                  <pic:spPr bwMode="auto">
                    <a:xfrm>
                      <a:off x="0" y="0"/>
                      <a:ext cx="5737821" cy="2923136"/>
                    </a:xfrm>
                    <a:prstGeom prst="rect">
                      <a:avLst/>
                    </a:prstGeom>
                    <a:noFill/>
                    <a:ln>
                      <a:noFill/>
                    </a:ln>
                  </pic:spPr>
                </pic:pic>
              </a:graphicData>
            </a:graphic>
          </wp:inline>
        </w:drawing>
      </w:r>
    </w:p>
    <w:p w14:paraId="1BC5EE25" w14:textId="301F407E" w:rsidR="00C15F2E" w:rsidRPr="00D96063" w:rsidRDefault="00C15F2E" w:rsidP="004E08B7">
      <w:pPr>
        <w:pStyle w:val="NoteText"/>
        <w:spacing w:before="120" w:after="240"/>
        <w:rPr>
          <w:rStyle w:val="Hyperlink"/>
          <w:color w:val="0000FF"/>
        </w:rPr>
      </w:pPr>
      <w:bookmarkStart w:id="32" w:name="_Toc358096964"/>
      <w:r w:rsidRPr="00D96063">
        <w:rPr>
          <w:rFonts w:eastAsia="Calibri" w:cs="Times New Roman"/>
        </w:rPr>
        <w:t>Source:</w:t>
      </w:r>
      <w:r w:rsidRPr="00D96063">
        <w:rPr>
          <w:rFonts w:eastAsia="Calibri" w:cs="Times New Roman"/>
        </w:rPr>
        <w:tab/>
      </w:r>
      <w:bookmarkEnd w:id="32"/>
      <w:r w:rsidRPr="00D96063">
        <w:rPr>
          <w:rFonts w:eastAsia="Calibri" w:cs="Times New Roman"/>
        </w:rPr>
        <w:t xml:space="preserve">BoG, </w:t>
      </w:r>
      <w:r w:rsidRPr="00D96063">
        <w:rPr>
          <w:rFonts w:eastAsia="Calibri" w:cs="Times New Roman"/>
          <w:i/>
          <w:iCs/>
        </w:rPr>
        <w:t>Economic Data</w:t>
      </w:r>
      <w:r w:rsidRPr="00D96063">
        <w:rPr>
          <w:rFonts w:eastAsia="Calibri" w:cs="Times New Roman"/>
        </w:rPr>
        <w:t xml:space="preserve">. Viewed at: </w:t>
      </w:r>
      <w:hyperlink r:id="rId23" w:history="1">
        <w:r w:rsidRPr="00D96063">
          <w:rPr>
            <w:rStyle w:val="Hyperlink"/>
            <w:szCs w:val="20"/>
          </w:rPr>
          <w:t>https://www.bog.gov.gh/economic-data/</w:t>
        </w:r>
      </w:hyperlink>
      <w:r w:rsidRPr="007A1409">
        <w:rPr>
          <w:rStyle w:val="Hyperlink"/>
          <w:color w:val="auto"/>
          <w:u w:val="none"/>
        </w:rPr>
        <w:t>.</w:t>
      </w:r>
    </w:p>
    <w:p w14:paraId="134DCFE5" w14:textId="77777777" w:rsidR="00C15F2E" w:rsidRPr="00D96063" w:rsidRDefault="00C15F2E" w:rsidP="003758E5">
      <w:pPr>
        <w:pStyle w:val="Heading3"/>
        <w:rPr>
          <w:rFonts w:eastAsia="Times New Roman"/>
        </w:rPr>
      </w:pPr>
      <w:bookmarkStart w:id="33" w:name="_Toc103607644"/>
      <w:r w:rsidRPr="00D96063">
        <w:rPr>
          <w:rFonts w:eastAsia="Times New Roman"/>
        </w:rPr>
        <w:t>Foreign investment</w:t>
      </w:r>
      <w:bookmarkEnd w:id="33"/>
    </w:p>
    <w:p w14:paraId="2B2D3E7D" w14:textId="77777777" w:rsidR="00C15F2E" w:rsidRPr="00D96063" w:rsidRDefault="00C15F2E" w:rsidP="003758E5">
      <w:pPr>
        <w:pStyle w:val="BodyText"/>
        <w:numPr>
          <w:ilvl w:val="6"/>
          <w:numId w:val="16"/>
        </w:numPr>
      </w:pPr>
      <w:r w:rsidRPr="00D96063">
        <w:t>FDI inflows have shown, albeit fluctuating considerably, a declining trend since 2014 (Chart 1.5). Most FDI in recent years flowed into the services industries and manufacturing</w:t>
      </w:r>
      <w:r w:rsidRPr="00D96063">
        <w:rPr>
          <w:lang w:eastAsia="en-GB"/>
        </w:rPr>
        <w:t xml:space="preserve">. </w:t>
      </w:r>
      <w:r w:rsidRPr="00D96063">
        <w:t>Ghana also recorded substantial portfolio investment flows, but the latter are vulnerable to investor confidence, as witnessed by the decline in the capital and financial account surplus from nearly 5% of GDP in 2019 to less than 1% of GDP in 2020. Remittances are considerably more stable, and high by international comparison, at about 5% of GDP annually.</w:t>
      </w:r>
    </w:p>
    <w:p w14:paraId="01C30107" w14:textId="55E098FE" w:rsidR="00C15F2E" w:rsidRPr="00D96063" w:rsidRDefault="00C15F2E" w:rsidP="004E08B7">
      <w:pPr>
        <w:pStyle w:val="Caption"/>
      </w:pPr>
      <w:bookmarkStart w:id="34" w:name="_Toc103607800"/>
      <w:r w:rsidRPr="00D96063">
        <w:t xml:space="preserve">Chart </w:t>
      </w:r>
      <w:fldSimple w:instr=" STYLEREF 1 \s ">
        <w:r w:rsidR="004B63B1">
          <w:rPr>
            <w:noProof/>
          </w:rPr>
          <w:t>1</w:t>
        </w:r>
      </w:fldSimple>
      <w:r w:rsidR="00045F7A">
        <w:t>.</w:t>
      </w:r>
      <w:fldSimple w:instr=" SEQ Chart \* ARABIC \s 1 ">
        <w:r w:rsidR="004B63B1">
          <w:rPr>
            <w:noProof/>
          </w:rPr>
          <w:t>5</w:t>
        </w:r>
      </w:fldSimple>
      <w:r w:rsidRPr="00D96063">
        <w:t xml:space="preserve"> FDI flows, 2007-20</w:t>
      </w:r>
      <w:bookmarkEnd w:id="34"/>
    </w:p>
    <w:p w14:paraId="310B2530" w14:textId="77777777" w:rsidR="00C15F2E" w:rsidRPr="00D96063" w:rsidRDefault="00C15F2E" w:rsidP="004E08B7">
      <w:pPr>
        <w:rPr>
          <w:lang w:eastAsia="en-GB"/>
        </w:rPr>
      </w:pPr>
      <w:r w:rsidRPr="00D96063">
        <w:rPr>
          <w:noProof/>
        </w:rPr>
        <w:drawing>
          <wp:inline distT="0" distB="0" distL="0" distR="0" wp14:anchorId="0FDEA660" wp14:editId="6BA16A6B">
            <wp:extent cx="5722620" cy="2962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 t="10975" r="155" b="14825"/>
                    <a:stretch/>
                  </pic:blipFill>
                  <pic:spPr bwMode="auto">
                    <a:xfrm>
                      <a:off x="0" y="0"/>
                      <a:ext cx="572262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39E6C66" w14:textId="46D9B75C" w:rsidR="00C15F2E" w:rsidRPr="00D96063" w:rsidRDefault="00C15F2E" w:rsidP="004E08B7">
      <w:pPr>
        <w:pStyle w:val="NoteText"/>
        <w:rPr>
          <w:lang w:eastAsia="en-GB"/>
        </w:rPr>
      </w:pPr>
      <w:r w:rsidRPr="00D96063">
        <w:rPr>
          <w:lang w:eastAsia="en-GB"/>
        </w:rPr>
        <w:t>Source:</w:t>
      </w:r>
      <w:r w:rsidRPr="00D96063">
        <w:rPr>
          <w:lang w:eastAsia="en-GB"/>
        </w:rPr>
        <w:tab/>
        <w:t xml:space="preserve">UNCTAD Stat. Viewed at: </w:t>
      </w:r>
      <w:r w:rsidRPr="00D96063">
        <w:rPr>
          <w:rStyle w:val="Hyperlink"/>
        </w:rPr>
        <w:t>https://unctadstat.unctad.org/EN/</w:t>
      </w:r>
      <w:r w:rsidRPr="007A1409">
        <w:rPr>
          <w:rStyle w:val="Hyperlink"/>
          <w:color w:val="auto"/>
          <w:u w:val="none"/>
        </w:rPr>
        <w:t xml:space="preserve">; </w:t>
      </w:r>
      <w:r w:rsidRPr="00D96063">
        <w:rPr>
          <w:lang w:eastAsia="en-GB"/>
        </w:rPr>
        <w:t>BoG; and IMF data.</w:t>
      </w:r>
    </w:p>
    <w:p w14:paraId="3FB133E3" w14:textId="77777777" w:rsidR="00C15F2E" w:rsidRPr="00D96063" w:rsidRDefault="00C15F2E" w:rsidP="000433FB"/>
    <w:p w14:paraId="0C20531A" w14:textId="77777777" w:rsidR="00C15F2E" w:rsidRPr="00D96063" w:rsidRDefault="00C15F2E" w:rsidP="000433FB">
      <w:pPr>
        <w:sectPr w:rsidR="00C15F2E" w:rsidRPr="00D96063" w:rsidSect="000433FB">
          <w:footerReference w:type="even" r:id="rId25"/>
          <w:footerReference w:type="default" r:id="rId26"/>
          <w:headerReference w:type="first" r:id="rId27"/>
          <w:footerReference w:type="first" r:id="rId28"/>
          <w:footnotePr>
            <w:numRestart w:val="eachSect"/>
          </w:footnotePr>
          <w:pgSz w:w="11906" w:h="16838" w:code="9"/>
          <w:pgMar w:top="1701" w:right="1440" w:bottom="1440" w:left="1440" w:header="720" w:footer="720" w:gutter="0"/>
          <w:cols w:space="708"/>
          <w:docGrid w:linePitch="360"/>
        </w:sectPr>
      </w:pPr>
    </w:p>
    <w:p w14:paraId="4F20B26F" w14:textId="77777777" w:rsidR="00C15F2E" w:rsidRPr="00D96063" w:rsidRDefault="00C15F2E" w:rsidP="00352F58">
      <w:pPr>
        <w:sectPr w:rsidR="00C15F2E" w:rsidRPr="00D96063" w:rsidSect="00352F58">
          <w:footerReference w:type="even" r:id="rId29"/>
          <w:footerReference w:type="default" r:id="rId30"/>
          <w:headerReference w:type="first" r:id="rId31"/>
          <w:footerReference w:type="first" r:id="rId32"/>
          <w:type w:val="continuous"/>
          <w:pgSz w:w="11906" w:h="16838" w:code="9"/>
          <w:pgMar w:top="1701" w:right="1440" w:bottom="1440" w:left="1440" w:header="720" w:footer="720" w:gutter="0"/>
          <w:cols w:space="708"/>
          <w:titlePg/>
          <w:docGrid w:linePitch="360"/>
        </w:sectPr>
      </w:pPr>
    </w:p>
    <w:p w14:paraId="346A29B0" w14:textId="77777777" w:rsidR="00C15F2E" w:rsidRPr="00D96063" w:rsidRDefault="00C15F2E" w:rsidP="003758E5">
      <w:pPr>
        <w:pStyle w:val="Heading1"/>
        <w:keepNext w:val="0"/>
        <w:keepLines w:val="0"/>
        <w:numPr>
          <w:ilvl w:val="0"/>
          <w:numId w:val="17"/>
        </w:numPr>
      </w:pPr>
      <w:bookmarkStart w:id="36" w:name="_Toc103607645"/>
      <w:r w:rsidRPr="00D96063">
        <w:lastRenderedPageBreak/>
        <w:t>TRADE AND INVESTMENT REGIMES</w:t>
      </w:r>
      <w:bookmarkEnd w:id="36"/>
    </w:p>
    <w:p w14:paraId="67CE04D9" w14:textId="77777777" w:rsidR="00C15F2E" w:rsidRPr="00D96063" w:rsidRDefault="00C15F2E" w:rsidP="003758E5">
      <w:pPr>
        <w:pStyle w:val="Heading2"/>
      </w:pPr>
      <w:bookmarkStart w:id="37" w:name="_Toc103607646"/>
      <w:r w:rsidRPr="00D96063">
        <w:t>General Framework</w:t>
      </w:r>
      <w:bookmarkEnd w:id="37"/>
    </w:p>
    <w:p w14:paraId="659CF6B6" w14:textId="77777777" w:rsidR="00C15F2E" w:rsidRPr="00D96063" w:rsidRDefault="00C15F2E" w:rsidP="003758E5">
      <w:pPr>
        <w:pStyle w:val="BodyText"/>
      </w:pPr>
      <w:bookmarkStart w:id="38" w:name="_Toc358097028"/>
      <w:r w:rsidRPr="00D96063">
        <w:t>In January 2023, Ghana is to achieve 30 years of uninterrupted democratic rule and political stability. This contributes to explaining the country's remarkable economic and social progress. Its 1992 Constitution separates the powers among the President, Parliament, and the judiciary</w:t>
      </w:r>
      <w:bookmarkStart w:id="39" w:name="_Hlk88564834"/>
      <w:r w:rsidRPr="00D96063">
        <w:t>.</w:t>
      </w:r>
      <w:r w:rsidRPr="00D96063">
        <w:rPr>
          <w:vertAlign w:val="superscript"/>
        </w:rPr>
        <w:footnoteReference w:id="16"/>
      </w:r>
      <w:r w:rsidRPr="00D96063">
        <w:t xml:space="preserve"> Since its inception, the Constitution has not had any formal amendments, although many of its provisions have been the subject of interpretation by the Supreme Court of Ghana, and certain articles have been modified.</w:t>
      </w:r>
      <w:bookmarkEnd w:id="39"/>
    </w:p>
    <w:p w14:paraId="51B183F3" w14:textId="77777777" w:rsidR="00C15F2E" w:rsidRPr="00D96063" w:rsidRDefault="00C15F2E" w:rsidP="003758E5">
      <w:pPr>
        <w:pStyle w:val="BodyText"/>
        <w:numPr>
          <w:ilvl w:val="6"/>
          <w:numId w:val="16"/>
        </w:numPr>
      </w:pPr>
      <w:r w:rsidRPr="00D96063">
        <w:t>Executive power is vested in the President, who is elected by popular vote every four years, with a maximum of two consecutive terms of office. Presidential elections were held in December 2020. The President is the Head of State, head of Government, and Commander-in-Chief of the armed forces; he appoints Ministers, subject to parliamentary approval.</w:t>
      </w:r>
    </w:p>
    <w:p w14:paraId="221FE755" w14:textId="77777777" w:rsidR="00C15F2E" w:rsidRPr="00D96063" w:rsidRDefault="00C15F2E" w:rsidP="003758E5">
      <w:pPr>
        <w:pStyle w:val="BodyText"/>
        <w:numPr>
          <w:ilvl w:val="6"/>
          <w:numId w:val="16"/>
        </w:numPr>
      </w:pPr>
      <w:r w:rsidRPr="00D96063">
        <w:t>Ghana is a republic comprising 16 administrative regions and 261 districts. Each region is headed by a Regional Minister who is the direct representative of the Government. The districts are administered by assemblies of directly elected and appointed members.</w:t>
      </w:r>
      <w:r w:rsidRPr="00D96063">
        <w:rPr>
          <w:b/>
          <w:bCs/>
        </w:rPr>
        <w:t xml:space="preserve"> </w:t>
      </w:r>
      <w:r w:rsidRPr="00D96063">
        <w:t>Each assembly is headed by a Chief Executive, appointed by the President and approved by the District Assembly.</w:t>
      </w:r>
    </w:p>
    <w:p w14:paraId="3CFA6A7E" w14:textId="77777777" w:rsidR="00C15F2E" w:rsidRPr="00D96063" w:rsidRDefault="00C15F2E" w:rsidP="003758E5">
      <w:pPr>
        <w:pStyle w:val="BodyText"/>
        <w:numPr>
          <w:ilvl w:val="6"/>
          <w:numId w:val="16"/>
        </w:numPr>
      </w:pPr>
      <w:r w:rsidRPr="00D96063">
        <w:t xml:space="preserve">Legislative authority is vested in a unicameral Parliament, currently comprising 275 members, who are </w:t>
      </w:r>
      <w:r w:rsidRPr="00D96063">
        <w:rPr>
          <w:rFonts w:cs="Times-Roman"/>
          <w:lang w:eastAsia="en-GB"/>
        </w:rPr>
        <w:t>elected</w:t>
      </w:r>
      <w:r w:rsidRPr="00D96063">
        <w:t xml:space="preserve"> by universal suffrage every four years. The next legislative election is scheduled for December 2024.</w:t>
      </w:r>
    </w:p>
    <w:p w14:paraId="6DD4299B" w14:textId="77777777" w:rsidR="00C15F2E" w:rsidRPr="00D96063" w:rsidRDefault="00C15F2E" w:rsidP="003758E5">
      <w:pPr>
        <w:pStyle w:val="BodyText"/>
        <w:numPr>
          <w:ilvl w:val="6"/>
          <w:numId w:val="16"/>
        </w:numPr>
      </w:pPr>
      <w:r w:rsidRPr="00D96063">
        <w:t>The hierarchy of law consists of the Constitution of 1992; Acts of Parliament; and subsidiary legislation, including regulations, by-laws, ordinances, orders; and customary or traditional law. Domestic law has precedence over treaties and international agreements. Once ratified by Parliament, treaties and international agreements must be incorporated into domestic law before they have standing in Ghanaian courts (Article 75 of the Constitution). For example, Economic Community of West African States (ECOWAS) regulations, including the Common External Tariff, require ratification and domestication by Parliament before having a binding effect on Ghana.</w:t>
      </w:r>
    </w:p>
    <w:p w14:paraId="7F4D043C" w14:textId="77777777" w:rsidR="00C15F2E" w:rsidRPr="00D96063" w:rsidRDefault="00C15F2E" w:rsidP="003758E5">
      <w:pPr>
        <w:pStyle w:val="BodyText"/>
        <w:numPr>
          <w:ilvl w:val="6"/>
          <w:numId w:val="16"/>
        </w:numPr>
      </w:pPr>
      <w:r w:rsidRPr="00D96063">
        <w:t xml:space="preserve">The Government (Cabinet) initiates and formulates most legislative proposals. Acts are passed by Parliament and then given assent by the President. Ministers may also issue administrative regulations in accordance with powers conferred to them under specific legislation. </w:t>
      </w:r>
      <w:bookmarkStart w:id="40" w:name="_Hlk95207386"/>
      <w:r w:rsidRPr="00D96063">
        <w:t xml:space="preserve">All laws and regulations are published in the </w:t>
      </w:r>
      <w:r w:rsidRPr="00D96063">
        <w:rPr>
          <w:i/>
        </w:rPr>
        <w:t>Ghana Gazette</w:t>
      </w:r>
      <w:r w:rsidRPr="00D96063">
        <w:t xml:space="preserve">, which is apparently not available through any official website. </w:t>
      </w:r>
      <w:bookmarkEnd w:id="40"/>
      <w:r w:rsidRPr="00D96063">
        <w:t>Reforms in Ghana's trade-related legislation adopted since the last Review in 2014 are presented in Table 2.1.</w:t>
      </w:r>
    </w:p>
    <w:p w14:paraId="48A86569" w14:textId="77777777" w:rsidR="00C15F2E" w:rsidRPr="00D96063" w:rsidRDefault="00C15F2E" w:rsidP="003758E5">
      <w:pPr>
        <w:pStyle w:val="BodyText"/>
        <w:numPr>
          <w:ilvl w:val="6"/>
          <w:numId w:val="16"/>
        </w:numPr>
        <w:rPr>
          <w:rFonts w:eastAsia="Times New Roman"/>
        </w:rPr>
      </w:pPr>
      <w:r w:rsidRPr="00D96063">
        <w:t>The judicial system consists of the Supreme Court (the highest court), the Court of Appeal, the High Court of Justice, and the lower courts. There are also circuit and district community courts. A specialized Commercial Court serves as a special division of the High Court.</w:t>
      </w:r>
      <w:r w:rsidRPr="00D96063">
        <w:rPr>
          <w:rStyle w:val="FootnoteReference"/>
        </w:rPr>
        <w:footnoteReference w:id="17"/>
      </w:r>
      <w:r w:rsidRPr="00D96063">
        <w:t xml:space="preserve"> </w:t>
      </w:r>
      <w:r w:rsidRPr="00D96063">
        <w:rPr>
          <w:rFonts w:eastAsia="Times New Roman" w:cs="Arial"/>
        </w:rPr>
        <w:t>Tax courts in relation to civil and criminal matters are an integral part of the High Court.</w:t>
      </w:r>
    </w:p>
    <w:p w14:paraId="7F475178" w14:textId="77777777" w:rsidR="00C15F2E" w:rsidRPr="00D96063" w:rsidRDefault="00C15F2E" w:rsidP="003758E5">
      <w:pPr>
        <w:pStyle w:val="BodyText"/>
        <w:numPr>
          <w:ilvl w:val="6"/>
          <w:numId w:val="16"/>
        </w:numPr>
      </w:pPr>
      <w:r w:rsidRPr="00D96063">
        <w:t>The Ghana Arbitration Centre handles commercial, corporate, and securities arbitration, but it is apparently not intensively used. The Alternative Dispute Resolution Act, 2010 (Act 798) (ADR Act) now regulates arbitration in Ghana. Though not based on the UNCITRAL Model Law, the ADR Act has adapted and modified some of the key provisions of the Model Law. The Act will apply to all arbitral proceedings of enterprises having their seats in Ghana unless the parties otherwise agree.</w:t>
      </w:r>
    </w:p>
    <w:p w14:paraId="6E0D711C" w14:textId="0A0ED83D" w:rsidR="00C15F2E" w:rsidRPr="00D96063" w:rsidRDefault="00C15F2E" w:rsidP="00FE3EF0">
      <w:pPr>
        <w:pStyle w:val="Caption"/>
        <w:keepLines/>
      </w:pPr>
      <w:bookmarkStart w:id="41" w:name="_Toc103607878"/>
      <w:r w:rsidRPr="00D96063">
        <w:lastRenderedPageBreak/>
        <w:t xml:space="preserve">Table </w:t>
      </w:r>
      <w:fldSimple w:instr=" STYLEREF 1 \s ">
        <w:r w:rsidR="004B63B1">
          <w:rPr>
            <w:noProof/>
          </w:rPr>
          <w:t>2</w:t>
        </w:r>
      </w:fldSimple>
      <w:r w:rsidR="00BF3184">
        <w:t>.</w:t>
      </w:r>
      <w:fldSimple w:instr=" SEQ Table \* ARABIC \s 1 ">
        <w:r w:rsidR="004B63B1">
          <w:rPr>
            <w:noProof/>
          </w:rPr>
          <w:t>1</w:t>
        </w:r>
      </w:fldSimple>
      <w:r w:rsidRPr="00D96063">
        <w:t xml:space="preserve"> Selected trade-related laws and regulations adopted since 2014</w:t>
      </w:r>
      <w:bookmarkEnd w:id="41"/>
    </w:p>
    <w:tbl>
      <w:tblPr>
        <w:tblStyle w:val="WTOTable1"/>
        <w:tblW w:w="0" w:type="auto"/>
        <w:tblLook w:val="01E0" w:firstRow="1" w:lastRow="1" w:firstColumn="1" w:lastColumn="1" w:noHBand="0" w:noVBand="0"/>
      </w:tblPr>
      <w:tblGrid>
        <w:gridCol w:w="1609"/>
        <w:gridCol w:w="4691"/>
        <w:gridCol w:w="2716"/>
      </w:tblGrid>
      <w:tr w:rsidR="00C15F2E" w:rsidRPr="00D96063" w14:paraId="528D5D80" w14:textId="77777777" w:rsidTr="002A3F9E">
        <w:trPr>
          <w:cnfStyle w:val="100000000000" w:firstRow="1" w:lastRow="0" w:firstColumn="0" w:lastColumn="0" w:oddVBand="0" w:evenVBand="0" w:oddHBand="0" w:evenHBand="0" w:firstRowFirstColumn="0" w:firstRowLastColumn="0" w:lastRowFirstColumn="0" w:lastRowLastColumn="0"/>
          <w:tblHeader/>
        </w:trPr>
        <w:tc>
          <w:tcPr>
            <w:tcW w:w="0" w:type="auto"/>
          </w:tcPr>
          <w:p w14:paraId="14B93D94" w14:textId="77777777" w:rsidR="00C15F2E" w:rsidRPr="00D96063" w:rsidRDefault="00C15F2E" w:rsidP="00FE3EF0">
            <w:pPr>
              <w:keepNext/>
              <w:keepLines/>
              <w:jc w:val="left"/>
              <w:rPr>
                <w:b w:val="0"/>
                <w:color w:val="FFFFFF" w:themeColor="background1"/>
                <w:sz w:val="15"/>
                <w:szCs w:val="15"/>
              </w:rPr>
            </w:pPr>
            <w:r w:rsidRPr="00D96063">
              <w:rPr>
                <w:color w:val="FFFFFF" w:themeColor="background1"/>
                <w:sz w:val="15"/>
                <w:szCs w:val="15"/>
              </w:rPr>
              <w:t>Area</w:t>
            </w:r>
          </w:p>
        </w:tc>
        <w:tc>
          <w:tcPr>
            <w:tcW w:w="0" w:type="auto"/>
          </w:tcPr>
          <w:p w14:paraId="217C1ABA" w14:textId="77777777" w:rsidR="00C15F2E" w:rsidRPr="00D96063" w:rsidRDefault="00C15F2E" w:rsidP="00FE3EF0">
            <w:pPr>
              <w:keepNext/>
              <w:keepLines/>
              <w:jc w:val="left"/>
              <w:rPr>
                <w:b w:val="0"/>
                <w:color w:val="FFFFFF" w:themeColor="background1"/>
                <w:sz w:val="15"/>
                <w:szCs w:val="15"/>
              </w:rPr>
            </w:pPr>
            <w:r w:rsidRPr="00D96063">
              <w:rPr>
                <w:color w:val="FFFFFF" w:themeColor="background1"/>
                <w:sz w:val="15"/>
                <w:szCs w:val="15"/>
              </w:rPr>
              <w:t>Legislation</w:t>
            </w:r>
          </w:p>
        </w:tc>
        <w:tc>
          <w:tcPr>
            <w:tcW w:w="0" w:type="auto"/>
          </w:tcPr>
          <w:p w14:paraId="311A21BF" w14:textId="77777777" w:rsidR="00C15F2E" w:rsidRPr="00D96063" w:rsidRDefault="00C15F2E" w:rsidP="00FE3EF0">
            <w:pPr>
              <w:keepNext/>
              <w:keepLines/>
              <w:jc w:val="left"/>
              <w:rPr>
                <w:b w:val="0"/>
                <w:color w:val="FFFFFF" w:themeColor="background1"/>
                <w:sz w:val="15"/>
                <w:szCs w:val="15"/>
              </w:rPr>
            </w:pPr>
            <w:r w:rsidRPr="00D96063">
              <w:rPr>
                <w:color w:val="FFFFFF" w:themeColor="background1"/>
                <w:sz w:val="15"/>
                <w:szCs w:val="15"/>
              </w:rPr>
              <w:t xml:space="preserve">Official website </w:t>
            </w:r>
          </w:p>
        </w:tc>
      </w:tr>
      <w:tr w:rsidR="00C15F2E" w:rsidRPr="00D96063" w14:paraId="394D8A48" w14:textId="77777777" w:rsidTr="002A3F9E">
        <w:tc>
          <w:tcPr>
            <w:tcW w:w="0" w:type="auto"/>
          </w:tcPr>
          <w:p w14:paraId="1448CB6C" w14:textId="77777777" w:rsidR="00C15F2E" w:rsidRPr="00D96063" w:rsidRDefault="00C15F2E" w:rsidP="00FE3EF0">
            <w:pPr>
              <w:keepNext/>
              <w:keepLines/>
              <w:jc w:val="left"/>
              <w:rPr>
                <w:b/>
                <w:bCs/>
                <w:sz w:val="15"/>
                <w:szCs w:val="15"/>
              </w:rPr>
            </w:pPr>
            <w:r w:rsidRPr="00D96063">
              <w:rPr>
                <w:b/>
                <w:bCs/>
                <w:sz w:val="15"/>
                <w:szCs w:val="15"/>
              </w:rPr>
              <w:t>Land ownership</w:t>
            </w:r>
          </w:p>
        </w:tc>
        <w:tc>
          <w:tcPr>
            <w:tcW w:w="0" w:type="auto"/>
          </w:tcPr>
          <w:p w14:paraId="47B0B27E" w14:textId="77777777" w:rsidR="00C15F2E" w:rsidRPr="00D96063" w:rsidRDefault="00C15F2E" w:rsidP="00FE3EF0">
            <w:pPr>
              <w:keepNext/>
              <w:keepLines/>
              <w:jc w:val="left"/>
              <w:rPr>
                <w:sz w:val="15"/>
                <w:szCs w:val="15"/>
              </w:rPr>
            </w:pPr>
            <w:r w:rsidRPr="00D96063">
              <w:rPr>
                <w:sz w:val="15"/>
                <w:szCs w:val="15"/>
              </w:rPr>
              <w:t>Land Act, 2020 (Act 1036)</w:t>
            </w:r>
          </w:p>
        </w:tc>
        <w:tc>
          <w:tcPr>
            <w:tcW w:w="0" w:type="auto"/>
          </w:tcPr>
          <w:p w14:paraId="60BC77D2" w14:textId="77777777" w:rsidR="00C15F2E" w:rsidRPr="00D96063" w:rsidRDefault="00C15F2E" w:rsidP="00FE3EF0">
            <w:pPr>
              <w:keepNext/>
              <w:keepLines/>
              <w:rPr>
                <w:rStyle w:val="Hyperlink"/>
                <w:sz w:val="15"/>
                <w:szCs w:val="15"/>
                <w:u w:val="none"/>
              </w:rPr>
            </w:pPr>
            <w:r w:rsidRPr="00D96063">
              <w:rPr>
                <w:rStyle w:val="Hyperlink"/>
                <w:color w:val="auto"/>
                <w:sz w:val="15"/>
                <w:szCs w:val="15"/>
                <w:u w:val="none"/>
              </w:rPr>
              <w:t>n.a.</w:t>
            </w:r>
          </w:p>
        </w:tc>
      </w:tr>
      <w:tr w:rsidR="00C15F2E" w:rsidRPr="00D96063" w14:paraId="6D2FB57C"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tcPr>
          <w:p w14:paraId="6EBEC192" w14:textId="77777777" w:rsidR="00C15F2E" w:rsidRPr="00D96063" w:rsidRDefault="00C15F2E" w:rsidP="00FE3EF0">
            <w:pPr>
              <w:keepNext/>
              <w:keepLines/>
              <w:jc w:val="left"/>
              <w:rPr>
                <w:b/>
                <w:bCs/>
                <w:sz w:val="15"/>
                <w:szCs w:val="15"/>
              </w:rPr>
            </w:pPr>
            <w:r w:rsidRPr="00D96063">
              <w:rPr>
                <w:b/>
                <w:bCs/>
                <w:sz w:val="15"/>
                <w:szCs w:val="15"/>
              </w:rPr>
              <w:t>Investment in infrastructure</w:t>
            </w:r>
          </w:p>
        </w:tc>
        <w:tc>
          <w:tcPr>
            <w:tcW w:w="0" w:type="auto"/>
          </w:tcPr>
          <w:p w14:paraId="271500F1" w14:textId="77777777" w:rsidR="00C15F2E" w:rsidRPr="00D96063" w:rsidRDefault="00C15F2E" w:rsidP="00FE3EF0">
            <w:pPr>
              <w:keepNext/>
              <w:keepLines/>
              <w:jc w:val="left"/>
              <w:rPr>
                <w:sz w:val="15"/>
                <w:szCs w:val="15"/>
              </w:rPr>
            </w:pPr>
            <w:r w:rsidRPr="00D96063">
              <w:rPr>
                <w:sz w:val="15"/>
                <w:szCs w:val="15"/>
              </w:rPr>
              <w:t>Ghana Infrastructure Investment Fund Act, 2014 (Act 877)</w:t>
            </w:r>
          </w:p>
        </w:tc>
        <w:tc>
          <w:tcPr>
            <w:tcW w:w="0" w:type="auto"/>
          </w:tcPr>
          <w:p w14:paraId="6BD1DD9D" w14:textId="77777777" w:rsidR="00C15F2E" w:rsidRPr="00D96063" w:rsidRDefault="00C15F2E" w:rsidP="00FE3EF0">
            <w:pPr>
              <w:keepNext/>
              <w:keepLines/>
              <w:rPr>
                <w:rStyle w:val="Hyperlink"/>
                <w:sz w:val="15"/>
                <w:szCs w:val="15"/>
                <w:u w:val="none"/>
              </w:rPr>
            </w:pPr>
            <w:r w:rsidRPr="00D96063">
              <w:rPr>
                <w:rStyle w:val="Hyperlink"/>
                <w:color w:val="auto"/>
                <w:sz w:val="15"/>
                <w:szCs w:val="15"/>
                <w:u w:val="none"/>
              </w:rPr>
              <w:t>n.a.</w:t>
            </w:r>
          </w:p>
        </w:tc>
      </w:tr>
      <w:tr w:rsidR="00C15F2E" w:rsidRPr="00D96063" w14:paraId="15D88F11" w14:textId="77777777" w:rsidTr="002A3F9E">
        <w:tc>
          <w:tcPr>
            <w:tcW w:w="0" w:type="auto"/>
          </w:tcPr>
          <w:p w14:paraId="5A525426" w14:textId="77777777" w:rsidR="00C15F2E" w:rsidRPr="00D96063" w:rsidRDefault="00C15F2E" w:rsidP="002A3F9E">
            <w:pPr>
              <w:jc w:val="left"/>
              <w:rPr>
                <w:b/>
                <w:bCs/>
                <w:sz w:val="15"/>
                <w:szCs w:val="15"/>
              </w:rPr>
            </w:pPr>
            <w:r w:rsidRPr="00D96063">
              <w:rPr>
                <w:b/>
                <w:bCs/>
                <w:sz w:val="15"/>
                <w:szCs w:val="15"/>
              </w:rPr>
              <w:t>Customs duties and VAT</w:t>
            </w:r>
          </w:p>
        </w:tc>
        <w:tc>
          <w:tcPr>
            <w:tcW w:w="0" w:type="auto"/>
          </w:tcPr>
          <w:p w14:paraId="23732A9F" w14:textId="77777777" w:rsidR="00C15F2E" w:rsidRPr="00D96063" w:rsidRDefault="0087550A" w:rsidP="002A3F9E">
            <w:pPr>
              <w:jc w:val="left"/>
              <w:rPr>
                <w:sz w:val="15"/>
                <w:szCs w:val="15"/>
              </w:rPr>
            </w:pPr>
            <w:hyperlink r:id="rId33" w:history="1">
              <w:r w:rsidR="00C15F2E" w:rsidRPr="00D96063">
                <w:rPr>
                  <w:rStyle w:val="Hyperlink"/>
                  <w:sz w:val="15"/>
                  <w:szCs w:val="15"/>
                </w:rPr>
                <w:t>VAT (Amendment) Act, 2017 (Act 948)</w:t>
              </w:r>
            </w:hyperlink>
          </w:p>
        </w:tc>
        <w:tc>
          <w:tcPr>
            <w:tcW w:w="0" w:type="auto"/>
          </w:tcPr>
          <w:p w14:paraId="1436D00F" w14:textId="77777777" w:rsidR="00C15F2E" w:rsidRPr="00D96063" w:rsidRDefault="00C15F2E" w:rsidP="002A3F9E">
            <w:pPr>
              <w:rPr>
                <w:rStyle w:val="Hyperlink"/>
                <w:sz w:val="15"/>
                <w:szCs w:val="15"/>
                <w:u w:val="none"/>
              </w:rPr>
            </w:pPr>
            <w:r w:rsidRPr="00D96063">
              <w:rPr>
                <w:rStyle w:val="Hyperlink"/>
                <w:color w:val="auto"/>
                <w:sz w:val="15"/>
                <w:szCs w:val="15"/>
                <w:u w:val="none"/>
              </w:rPr>
              <w:t>n.a.</w:t>
            </w:r>
          </w:p>
        </w:tc>
      </w:tr>
      <w:tr w:rsidR="00C15F2E" w:rsidRPr="00D96063" w14:paraId="50ACD71D"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tcBorders>
              <w:bottom w:val="nil"/>
            </w:tcBorders>
          </w:tcPr>
          <w:p w14:paraId="2FF53AD2" w14:textId="77777777" w:rsidR="00C15F2E" w:rsidRPr="00D96063" w:rsidRDefault="00C15F2E" w:rsidP="002A3F9E">
            <w:pPr>
              <w:jc w:val="left"/>
              <w:rPr>
                <w:b/>
                <w:bCs/>
                <w:sz w:val="15"/>
                <w:szCs w:val="15"/>
              </w:rPr>
            </w:pPr>
            <w:r w:rsidRPr="00D96063">
              <w:rPr>
                <w:b/>
                <w:bCs/>
                <w:sz w:val="15"/>
                <w:szCs w:val="15"/>
              </w:rPr>
              <w:t>Other duties and charges</w:t>
            </w:r>
          </w:p>
        </w:tc>
        <w:tc>
          <w:tcPr>
            <w:tcW w:w="0" w:type="auto"/>
            <w:tcBorders>
              <w:bottom w:val="nil"/>
            </w:tcBorders>
          </w:tcPr>
          <w:p w14:paraId="6DDE543E" w14:textId="77777777" w:rsidR="00C15F2E" w:rsidRPr="00D96063" w:rsidRDefault="00C15F2E" w:rsidP="002A3F9E">
            <w:pPr>
              <w:jc w:val="left"/>
              <w:rPr>
                <w:sz w:val="15"/>
                <w:szCs w:val="15"/>
              </w:rPr>
            </w:pPr>
            <w:r w:rsidRPr="00D96063">
              <w:rPr>
                <w:sz w:val="15"/>
                <w:szCs w:val="15"/>
              </w:rPr>
              <w:t>Financial Sector Recovery Levy Act, 2021 (Act 1067)</w:t>
            </w:r>
          </w:p>
        </w:tc>
        <w:tc>
          <w:tcPr>
            <w:tcW w:w="0" w:type="auto"/>
            <w:tcBorders>
              <w:bottom w:val="nil"/>
            </w:tcBorders>
          </w:tcPr>
          <w:p w14:paraId="0552B315" w14:textId="77777777" w:rsidR="00C15F2E" w:rsidRPr="00D96063" w:rsidRDefault="0087550A" w:rsidP="002A3F9E">
            <w:pPr>
              <w:jc w:val="left"/>
              <w:rPr>
                <w:rStyle w:val="Hyperlink"/>
                <w:sz w:val="15"/>
                <w:szCs w:val="15"/>
              </w:rPr>
            </w:pPr>
            <w:hyperlink r:id="rId34" w:history="1">
              <w:r w:rsidR="00C15F2E" w:rsidRPr="00D96063">
                <w:rPr>
                  <w:rStyle w:val="Hyperlink"/>
                  <w:sz w:val="15"/>
                  <w:szCs w:val="15"/>
                </w:rPr>
                <w:t>www.bcp.gov.gh</w:t>
              </w:r>
            </w:hyperlink>
            <w:r w:rsidR="00C15F2E" w:rsidRPr="00D96063">
              <w:rPr>
                <w:rStyle w:val="Hyperlink"/>
                <w:sz w:val="15"/>
                <w:szCs w:val="15"/>
              </w:rPr>
              <w:t xml:space="preserve"> </w:t>
            </w:r>
          </w:p>
        </w:tc>
      </w:tr>
      <w:tr w:rsidR="00C15F2E" w:rsidRPr="00D96063" w14:paraId="091D2D77" w14:textId="77777777" w:rsidTr="002A3F9E">
        <w:tc>
          <w:tcPr>
            <w:tcW w:w="0" w:type="auto"/>
            <w:tcBorders>
              <w:top w:val="nil"/>
              <w:bottom w:val="nil"/>
            </w:tcBorders>
            <w:shd w:val="clear" w:color="auto" w:fill="C9DED4"/>
          </w:tcPr>
          <w:p w14:paraId="11C54D01" w14:textId="77777777" w:rsidR="00C15F2E" w:rsidRPr="00D96063" w:rsidRDefault="00C15F2E" w:rsidP="002A3F9E">
            <w:pPr>
              <w:jc w:val="left"/>
              <w:rPr>
                <w:b/>
                <w:bCs/>
                <w:sz w:val="15"/>
                <w:szCs w:val="15"/>
              </w:rPr>
            </w:pPr>
          </w:p>
        </w:tc>
        <w:tc>
          <w:tcPr>
            <w:tcW w:w="0" w:type="auto"/>
            <w:tcBorders>
              <w:top w:val="nil"/>
              <w:bottom w:val="nil"/>
            </w:tcBorders>
            <w:shd w:val="clear" w:color="auto" w:fill="C9DED4"/>
          </w:tcPr>
          <w:p w14:paraId="5927CE31" w14:textId="77777777" w:rsidR="00C15F2E" w:rsidRPr="00D96063" w:rsidRDefault="00C15F2E" w:rsidP="002A3F9E">
            <w:pPr>
              <w:jc w:val="left"/>
              <w:rPr>
                <w:sz w:val="15"/>
                <w:szCs w:val="15"/>
              </w:rPr>
            </w:pPr>
            <w:r w:rsidRPr="00D96063">
              <w:rPr>
                <w:sz w:val="15"/>
                <w:szCs w:val="15"/>
              </w:rPr>
              <w:t>Energy Sector Levies (Amendment) Act, 2021 (Act 1064)</w:t>
            </w:r>
          </w:p>
        </w:tc>
        <w:tc>
          <w:tcPr>
            <w:tcW w:w="0" w:type="auto"/>
            <w:tcBorders>
              <w:top w:val="nil"/>
              <w:bottom w:val="nil"/>
            </w:tcBorders>
            <w:shd w:val="clear" w:color="auto" w:fill="C9DED4"/>
          </w:tcPr>
          <w:p w14:paraId="671E1BCB" w14:textId="77777777" w:rsidR="00C15F2E" w:rsidRPr="00D96063" w:rsidRDefault="00C15F2E" w:rsidP="002A3F9E">
            <w:pPr>
              <w:jc w:val="left"/>
              <w:rPr>
                <w:rStyle w:val="Hyperlink"/>
                <w:sz w:val="15"/>
                <w:szCs w:val="15"/>
              </w:rPr>
            </w:pPr>
          </w:p>
        </w:tc>
      </w:tr>
      <w:tr w:rsidR="00C15F2E" w:rsidRPr="00D96063" w14:paraId="20F8F0D1"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tcBorders>
              <w:top w:val="nil"/>
            </w:tcBorders>
            <w:shd w:val="clear" w:color="auto" w:fill="auto"/>
          </w:tcPr>
          <w:p w14:paraId="3F65E53A" w14:textId="77777777" w:rsidR="00C15F2E" w:rsidRPr="00D96063" w:rsidRDefault="00C15F2E" w:rsidP="002A3F9E">
            <w:pPr>
              <w:jc w:val="left"/>
              <w:rPr>
                <w:b/>
                <w:bCs/>
                <w:sz w:val="15"/>
                <w:szCs w:val="15"/>
              </w:rPr>
            </w:pPr>
            <w:r w:rsidRPr="00D96063">
              <w:rPr>
                <w:b/>
                <w:bCs/>
                <w:sz w:val="15"/>
                <w:szCs w:val="15"/>
              </w:rPr>
              <w:t>Trade remedies</w:t>
            </w:r>
          </w:p>
        </w:tc>
        <w:tc>
          <w:tcPr>
            <w:tcW w:w="0" w:type="auto"/>
            <w:tcBorders>
              <w:top w:val="nil"/>
            </w:tcBorders>
            <w:shd w:val="clear" w:color="auto" w:fill="auto"/>
          </w:tcPr>
          <w:p w14:paraId="4317C859" w14:textId="77777777" w:rsidR="00C15F2E" w:rsidRPr="00D96063" w:rsidRDefault="00C15F2E" w:rsidP="002A3F9E">
            <w:pPr>
              <w:jc w:val="left"/>
              <w:rPr>
                <w:sz w:val="15"/>
                <w:szCs w:val="15"/>
              </w:rPr>
            </w:pPr>
            <w:r w:rsidRPr="00D96063">
              <w:rPr>
                <w:sz w:val="15"/>
                <w:szCs w:val="15"/>
              </w:rPr>
              <w:t>Ghana International Trade Commission Act, 2016 (Act 926)</w:t>
            </w:r>
          </w:p>
        </w:tc>
        <w:tc>
          <w:tcPr>
            <w:tcW w:w="0" w:type="auto"/>
            <w:tcBorders>
              <w:top w:val="nil"/>
            </w:tcBorders>
            <w:shd w:val="clear" w:color="auto" w:fill="auto"/>
          </w:tcPr>
          <w:p w14:paraId="026DD5DA" w14:textId="77777777" w:rsidR="00C15F2E" w:rsidRPr="00D96063" w:rsidRDefault="0087550A" w:rsidP="002A3F9E">
            <w:pPr>
              <w:jc w:val="left"/>
              <w:rPr>
                <w:rStyle w:val="Hyperlink"/>
                <w:sz w:val="15"/>
                <w:szCs w:val="15"/>
              </w:rPr>
            </w:pPr>
            <w:hyperlink r:id="rId35" w:history="1">
              <w:r w:rsidR="00C15F2E" w:rsidRPr="00D96063">
                <w:rPr>
                  <w:rStyle w:val="Hyperlink"/>
                  <w:sz w:val="15"/>
                  <w:szCs w:val="15"/>
                </w:rPr>
                <w:t>www.gitc.gov.gh</w:t>
              </w:r>
            </w:hyperlink>
          </w:p>
          <w:p w14:paraId="4AB1C5AA" w14:textId="77777777" w:rsidR="00C15F2E" w:rsidRPr="00D96063" w:rsidRDefault="0087550A" w:rsidP="002A3F9E">
            <w:pPr>
              <w:jc w:val="left"/>
              <w:rPr>
                <w:rStyle w:val="Hyperlink"/>
                <w:sz w:val="15"/>
                <w:szCs w:val="15"/>
              </w:rPr>
            </w:pPr>
            <w:hyperlink r:id="rId36" w:history="1">
              <w:r w:rsidR="00C15F2E" w:rsidRPr="00D96063">
                <w:rPr>
                  <w:rStyle w:val="Hyperlink"/>
                  <w:sz w:val="15"/>
                  <w:szCs w:val="15"/>
                </w:rPr>
                <w:t>www.bcp.gov.gh</w:t>
              </w:r>
            </w:hyperlink>
            <w:r w:rsidR="00C15F2E" w:rsidRPr="00D96063">
              <w:rPr>
                <w:rStyle w:val="Hyperlink"/>
                <w:sz w:val="15"/>
                <w:szCs w:val="15"/>
              </w:rPr>
              <w:t xml:space="preserve"> </w:t>
            </w:r>
          </w:p>
        </w:tc>
      </w:tr>
      <w:tr w:rsidR="00C15F2E" w:rsidRPr="00D96063" w14:paraId="140DCE02" w14:textId="77777777" w:rsidTr="002A3F9E">
        <w:tc>
          <w:tcPr>
            <w:tcW w:w="0" w:type="auto"/>
            <w:shd w:val="clear" w:color="auto" w:fill="auto"/>
          </w:tcPr>
          <w:p w14:paraId="093B352E" w14:textId="77777777" w:rsidR="00C15F2E" w:rsidRPr="00D96063" w:rsidRDefault="00C15F2E" w:rsidP="002A3F9E">
            <w:pPr>
              <w:jc w:val="left"/>
              <w:rPr>
                <w:b/>
                <w:bCs/>
                <w:sz w:val="15"/>
                <w:szCs w:val="15"/>
              </w:rPr>
            </w:pPr>
          </w:p>
        </w:tc>
        <w:tc>
          <w:tcPr>
            <w:tcW w:w="0" w:type="auto"/>
            <w:shd w:val="clear" w:color="auto" w:fill="auto"/>
          </w:tcPr>
          <w:p w14:paraId="3F73E27A" w14:textId="77777777" w:rsidR="00C15F2E" w:rsidRPr="00D96063" w:rsidRDefault="00C15F2E" w:rsidP="002A3F9E">
            <w:pPr>
              <w:jc w:val="left"/>
              <w:rPr>
                <w:sz w:val="15"/>
                <w:szCs w:val="15"/>
              </w:rPr>
            </w:pPr>
            <w:r w:rsidRPr="00D96063">
              <w:rPr>
                <w:sz w:val="15"/>
                <w:szCs w:val="15"/>
              </w:rPr>
              <w:t>GITC Anti-Dumping Regulations, 2019 (L.I. 2380); GITC Customs Valuation Dispute Settlement Regulations, 2019 (L.I. 2382); GITC Subsidy and Countervailing Measures Regulations, 2020 (L.I. 2425); and GITC Safeguard Measures Regulations, 2020 (L.I. 2426)</w:t>
            </w:r>
          </w:p>
        </w:tc>
        <w:tc>
          <w:tcPr>
            <w:tcW w:w="0" w:type="auto"/>
            <w:shd w:val="clear" w:color="auto" w:fill="auto"/>
          </w:tcPr>
          <w:p w14:paraId="5BC44812" w14:textId="77777777" w:rsidR="00C15F2E" w:rsidRPr="00D96063" w:rsidRDefault="00C15F2E" w:rsidP="002A3F9E">
            <w:pPr>
              <w:jc w:val="left"/>
              <w:rPr>
                <w:rStyle w:val="Hyperlink"/>
                <w:sz w:val="15"/>
                <w:szCs w:val="15"/>
              </w:rPr>
            </w:pPr>
          </w:p>
        </w:tc>
      </w:tr>
      <w:tr w:rsidR="00C15F2E" w:rsidRPr="00D96063" w14:paraId="329A3108"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tcPr>
          <w:p w14:paraId="70A4D2AE" w14:textId="77777777" w:rsidR="00C15F2E" w:rsidRPr="00D96063" w:rsidRDefault="00C15F2E" w:rsidP="002A3F9E">
            <w:pPr>
              <w:jc w:val="left"/>
              <w:rPr>
                <w:b/>
                <w:bCs/>
                <w:sz w:val="15"/>
                <w:szCs w:val="15"/>
              </w:rPr>
            </w:pPr>
            <w:r w:rsidRPr="00D96063">
              <w:rPr>
                <w:b/>
                <w:bCs/>
                <w:sz w:val="15"/>
                <w:szCs w:val="15"/>
              </w:rPr>
              <w:t>SPS measures</w:t>
            </w:r>
          </w:p>
        </w:tc>
        <w:tc>
          <w:tcPr>
            <w:tcW w:w="0" w:type="auto"/>
          </w:tcPr>
          <w:p w14:paraId="7E3340A3" w14:textId="77777777" w:rsidR="00C15F2E" w:rsidRPr="00D96063" w:rsidRDefault="00C15F2E" w:rsidP="002A3F9E">
            <w:pPr>
              <w:jc w:val="left"/>
              <w:rPr>
                <w:bCs/>
                <w:sz w:val="15"/>
                <w:szCs w:val="15"/>
              </w:rPr>
            </w:pPr>
            <w:r w:rsidRPr="00D96063">
              <w:rPr>
                <w:sz w:val="15"/>
                <w:szCs w:val="15"/>
              </w:rPr>
              <w:t>Biosafety (Management of Biotechnology) Regulations, 2018</w:t>
            </w:r>
          </w:p>
        </w:tc>
        <w:tc>
          <w:tcPr>
            <w:tcW w:w="0" w:type="auto"/>
          </w:tcPr>
          <w:p w14:paraId="0F43AEEB" w14:textId="77777777" w:rsidR="00C15F2E" w:rsidRPr="00D96063" w:rsidRDefault="00C15F2E" w:rsidP="002A3F9E">
            <w:pPr>
              <w:jc w:val="left"/>
              <w:rPr>
                <w:rStyle w:val="Hyperlink"/>
                <w:sz w:val="15"/>
                <w:szCs w:val="15"/>
                <w:u w:val="none"/>
              </w:rPr>
            </w:pPr>
            <w:r w:rsidRPr="00D96063">
              <w:rPr>
                <w:rStyle w:val="Hyperlink"/>
                <w:color w:val="auto"/>
                <w:sz w:val="15"/>
                <w:szCs w:val="15"/>
                <w:u w:val="none"/>
              </w:rPr>
              <w:t>n.a.</w:t>
            </w:r>
          </w:p>
        </w:tc>
      </w:tr>
      <w:tr w:rsidR="00C15F2E" w:rsidRPr="00D96063" w14:paraId="68F22DB0" w14:textId="77777777" w:rsidTr="002A3F9E">
        <w:tc>
          <w:tcPr>
            <w:tcW w:w="0" w:type="auto"/>
          </w:tcPr>
          <w:p w14:paraId="6057DA91" w14:textId="77777777" w:rsidR="00C15F2E" w:rsidRPr="00D96063" w:rsidRDefault="00C15F2E" w:rsidP="002A3F9E">
            <w:pPr>
              <w:jc w:val="left"/>
              <w:rPr>
                <w:b/>
                <w:bCs/>
                <w:sz w:val="15"/>
                <w:szCs w:val="15"/>
              </w:rPr>
            </w:pPr>
            <w:r w:rsidRPr="00D96063">
              <w:rPr>
                <w:b/>
                <w:bCs/>
                <w:sz w:val="15"/>
                <w:szCs w:val="15"/>
              </w:rPr>
              <w:t>Export finance</w:t>
            </w:r>
          </w:p>
        </w:tc>
        <w:tc>
          <w:tcPr>
            <w:tcW w:w="0" w:type="auto"/>
          </w:tcPr>
          <w:p w14:paraId="2568E4A3" w14:textId="77777777" w:rsidR="00C15F2E" w:rsidRPr="00D96063" w:rsidRDefault="0087550A" w:rsidP="002A3F9E">
            <w:pPr>
              <w:jc w:val="left"/>
              <w:rPr>
                <w:sz w:val="15"/>
                <w:szCs w:val="15"/>
              </w:rPr>
            </w:pPr>
            <w:hyperlink r:id="rId37" w:history="1">
              <w:r w:rsidR="00C15F2E" w:rsidRPr="00D96063">
                <w:rPr>
                  <w:rStyle w:val="Hyperlink"/>
                  <w:sz w:val="15"/>
                  <w:szCs w:val="15"/>
                </w:rPr>
                <w:t>Ghana Export-Import Bank Act, 2016 (Act 911)</w:t>
              </w:r>
            </w:hyperlink>
          </w:p>
        </w:tc>
        <w:tc>
          <w:tcPr>
            <w:tcW w:w="0" w:type="auto"/>
          </w:tcPr>
          <w:p w14:paraId="441813A3" w14:textId="77777777" w:rsidR="00C15F2E" w:rsidRPr="00D96063" w:rsidRDefault="0087550A" w:rsidP="002A3F9E">
            <w:pPr>
              <w:jc w:val="left"/>
              <w:rPr>
                <w:rStyle w:val="Hyperlink"/>
                <w:sz w:val="15"/>
                <w:szCs w:val="15"/>
              </w:rPr>
            </w:pPr>
            <w:hyperlink r:id="rId38" w:history="1">
              <w:r w:rsidR="00C15F2E" w:rsidRPr="00D96063">
                <w:rPr>
                  <w:rStyle w:val="Hyperlink"/>
                  <w:sz w:val="15"/>
                  <w:szCs w:val="15"/>
                </w:rPr>
                <w:t>www.bcp.gov.gh</w:t>
              </w:r>
            </w:hyperlink>
          </w:p>
          <w:p w14:paraId="6AB6268F" w14:textId="77777777" w:rsidR="00C15F2E" w:rsidRPr="00D96063" w:rsidRDefault="0087550A" w:rsidP="002A3F9E">
            <w:pPr>
              <w:jc w:val="left"/>
              <w:rPr>
                <w:rStyle w:val="Hyperlink"/>
                <w:sz w:val="15"/>
                <w:szCs w:val="15"/>
              </w:rPr>
            </w:pPr>
            <w:hyperlink r:id="rId39" w:history="1">
              <w:r w:rsidR="00C15F2E" w:rsidRPr="00D96063">
                <w:rPr>
                  <w:rStyle w:val="Hyperlink"/>
                  <w:sz w:val="15"/>
                  <w:szCs w:val="15"/>
                </w:rPr>
                <w:t>http://www.eximbankghana.com</w:t>
              </w:r>
            </w:hyperlink>
          </w:p>
        </w:tc>
      </w:tr>
      <w:tr w:rsidR="00C15F2E" w:rsidRPr="00D96063" w14:paraId="0568BD53"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tcPr>
          <w:p w14:paraId="2DCFAECD" w14:textId="77777777" w:rsidR="00C15F2E" w:rsidRPr="00D96063" w:rsidRDefault="00C15F2E" w:rsidP="002A3F9E">
            <w:pPr>
              <w:jc w:val="left"/>
              <w:rPr>
                <w:b/>
                <w:bCs/>
                <w:sz w:val="15"/>
                <w:szCs w:val="15"/>
              </w:rPr>
            </w:pPr>
            <w:r w:rsidRPr="00D96063">
              <w:rPr>
                <w:b/>
                <w:bCs/>
                <w:sz w:val="15"/>
                <w:szCs w:val="15"/>
              </w:rPr>
              <w:t>Government procurement</w:t>
            </w:r>
          </w:p>
        </w:tc>
        <w:tc>
          <w:tcPr>
            <w:tcW w:w="0" w:type="auto"/>
          </w:tcPr>
          <w:p w14:paraId="1371BD9A" w14:textId="295C2049" w:rsidR="00C15F2E" w:rsidRPr="00D96063" w:rsidRDefault="00C15F2E" w:rsidP="002A3F9E">
            <w:pPr>
              <w:jc w:val="left"/>
              <w:rPr>
                <w:sz w:val="15"/>
                <w:szCs w:val="15"/>
              </w:rPr>
            </w:pPr>
            <w:r w:rsidRPr="00D96063">
              <w:rPr>
                <w:sz w:val="15"/>
                <w:szCs w:val="15"/>
              </w:rPr>
              <w:t>Public Procurement Act, 2003 (Act 663), as amended by Act 914 in 2016</w:t>
            </w:r>
          </w:p>
        </w:tc>
        <w:tc>
          <w:tcPr>
            <w:tcW w:w="0" w:type="auto"/>
          </w:tcPr>
          <w:p w14:paraId="0D83693B" w14:textId="0AE3A063" w:rsidR="00C15F2E" w:rsidRPr="00D96063" w:rsidRDefault="0087550A" w:rsidP="002A3F9E">
            <w:pPr>
              <w:jc w:val="left"/>
              <w:rPr>
                <w:rStyle w:val="Hyperlink"/>
                <w:b/>
                <w:bCs/>
                <w:sz w:val="15"/>
                <w:szCs w:val="15"/>
              </w:rPr>
            </w:pPr>
            <w:hyperlink r:id="rId40" w:history="1">
              <w:r w:rsidR="00AA5626">
                <w:rPr>
                  <w:rStyle w:val="Hyperlink"/>
                  <w:sz w:val="15"/>
                  <w:szCs w:val="15"/>
                </w:rPr>
                <w:t>https://ppa.gov.gh/</w:t>
              </w:r>
            </w:hyperlink>
          </w:p>
        </w:tc>
      </w:tr>
      <w:tr w:rsidR="00C15F2E" w:rsidRPr="00D96063" w14:paraId="1954B41E" w14:textId="77777777" w:rsidTr="002A3F9E">
        <w:trPr>
          <w:trHeight w:val="267"/>
        </w:trPr>
        <w:tc>
          <w:tcPr>
            <w:tcW w:w="0" w:type="auto"/>
          </w:tcPr>
          <w:p w14:paraId="1E33D82B" w14:textId="77777777" w:rsidR="00C15F2E" w:rsidRPr="00D96063" w:rsidRDefault="00C15F2E" w:rsidP="002A3F9E">
            <w:pPr>
              <w:jc w:val="left"/>
              <w:rPr>
                <w:b/>
                <w:bCs/>
                <w:sz w:val="15"/>
                <w:szCs w:val="15"/>
              </w:rPr>
            </w:pPr>
            <w:r w:rsidRPr="00D96063">
              <w:rPr>
                <w:b/>
                <w:bCs/>
                <w:sz w:val="15"/>
                <w:szCs w:val="15"/>
              </w:rPr>
              <w:t>Intellectual property</w:t>
            </w:r>
          </w:p>
        </w:tc>
        <w:tc>
          <w:tcPr>
            <w:tcW w:w="0" w:type="auto"/>
          </w:tcPr>
          <w:p w14:paraId="45F8BA3E" w14:textId="77777777" w:rsidR="00C15F2E" w:rsidRPr="00D96063" w:rsidRDefault="00C15F2E" w:rsidP="002A3F9E">
            <w:pPr>
              <w:jc w:val="left"/>
              <w:rPr>
                <w:sz w:val="15"/>
                <w:szCs w:val="15"/>
              </w:rPr>
            </w:pPr>
            <w:r w:rsidRPr="00D96063">
              <w:rPr>
                <w:sz w:val="15"/>
                <w:szCs w:val="15"/>
              </w:rPr>
              <w:t>Trademarks (Amendment) Act, 2014 (Act 876); Industrial Designs Amendment Act, 2020 (Act 1033); and Plant Variety Protection Act, 2020 (Act 1050)</w:t>
            </w:r>
          </w:p>
        </w:tc>
        <w:tc>
          <w:tcPr>
            <w:tcW w:w="0" w:type="auto"/>
          </w:tcPr>
          <w:p w14:paraId="720DC772" w14:textId="77777777" w:rsidR="00C15F2E" w:rsidRPr="00D96063" w:rsidRDefault="0087550A" w:rsidP="002A3F9E">
            <w:pPr>
              <w:jc w:val="left"/>
              <w:rPr>
                <w:rStyle w:val="Hyperlink"/>
                <w:sz w:val="15"/>
                <w:szCs w:val="15"/>
              </w:rPr>
            </w:pPr>
            <w:hyperlink r:id="rId41" w:history="1">
              <w:r w:rsidR="00C15F2E" w:rsidRPr="00D96063">
                <w:rPr>
                  <w:rStyle w:val="Hyperlink"/>
                  <w:sz w:val="15"/>
                  <w:szCs w:val="15"/>
                </w:rPr>
                <w:t>www.bcp.gov.gh</w:t>
              </w:r>
            </w:hyperlink>
          </w:p>
          <w:p w14:paraId="15A941F9" w14:textId="77777777" w:rsidR="00C15F2E" w:rsidRPr="00D96063" w:rsidRDefault="00C15F2E" w:rsidP="002A3F9E">
            <w:pPr>
              <w:jc w:val="left"/>
              <w:rPr>
                <w:rStyle w:val="Hyperlink"/>
                <w:sz w:val="15"/>
                <w:szCs w:val="15"/>
              </w:rPr>
            </w:pPr>
          </w:p>
        </w:tc>
      </w:tr>
      <w:tr w:rsidR="00C15F2E" w:rsidRPr="00D96063" w14:paraId="79633947" w14:textId="77777777" w:rsidTr="002A3F9E">
        <w:trPr>
          <w:cnfStyle w:val="000000010000" w:firstRow="0" w:lastRow="0" w:firstColumn="0" w:lastColumn="0" w:oddVBand="0" w:evenVBand="0" w:oddHBand="0" w:evenHBand="1" w:firstRowFirstColumn="0" w:firstRowLastColumn="0" w:lastRowFirstColumn="0" w:lastRowLastColumn="0"/>
          <w:trHeight w:val="154"/>
        </w:trPr>
        <w:tc>
          <w:tcPr>
            <w:tcW w:w="0" w:type="auto"/>
            <w:tcBorders>
              <w:bottom w:val="nil"/>
            </w:tcBorders>
          </w:tcPr>
          <w:p w14:paraId="618EA163" w14:textId="77777777" w:rsidR="00C15F2E" w:rsidRPr="00D96063" w:rsidRDefault="00C15F2E" w:rsidP="002A3F9E">
            <w:pPr>
              <w:jc w:val="left"/>
              <w:rPr>
                <w:b/>
                <w:bCs/>
                <w:sz w:val="15"/>
                <w:szCs w:val="15"/>
              </w:rPr>
            </w:pPr>
            <w:r w:rsidRPr="00D96063">
              <w:rPr>
                <w:b/>
                <w:bCs/>
                <w:sz w:val="15"/>
                <w:szCs w:val="15"/>
              </w:rPr>
              <w:t>Local content rules</w:t>
            </w:r>
          </w:p>
        </w:tc>
        <w:tc>
          <w:tcPr>
            <w:tcW w:w="0" w:type="auto"/>
            <w:tcBorders>
              <w:bottom w:val="nil"/>
            </w:tcBorders>
          </w:tcPr>
          <w:p w14:paraId="37D23F89" w14:textId="77777777" w:rsidR="00C15F2E" w:rsidRPr="00D96063" w:rsidRDefault="00C15F2E" w:rsidP="002A3F9E">
            <w:pPr>
              <w:jc w:val="left"/>
              <w:rPr>
                <w:sz w:val="15"/>
                <w:szCs w:val="15"/>
              </w:rPr>
            </w:pPr>
            <w:r w:rsidRPr="00D96063">
              <w:rPr>
                <w:sz w:val="15"/>
                <w:szCs w:val="15"/>
              </w:rPr>
              <w:t>Energy Commission (Local Content and Local Participation, Electricity Supply Industry) Regulations, 2017 (L.I. 2354);</w:t>
            </w:r>
          </w:p>
        </w:tc>
        <w:tc>
          <w:tcPr>
            <w:tcW w:w="0" w:type="auto"/>
            <w:tcBorders>
              <w:bottom w:val="nil"/>
            </w:tcBorders>
          </w:tcPr>
          <w:p w14:paraId="17DC4C2E" w14:textId="77777777" w:rsidR="00C15F2E" w:rsidRPr="00D96063" w:rsidRDefault="00C15F2E" w:rsidP="002A3F9E">
            <w:pPr>
              <w:jc w:val="left"/>
              <w:rPr>
                <w:rStyle w:val="Hyperlink"/>
                <w:sz w:val="15"/>
                <w:szCs w:val="15"/>
                <w:u w:val="none"/>
              </w:rPr>
            </w:pPr>
            <w:r w:rsidRPr="00D96063">
              <w:rPr>
                <w:rStyle w:val="Hyperlink"/>
                <w:color w:val="auto"/>
                <w:sz w:val="15"/>
                <w:szCs w:val="15"/>
                <w:u w:val="none"/>
              </w:rPr>
              <w:t>n.a.</w:t>
            </w:r>
          </w:p>
        </w:tc>
      </w:tr>
      <w:tr w:rsidR="00C15F2E" w:rsidRPr="00D96063" w14:paraId="619A22A1" w14:textId="77777777" w:rsidTr="002A3F9E">
        <w:trPr>
          <w:trHeight w:val="301"/>
        </w:trPr>
        <w:tc>
          <w:tcPr>
            <w:tcW w:w="0" w:type="auto"/>
            <w:tcBorders>
              <w:top w:val="nil"/>
              <w:bottom w:val="nil"/>
            </w:tcBorders>
            <w:shd w:val="clear" w:color="auto" w:fill="C9DED4"/>
          </w:tcPr>
          <w:p w14:paraId="6E995E50" w14:textId="77777777" w:rsidR="00C15F2E" w:rsidRPr="00D96063" w:rsidRDefault="00C15F2E" w:rsidP="002A3F9E">
            <w:pPr>
              <w:jc w:val="left"/>
              <w:rPr>
                <w:b/>
                <w:bCs/>
                <w:sz w:val="15"/>
                <w:szCs w:val="15"/>
              </w:rPr>
            </w:pPr>
          </w:p>
        </w:tc>
        <w:tc>
          <w:tcPr>
            <w:tcW w:w="0" w:type="auto"/>
            <w:tcBorders>
              <w:top w:val="nil"/>
              <w:bottom w:val="nil"/>
            </w:tcBorders>
            <w:shd w:val="clear" w:color="auto" w:fill="C9DED4"/>
          </w:tcPr>
          <w:p w14:paraId="0CC41748" w14:textId="77777777" w:rsidR="00C15F2E" w:rsidRPr="00D96063" w:rsidRDefault="00C15F2E" w:rsidP="002A3F9E">
            <w:pPr>
              <w:jc w:val="left"/>
              <w:rPr>
                <w:sz w:val="15"/>
                <w:szCs w:val="15"/>
              </w:rPr>
            </w:pPr>
            <w:r w:rsidRPr="00D96063">
              <w:rPr>
                <w:sz w:val="15"/>
                <w:szCs w:val="15"/>
              </w:rPr>
              <w:t>Petroleum (Local Content and Local Participation) Regulation, 2013</w:t>
            </w:r>
          </w:p>
        </w:tc>
        <w:tc>
          <w:tcPr>
            <w:tcW w:w="0" w:type="auto"/>
            <w:tcBorders>
              <w:top w:val="nil"/>
              <w:bottom w:val="nil"/>
            </w:tcBorders>
            <w:shd w:val="clear" w:color="auto" w:fill="C9DED4"/>
          </w:tcPr>
          <w:p w14:paraId="59BDCE24" w14:textId="77777777" w:rsidR="00C15F2E" w:rsidRPr="00D96063" w:rsidRDefault="00C15F2E" w:rsidP="002A3F9E">
            <w:pPr>
              <w:jc w:val="left"/>
              <w:rPr>
                <w:rStyle w:val="Hyperlink"/>
                <w:sz w:val="15"/>
                <w:szCs w:val="15"/>
              </w:rPr>
            </w:pPr>
          </w:p>
        </w:tc>
      </w:tr>
      <w:tr w:rsidR="00C15F2E" w:rsidRPr="00D96063" w14:paraId="0431BA72"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tcBorders>
              <w:top w:val="nil"/>
              <w:bottom w:val="nil"/>
            </w:tcBorders>
            <w:shd w:val="clear" w:color="auto" w:fill="auto"/>
          </w:tcPr>
          <w:p w14:paraId="712F5560" w14:textId="77777777" w:rsidR="00C15F2E" w:rsidRPr="00D96063" w:rsidRDefault="00C15F2E" w:rsidP="002A3F9E">
            <w:pPr>
              <w:jc w:val="left"/>
              <w:rPr>
                <w:b/>
                <w:bCs/>
                <w:sz w:val="15"/>
                <w:szCs w:val="15"/>
              </w:rPr>
            </w:pPr>
            <w:r w:rsidRPr="00D96063">
              <w:rPr>
                <w:b/>
                <w:bCs/>
                <w:sz w:val="15"/>
                <w:szCs w:val="15"/>
              </w:rPr>
              <w:t>Forestry</w:t>
            </w:r>
          </w:p>
        </w:tc>
        <w:tc>
          <w:tcPr>
            <w:tcW w:w="0" w:type="auto"/>
            <w:tcBorders>
              <w:top w:val="nil"/>
              <w:bottom w:val="nil"/>
            </w:tcBorders>
            <w:shd w:val="clear" w:color="auto" w:fill="auto"/>
          </w:tcPr>
          <w:p w14:paraId="3FEB2A61" w14:textId="77777777" w:rsidR="00C15F2E" w:rsidRPr="00D96063" w:rsidRDefault="00C15F2E" w:rsidP="002A3F9E">
            <w:pPr>
              <w:jc w:val="left"/>
              <w:rPr>
                <w:sz w:val="15"/>
                <w:szCs w:val="15"/>
              </w:rPr>
            </w:pPr>
            <w:r w:rsidRPr="00D96063">
              <w:rPr>
                <w:sz w:val="15"/>
                <w:szCs w:val="15"/>
              </w:rPr>
              <w:t>Forest Law Enforcement, Governance and Trade (FLEGT) licensing scheme</w:t>
            </w:r>
          </w:p>
        </w:tc>
        <w:tc>
          <w:tcPr>
            <w:tcW w:w="0" w:type="auto"/>
            <w:tcBorders>
              <w:top w:val="nil"/>
              <w:bottom w:val="nil"/>
            </w:tcBorders>
            <w:shd w:val="clear" w:color="auto" w:fill="auto"/>
          </w:tcPr>
          <w:p w14:paraId="3BC5914C" w14:textId="77777777" w:rsidR="00C15F2E" w:rsidRPr="00D96063" w:rsidRDefault="0087550A" w:rsidP="002A3F9E">
            <w:pPr>
              <w:jc w:val="left"/>
              <w:rPr>
                <w:rStyle w:val="Hyperlink"/>
                <w:sz w:val="15"/>
                <w:szCs w:val="15"/>
              </w:rPr>
            </w:pPr>
            <w:hyperlink r:id="rId42" w:history="1">
              <w:r w:rsidR="00C15F2E" w:rsidRPr="00D96063">
                <w:rPr>
                  <w:rStyle w:val="Hyperlink"/>
                  <w:sz w:val="15"/>
                  <w:szCs w:val="15"/>
                </w:rPr>
                <w:t>www.bcp.gov.gh</w:t>
              </w:r>
            </w:hyperlink>
          </w:p>
          <w:p w14:paraId="2563E415" w14:textId="77777777" w:rsidR="00C15F2E" w:rsidRPr="00D96063" w:rsidRDefault="0087550A" w:rsidP="002A3F9E">
            <w:pPr>
              <w:jc w:val="left"/>
              <w:rPr>
                <w:rStyle w:val="Hyperlink"/>
                <w:sz w:val="15"/>
                <w:szCs w:val="15"/>
              </w:rPr>
            </w:pPr>
            <w:hyperlink r:id="rId43" w:history="1">
              <w:r w:rsidR="00C15F2E" w:rsidRPr="00D96063">
                <w:rPr>
                  <w:rStyle w:val="Hyperlink"/>
                  <w:sz w:val="15"/>
                  <w:szCs w:val="15"/>
                </w:rPr>
                <w:t>www.lgs.gov.gh</w:t>
              </w:r>
            </w:hyperlink>
            <w:r w:rsidR="00C15F2E" w:rsidRPr="00D96063">
              <w:rPr>
                <w:rStyle w:val="Hyperlink"/>
                <w:sz w:val="15"/>
                <w:szCs w:val="15"/>
              </w:rPr>
              <w:t xml:space="preserve"> </w:t>
            </w:r>
          </w:p>
        </w:tc>
      </w:tr>
      <w:tr w:rsidR="00C15F2E" w:rsidRPr="00D96063" w14:paraId="5E3E556C" w14:textId="77777777" w:rsidTr="002A3F9E">
        <w:tc>
          <w:tcPr>
            <w:tcW w:w="0" w:type="auto"/>
            <w:tcBorders>
              <w:top w:val="nil"/>
              <w:bottom w:val="nil"/>
            </w:tcBorders>
            <w:shd w:val="clear" w:color="auto" w:fill="auto"/>
          </w:tcPr>
          <w:p w14:paraId="02CA5F77" w14:textId="77777777" w:rsidR="00C15F2E" w:rsidRPr="00D96063" w:rsidRDefault="00C15F2E" w:rsidP="002A3F9E">
            <w:pPr>
              <w:jc w:val="left"/>
              <w:rPr>
                <w:b/>
                <w:bCs/>
                <w:sz w:val="15"/>
                <w:szCs w:val="15"/>
              </w:rPr>
            </w:pPr>
          </w:p>
        </w:tc>
        <w:tc>
          <w:tcPr>
            <w:tcW w:w="0" w:type="auto"/>
            <w:tcBorders>
              <w:top w:val="nil"/>
              <w:bottom w:val="nil"/>
            </w:tcBorders>
            <w:shd w:val="clear" w:color="auto" w:fill="auto"/>
          </w:tcPr>
          <w:p w14:paraId="28BD069D" w14:textId="77777777" w:rsidR="00C15F2E" w:rsidRPr="00D96063" w:rsidRDefault="00C15F2E" w:rsidP="002A3F9E">
            <w:pPr>
              <w:jc w:val="left"/>
              <w:rPr>
                <w:sz w:val="15"/>
                <w:szCs w:val="15"/>
              </w:rPr>
            </w:pPr>
            <w:r w:rsidRPr="00D96063">
              <w:rPr>
                <w:sz w:val="15"/>
                <w:szCs w:val="15"/>
              </w:rPr>
              <w:t>Timber Resource Management and Legality Licensing Regulations, 2017 (L.I. 2254)</w:t>
            </w:r>
          </w:p>
        </w:tc>
        <w:tc>
          <w:tcPr>
            <w:tcW w:w="0" w:type="auto"/>
            <w:tcBorders>
              <w:top w:val="nil"/>
              <w:bottom w:val="nil"/>
            </w:tcBorders>
            <w:shd w:val="clear" w:color="auto" w:fill="auto"/>
          </w:tcPr>
          <w:p w14:paraId="76B37938" w14:textId="77777777" w:rsidR="00C15F2E" w:rsidRPr="00D96063" w:rsidRDefault="00C15F2E" w:rsidP="002A3F9E">
            <w:pPr>
              <w:jc w:val="left"/>
              <w:rPr>
                <w:rStyle w:val="Hyperlink"/>
                <w:sz w:val="15"/>
                <w:szCs w:val="15"/>
              </w:rPr>
            </w:pPr>
          </w:p>
        </w:tc>
      </w:tr>
      <w:tr w:rsidR="00C15F2E" w:rsidRPr="00D96063" w14:paraId="42074BC3"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tcBorders>
              <w:top w:val="nil"/>
              <w:bottom w:val="nil"/>
            </w:tcBorders>
          </w:tcPr>
          <w:p w14:paraId="186008A6" w14:textId="77777777" w:rsidR="00C15F2E" w:rsidRPr="00D96063" w:rsidRDefault="00C15F2E" w:rsidP="002A3F9E">
            <w:pPr>
              <w:jc w:val="left"/>
              <w:rPr>
                <w:b/>
                <w:bCs/>
                <w:sz w:val="15"/>
                <w:szCs w:val="15"/>
              </w:rPr>
            </w:pPr>
            <w:r w:rsidRPr="00D96063">
              <w:rPr>
                <w:b/>
                <w:bCs/>
                <w:sz w:val="15"/>
                <w:szCs w:val="15"/>
              </w:rPr>
              <w:t>Fishing</w:t>
            </w:r>
          </w:p>
        </w:tc>
        <w:tc>
          <w:tcPr>
            <w:tcW w:w="0" w:type="auto"/>
            <w:tcBorders>
              <w:top w:val="nil"/>
              <w:bottom w:val="nil"/>
            </w:tcBorders>
          </w:tcPr>
          <w:p w14:paraId="373877CF" w14:textId="77777777" w:rsidR="00C15F2E" w:rsidRPr="00D96063" w:rsidRDefault="00C15F2E" w:rsidP="002A3F9E">
            <w:pPr>
              <w:jc w:val="left"/>
              <w:rPr>
                <w:sz w:val="15"/>
                <w:szCs w:val="15"/>
              </w:rPr>
            </w:pPr>
            <w:r w:rsidRPr="00D96063">
              <w:rPr>
                <w:sz w:val="15"/>
                <w:szCs w:val="15"/>
              </w:rPr>
              <w:t xml:space="preserve">Fisheries (Amendment) Act, 2014 (Act 880) </w:t>
            </w:r>
          </w:p>
        </w:tc>
        <w:tc>
          <w:tcPr>
            <w:tcW w:w="0" w:type="auto"/>
            <w:tcBorders>
              <w:top w:val="nil"/>
              <w:bottom w:val="nil"/>
            </w:tcBorders>
          </w:tcPr>
          <w:p w14:paraId="0C592030" w14:textId="77777777" w:rsidR="00C15F2E" w:rsidRPr="00D96063" w:rsidRDefault="0087550A" w:rsidP="002A3F9E">
            <w:pPr>
              <w:jc w:val="left"/>
              <w:rPr>
                <w:rStyle w:val="Hyperlink"/>
                <w:sz w:val="15"/>
                <w:szCs w:val="15"/>
              </w:rPr>
            </w:pPr>
            <w:hyperlink r:id="rId44" w:history="1">
              <w:r w:rsidR="00C15F2E" w:rsidRPr="00D96063">
                <w:rPr>
                  <w:rStyle w:val="Hyperlink"/>
                  <w:sz w:val="15"/>
                  <w:szCs w:val="15"/>
                </w:rPr>
                <w:t>www.bcp.gov.gh</w:t>
              </w:r>
            </w:hyperlink>
          </w:p>
          <w:p w14:paraId="523478B3" w14:textId="77777777" w:rsidR="00C15F2E" w:rsidRPr="00D96063" w:rsidRDefault="0087550A" w:rsidP="002A3F9E">
            <w:pPr>
              <w:jc w:val="left"/>
              <w:rPr>
                <w:rStyle w:val="Hyperlink"/>
                <w:sz w:val="15"/>
                <w:szCs w:val="15"/>
              </w:rPr>
            </w:pPr>
            <w:hyperlink r:id="rId45" w:history="1">
              <w:r w:rsidR="00C15F2E" w:rsidRPr="00D96063">
                <w:rPr>
                  <w:rStyle w:val="Hyperlink"/>
                  <w:sz w:val="15"/>
                  <w:szCs w:val="15"/>
                </w:rPr>
                <w:t>www.lgs.gov.gh</w:t>
              </w:r>
            </w:hyperlink>
            <w:r w:rsidR="00C15F2E" w:rsidRPr="00D96063">
              <w:rPr>
                <w:rStyle w:val="Hyperlink"/>
                <w:sz w:val="15"/>
                <w:szCs w:val="15"/>
              </w:rPr>
              <w:t xml:space="preserve"> </w:t>
            </w:r>
          </w:p>
        </w:tc>
      </w:tr>
      <w:tr w:rsidR="00C15F2E" w:rsidRPr="00D96063" w14:paraId="31863FE4" w14:textId="77777777" w:rsidTr="002A3F9E">
        <w:tc>
          <w:tcPr>
            <w:tcW w:w="0" w:type="auto"/>
            <w:tcBorders>
              <w:top w:val="nil"/>
              <w:bottom w:val="nil"/>
            </w:tcBorders>
            <w:shd w:val="clear" w:color="auto" w:fill="C9DED4"/>
          </w:tcPr>
          <w:p w14:paraId="2CF23E6C" w14:textId="77777777" w:rsidR="00C15F2E" w:rsidRPr="00D96063" w:rsidRDefault="00C15F2E" w:rsidP="002A3F9E">
            <w:pPr>
              <w:jc w:val="left"/>
              <w:rPr>
                <w:b/>
                <w:bCs/>
                <w:sz w:val="15"/>
                <w:szCs w:val="15"/>
              </w:rPr>
            </w:pPr>
          </w:p>
        </w:tc>
        <w:tc>
          <w:tcPr>
            <w:tcW w:w="0" w:type="auto"/>
            <w:tcBorders>
              <w:top w:val="nil"/>
              <w:bottom w:val="nil"/>
            </w:tcBorders>
            <w:shd w:val="clear" w:color="auto" w:fill="C9DED4"/>
          </w:tcPr>
          <w:p w14:paraId="6451931E" w14:textId="77777777" w:rsidR="00C15F2E" w:rsidRPr="00D96063" w:rsidRDefault="00C15F2E" w:rsidP="002A3F9E">
            <w:pPr>
              <w:jc w:val="left"/>
              <w:rPr>
                <w:sz w:val="15"/>
                <w:szCs w:val="15"/>
              </w:rPr>
            </w:pPr>
            <w:r w:rsidRPr="00D96063">
              <w:rPr>
                <w:sz w:val="15"/>
                <w:szCs w:val="15"/>
              </w:rPr>
              <w:t>Fisheries (Amendment) Regulations, 2015</w:t>
            </w:r>
          </w:p>
        </w:tc>
        <w:tc>
          <w:tcPr>
            <w:tcW w:w="0" w:type="auto"/>
            <w:tcBorders>
              <w:top w:val="nil"/>
              <w:bottom w:val="nil"/>
            </w:tcBorders>
            <w:shd w:val="clear" w:color="auto" w:fill="C9DED4"/>
          </w:tcPr>
          <w:p w14:paraId="2885D698" w14:textId="77777777" w:rsidR="00C15F2E" w:rsidRPr="00D96063" w:rsidRDefault="00C15F2E" w:rsidP="002A3F9E">
            <w:pPr>
              <w:jc w:val="left"/>
              <w:rPr>
                <w:rStyle w:val="Hyperlink"/>
                <w:sz w:val="15"/>
                <w:szCs w:val="15"/>
              </w:rPr>
            </w:pPr>
          </w:p>
        </w:tc>
      </w:tr>
      <w:tr w:rsidR="00C15F2E" w:rsidRPr="00D96063" w14:paraId="2B48F971"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tcBorders>
              <w:top w:val="nil"/>
              <w:bottom w:val="nil"/>
            </w:tcBorders>
            <w:shd w:val="clear" w:color="auto" w:fill="auto"/>
          </w:tcPr>
          <w:p w14:paraId="064DC9ED" w14:textId="77777777" w:rsidR="00C15F2E" w:rsidRPr="00D96063" w:rsidRDefault="00C15F2E" w:rsidP="002A3F9E">
            <w:pPr>
              <w:jc w:val="left"/>
              <w:rPr>
                <w:b/>
                <w:bCs/>
                <w:sz w:val="15"/>
                <w:szCs w:val="15"/>
              </w:rPr>
            </w:pPr>
            <w:r w:rsidRPr="00D96063">
              <w:rPr>
                <w:b/>
                <w:bCs/>
                <w:sz w:val="15"/>
                <w:szCs w:val="15"/>
              </w:rPr>
              <w:t>Mining</w:t>
            </w:r>
          </w:p>
        </w:tc>
        <w:tc>
          <w:tcPr>
            <w:tcW w:w="0" w:type="auto"/>
            <w:tcBorders>
              <w:top w:val="nil"/>
              <w:bottom w:val="nil"/>
            </w:tcBorders>
            <w:shd w:val="clear" w:color="auto" w:fill="auto"/>
          </w:tcPr>
          <w:p w14:paraId="71483022" w14:textId="77777777" w:rsidR="00C15F2E" w:rsidRPr="00D96063" w:rsidRDefault="00C15F2E" w:rsidP="002A3F9E">
            <w:pPr>
              <w:jc w:val="left"/>
              <w:rPr>
                <w:sz w:val="15"/>
                <w:szCs w:val="15"/>
              </w:rPr>
            </w:pPr>
            <w:r w:rsidRPr="00D96063">
              <w:rPr>
                <w:sz w:val="15"/>
                <w:szCs w:val="15"/>
              </w:rPr>
              <w:t xml:space="preserve">Exploration and Production Law, 2016 (Act 919) </w:t>
            </w:r>
          </w:p>
        </w:tc>
        <w:tc>
          <w:tcPr>
            <w:tcW w:w="0" w:type="auto"/>
            <w:tcBorders>
              <w:top w:val="nil"/>
              <w:bottom w:val="nil"/>
            </w:tcBorders>
            <w:shd w:val="clear" w:color="auto" w:fill="auto"/>
          </w:tcPr>
          <w:p w14:paraId="796B7A8A" w14:textId="77777777" w:rsidR="00C15F2E" w:rsidRPr="00D96063" w:rsidRDefault="00C15F2E" w:rsidP="002A3F9E">
            <w:pPr>
              <w:jc w:val="left"/>
              <w:rPr>
                <w:rStyle w:val="Hyperlink"/>
                <w:sz w:val="15"/>
                <w:szCs w:val="15"/>
              </w:rPr>
            </w:pPr>
          </w:p>
        </w:tc>
      </w:tr>
      <w:tr w:rsidR="00C15F2E" w:rsidRPr="00D96063" w14:paraId="1E85389A" w14:textId="77777777" w:rsidTr="002A3F9E">
        <w:tc>
          <w:tcPr>
            <w:tcW w:w="0" w:type="auto"/>
            <w:tcBorders>
              <w:top w:val="nil"/>
              <w:bottom w:val="nil"/>
            </w:tcBorders>
            <w:shd w:val="clear" w:color="auto" w:fill="auto"/>
          </w:tcPr>
          <w:p w14:paraId="299640E3" w14:textId="77777777" w:rsidR="00C15F2E" w:rsidRPr="00D96063" w:rsidRDefault="00C15F2E" w:rsidP="002A3F9E">
            <w:pPr>
              <w:jc w:val="left"/>
              <w:rPr>
                <w:b/>
                <w:bCs/>
                <w:sz w:val="15"/>
                <w:szCs w:val="15"/>
              </w:rPr>
            </w:pPr>
          </w:p>
        </w:tc>
        <w:tc>
          <w:tcPr>
            <w:tcW w:w="0" w:type="auto"/>
            <w:tcBorders>
              <w:top w:val="nil"/>
              <w:bottom w:val="nil"/>
            </w:tcBorders>
            <w:shd w:val="clear" w:color="auto" w:fill="auto"/>
          </w:tcPr>
          <w:p w14:paraId="04442055" w14:textId="77777777" w:rsidR="00C15F2E" w:rsidRPr="00D96063" w:rsidRDefault="00C15F2E" w:rsidP="002A3F9E">
            <w:pPr>
              <w:jc w:val="left"/>
              <w:rPr>
                <w:sz w:val="15"/>
                <w:szCs w:val="15"/>
              </w:rPr>
            </w:pPr>
            <w:r w:rsidRPr="00D96063">
              <w:rPr>
                <w:sz w:val="15"/>
                <w:szCs w:val="15"/>
              </w:rPr>
              <w:t>Petroleum (Exploration and Production) (General) Regulations, 2018 (L.I. 2359)</w:t>
            </w:r>
          </w:p>
        </w:tc>
        <w:tc>
          <w:tcPr>
            <w:tcW w:w="0" w:type="auto"/>
            <w:tcBorders>
              <w:top w:val="nil"/>
              <w:bottom w:val="nil"/>
            </w:tcBorders>
            <w:shd w:val="clear" w:color="auto" w:fill="auto"/>
          </w:tcPr>
          <w:p w14:paraId="44990484" w14:textId="77777777" w:rsidR="00C15F2E" w:rsidRPr="00D96063" w:rsidRDefault="0087550A" w:rsidP="002A3F9E">
            <w:pPr>
              <w:jc w:val="left"/>
              <w:rPr>
                <w:rStyle w:val="Hyperlink"/>
                <w:sz w:val="15"/>
                <w:szCs w:val="15"/>
              </w:rPr>
            </w:pPr>
            <w:hyperlink r:id="rId46" w:history="1">
              <w:r w:rsidR="00C15F2E" w:rsidRPr="00D96063">
                <w:rPr>
                  <w:rStyle w:val="Hyperlink"/>
                  <w:sz w:val="15"/>
                  <w:szCs w:val="15"/>
                </w:rPr>
                <w:t>www.bcp.gov.gh</w:t>
              </w:r>
            </w:hyperlink>
          </w:p>
          <w:p w14:paraId="3D4F192A" w14:textId="77777777" w:rsidR="00C15F2E" w:rsidRPr="00D96063" w:rsidRDefault="0087550A" w:rsidP="002A3F9E">
            <w:pPr>
              <w:jc w:val="left"/>
              <w:rPr>
                <w:rStyle w:val="Hyperlink"/>
                <w:sz w:val="15"/>
                <w:szCs w:val="15"/>
              </w:rPr>
            </w:pPr>
            <w:hyperlink r:id="rId47" w:history="1">
              <w:r w:rsidR="00C15F2E" w:rsidRPr="00D96063">
                <w:rPr>
                  <w:rStyle w:val="Hyperlink"/>
                  <w:sz w:val="15"/>
                  <w:szCs w:val="15"/>
                </w:rPr>
                <w:t>www.lgs.gov.gh</w:t>
              </w:r>
            </w:hyperlink>
            <w:r w:rsidR="00C15F2E" w:rsidRPr="00D96063">
              <w:rPr>
                <w:rStyle w:val="Hyperlink"/>
                <w:sz w:val="15"/>
                <w:szCs w:val="15"/>
              </w:rPr>
              <w:t xml:space="preserve"> </w:t>
            </w:r>
          </w:p>
        </w:tc>
      </w:tr>
      <w:tr w:rsidR="00C15F2E" w:rsidRPr="00D96063" w14:paraId="488AD899"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tcBorders>
              <w:top w:val="nil"/>
              <w:bottom w:val="nil"/>
            </w:tcBorders>
            <w:shd w:val="clear" w:color="auto" w:fill="auto"/>
          </w:tcPr>
          <w:p w14:paraId="77D92556" w14:textId="77777777" w:rsidR="00C15F2E" w:rsidRPr="00D96063" w:rsidRDefault="00C15F2E" w:rsidP="002A3F9E">
            <w:pPr>
              <w:jc w:val="left"/>
              <w:rPr>
                <w:b/>
                <w:bCs/>
                <w:sz w:val="15"/>
                <w:szCs w:val="15"/>
              </w:rPr>
            </w:pPr>
          </w:p>
        </w:tc>
        <w:tc>
          <w:tcPr>
            <w:tcW w:w="0" w:type="auto"/>
            <w:tcBorders>
              <w:top w:val="nil"/>
              <w:bottom w:val="nil"/>
            </w:tcBorders>
            <w:shd w:val="clear" w:color="auto" w:fill="auto"/>
          </w:tcPr>
          <w:p w14:paraId="607A59B0" w14:textId="77777777" w:rsidR="00C15F2E" w:rsidRPr="00D96063" w:rsidRDefault="00C15F2E" w:rsidP="002A3F9E">
            <w:pPr>
              <w:jc w:val="left"/>
              <w:rPr>
                <w:sz w:val="15"/>
                <w:szCs w:val="15"/>
              </w:rPr>
            </w:pPr>
            <w:r w:rsidRPr="00D96063">
              <w:rPr>
                <w:sz w:val="15"/>
                <w:szCs w:val="15"/>
              </w:rPr>
              <w:t>Petroleum Exploration and Production Data Management Regulation, 2017 (L.I. 2257)</w:t>
            </w:r>
          </w:p>
        </w:tc>
        <w:tc>
          <w:tcPr>
            <w:tcW w:w="0" w:type="auto"/>
            <w:tcBorders>
              <w:top w:val="nil"/>
              <w:bottom w:val="nil"/>
            </w:tcBorders>
            <w:shd w:val="clear" w:color="auto" w:fill="auto"/>
          </w:tcPr>
          <w:p w14:paraId="50CFA21B" w14:textId="77777777" w:rsidR="00C15F2E" w:rsidRPr="00D96063" w:rsidRDefault="00C15F2E" w:rsidP="002A3F9E">
            <w:pPr>
              <w:jc w:val="left"/>
              <w:rPr>
                <w:rStyle w:val="Hyperlink"/>
                <w:sz w:val="15"/>
                <w:szCs w:val="15"/>
              </w:rPr>
            </w:pPr>
          </w:p>
        </w:tc>
      </w:tr>
      <w:tr w:rsidR="00C15F2E" w:rsidRPr="00D96063" w14:paraId="23AEB519" w14:textId="77777777" w:rsidTr="002A3F9E">
        <w:tc>
          <w:tcPr>
            <w:tcW w:w="0" w:type="auto"/>
            <w:tcBorders>
              <w:top w:val="nil"/>
              <w:bottom w:val="nil"/>
            </w:tcBorders>
            <w:shd w:val="clear" w:color="auto" w:fill="C9DED4"/>
          </w:tcPr>
          <w:p w14:paraId="11A449EA" w14:textId="77777777" w:rsidR="00C15F2E" w:rsidRPr="00D96063" w:rsidRDefault="00C15F2E" w:rsidP="002A3F9E">
            <w:pPr>
              <w:jc w:val="left"/>
              <w:rPr>
                <w:b/>
                <w:bCs/>
                <w:sz w:val="15"/>
                <w:szCs w:val="15"/>
              </w:rPr>
            </w:pPr>
            <w:r w:rsidRPr="00D96063">
              <w:rPr>
                <w:b/>
                <w:bCs/>
                <w:sz w:val="15"/>
                <w:szCs w:val="15"/>
              </w:rPr>
              <w:t>Financial services</w:t>
            </w:r>
          </w:p>
        </w:tc>
        <w:tc>
          <w:tcPr>
            <w:tcW w:w="0" w:type="auto"/>
            <w:tcBorders>
              <w:top w:val="nil"/>
              <w:bottom w:val="nil"/>
            </w:tcBorders>
            <w:shd w:val="clear" w:color="auto" w:fill="C9DED4"/>
          </w:tcPr>
          <w:p w14:paraId="66B451CC" w14:textId="240D19B8" w:rsidR="00C15F2E" w:rsidRPr="00D96063" w:rsidRDefault="00C15F2E" w:rsidP="002A3F9E">
            <w:pPr>
              <w:jc w:val="left"/>
              <w:rPr>
                <w:sz w:val="15"/>
                <w:szCs w:val="15"/>
              </w:rPr>
            </w:pPr>
            <w:r w:rsidRPr="00D96063">
              <w:rPr>
                <w:sz w:val="15"/>
                <w:szCs w:val="15"/>
              </w:rPr>
              <w:t xml:space="preserve">Banks and Specialized Deposit-Taking </w:t>
            </w:r>
            <w:r w:rsidR="00351267">
              <w:rPr>
                <w:sz w:val="15"/>
                <w:szCs w:val="15"/>
              </w:rPr>
              <w:t xml:space="preserve">Institutions </w:t>
            </w:r>
            <w:r w:rsidRPr="00D96063">
              <w:rPr>
                <w:sz w:val="15"/>
                <w:szCs w:val="15"/>
              </w:rPr>
              <w:t xml:space="preserve">Act, 2016 (Act 930) </w:t>
            </w:r>
          </w:p>
        </w:tc>
        <w:tc>
          <w:tcPr>
            <w:tcW w:w="0" w:type="auto"/>
            <w:tcBorders>
              <w:top w:val="nil"/>
              <w:bottom w:val="nil"/>
            </w:tcBorders>
            <w:shd w:val="clear" w:color="auto" w:fill="C9DED4"/>
          </w:tcPr>
          <w:p w14:paraId="2EB2FD5D" w14:textId="77777777" w:rsidR="00C15F2E" w:rsidRPr="00D96063" w:rsidRDefault="00C15F2E" w:rsidP="002A3F9E">
            <w:pPr>
              <w:jc w:val="left"/>
              <w:rPr>
                <w:rStyle w:val="Hyperlink"/>
                <w:sz w:val="15"/>
                <w:szCs w:val="15"/>
                <w:u w:val="none"/>
              </w:rPr>
            </w:pPr>
            <w:r w:rsidRPr="00D96063">
              <w:rPr>
                <w:rStyle w:val="Hyperlink"/>
                <w:color w:val="auto"/>
                <w:sz w:val="15"/>
                <w:szCs w:val="15"/>
                <w:u w:val="none"/>
              </w:rPr>
              <w:t>n.a.</w:t>
            </w:r>
          </w:p>
        </w:tc>
      </w:tr>
      <w:tr w:rsidR="00C15F2E" w:rsidRPr="00D96063" w14:paraId="115E3A16"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tcBorders>
              <w:top w:val="nil"/>
              <w:bottom w:val="nil"/>
            </w:tcBorders>
          </w:tcPr>
          <w:p w14:paraId="00665189" w14:textId="77777777" w:rsidR="00C15F2E" w:rsidRPr="00D96063" w:rsidRDefault="00C15F2E" w:rsidP="002A3F9E">
            <w:pPr>
              <w:jc w:val="left"/>
              <w:rPr>
                <w:b/>
                <w:bCs/>
                <w:sz w:val="15"/>
                <w:szCs w:val="15"/>
              </w:rPr>
            </w:pPr>
          </w:p>
        </w:tc>
        <w:tc>
          <w:tcPr>
            <w:tcW w:w="0" w:type="auto"/>
            <w:tcBorders>
              <w:top w:val="nil"/>
              <w:bottom w:val="nil"/>
            </w:tcBorders>
          </w:tcPr>
          <w:p w14:paraId="705292E3" w14:textId="77777777" w:rsidR="00C15F2E" w:rsidRPr="00D96063" w:rsidRDefault="00C15F2E" w:rsidP="002A3F9E">
            <w:pPr>
              <w:jc w:val="left"/>
              <w:rPr>
                <w:sz w:val="15"/>
                <w:szCs w:val="15"/>
              </w:rPr>
            </w:pPr>
            <w:r w:rsidRPr="00D96063">
              <w:rPr>
                <w:sz w:val="15"/>
                <w:szCs w:val="15"/>
              </w:rPr>
              <w:t>Ghana Deposit Protection Act, 2016 (Act 931); Ghana Deposit Protection (Amendment) Act, 2018 (Act 968)</w:t>
            </w:r>
          </w:p>
        </w:tc>
        <w:tc>
          <w:tcPr>
            <w:tcW w:w="0" w:type="auto"/>
            <w:tcBorders>
              <w:top w:val="nil"/>
              <w:bottom w:val="nil"/>
            </w:tcBorders>
          </w:tcPr>
          <w:p w14:paraId="2ADA0F6B" w14:textId="77777777" w:rsidR="00C15F2E" w:rsidRPr="00D96063" w:rsidRDefault="0087550A" w:rsidP="002A3F9E">
            <w:pPr>
              <w:jc w:val="left"/>
              <w:rPr>
                <w:rStyle w:val="Hyperlink"/>
                <w:sz w:val="15"/>
                <w:szCs w:val="15"/>
              </w:rPr>
            </w:pPr>
            <w:hyperlink r:id="rId48" w:history="1">
              <w:r w:rsidR="00C15F2E" w:rsidRPr="00D96063">
                <w:rPr>
                  <w:rStyle w:val="Hyperlink"/>
                  <w:sz w:val="15"/>
                  <w:szCs w:val="15"/>
                </w:rPr>
                <w:t>www.bcp.gov.gh</w:t>
              </w:r>
            </w:hyperlink>
          </w:p>
          <w:p w14:paraId="0A8E54F7" w14:textId="77777777" w:rsidR="00C15F2E" w:rsidRPr="00D96063" w:rsidRDefault="0087550A" w:rsidP="002A3F9E">
            <w:pPr>
              <w:jc w:val="left"/>
              <w:rPr>
                <w:rStyle w:val="Hyperlink"/>
                <w:sz w:val="15"/>
                <w:szCs w:val="15"/>
              </w:rPr>
            </w:pPr>
            <w:hyperlink r:id="rId49" w:history="1">
              <w:r w:rsidR="00C15F2E" w:rsidRPr="00D96063">
                <w:rPr>
                  <w:rStyle w:val="Hyperlink"/>
                  <w:sz w:val="15"/>
                  <w:szCs w:val="15"/>
                </w:rPr>
                <w:t>gdpc.gov.gh</w:t>
              </w:r>
            </w:hyperlink>
          </w:p>
        </w:tc>
      </w:tr>
      <w:tr w:rsidR="00C15F2E" w:rsidRPr="00D96063" w14:paraId="4DC8596F" w14:textId="77777777" w:rsidTr="002A3F9E">
        <w:tc>
          <w:tcPr>
            <w:tcW w:w="0" w:type="auto"/>
            <w:tcBorders>
              <w:top w:val="nil"/>
              <w:bottom w:val="single" w:sz="4" w:space="0" w:color="auto"/>
            </w:tcBorders>
            <w:shd w:val="clear" w:color="auto" w:fill="auto"/>
          </w:tcPr>
          <w:p w14:paraId="66E713DD" w14:textId="77777777" w:rsidR="00C15F2E" w:rsidRPr="00D96063" w:rsidRDefault="00C15F2E" w:rsidP="002A3F9E">
            <w:pPr>
              <w:jc w:val="left"/>
              <w:rPr>
                <w:b/>
                <w:bCs/>
                <w:sz w:val="15"/>
                <w:szCs w:val="15"/>
              </w:rPr>
            </w:pPr>
            <w:r w:rsidRPr="00D96063">
              <w:rPr>
                <w:b/>
                <w:bCs/>
                <w:sz w:val="15"/>
                <w:szCs w:val="15"/>
              </w:rPr>
              <w:t>Insurance services</w:t>
            </w:r>
          </w:p>
        </w:tc>
        <w:tc>
          <w:tcPr>
            <w:tcW w:w="0" w:type="auto"/>
            <w:tcBorders>
              <w:top w:val="nil"/>
              <w:bottom w:val="single" w:sz="4" w:space="0" w:color="auto"/>
            </w:tcBorders>
            <w:shd w:val="clear" w:color="auto" w:fill="auto"/>
          </w:tcPr>
          <w:p w14:paraId="49F1F620" w14:textId="77777777" w:rsidR="00C15F2E" w:rsidRPr="00D96063" w:rsidRDefault="00C15F2E" w:rsidP="002A3F9E">
            <w:pPr>
              <w:jc w:val="left"/>
              <w:rPr>
                <w:sz w:val="15"/>
                <w:szCs w:val="15"/>
              </w:rPr>
            </w:pPr>
            <w:r w:rsidRPr="00D96063">
              <w:rPr>
                <w:snapToGrid w:val="0"/>
                <w:sz w:val="15"/>
                <w:szCs w:val="15"/>
              </w:rPr>
              <w:t>Insurance Act, 2021 (Act 1061)</w:t>
            </w:r>
          </w:p>
        </w:tc>
        <w:tc>
          <w:tcPr>
            <w:tcW w:w="0" w:type="auto"/>
            <w:tcBorders>
              <w:top w:val="nil"/>
              <w:bottom w:val="single" w:sz="4" w:space="0" w:color="auto"/>
            </w:tcBorders>
            <w:shd w:val="clear" w:color="auto" w:fill="auto"/>
          </w:tcPr>
          <w:p w14:paraId="627C1898" w14:textId="77777777" w:rsidR="00C15F2E" w:rsidRPr="00D96063" w:rsidRDefault="0087550A" w:rsidP="002A3F9E">
            <w:pPr>
              <w:jc w:val="left"/>
              <w:rPr>
                <w:rStyle w:val="Hyperlink"/>
                <w:sz w:val="15"/>
                <w:szCs w:val="15"/>
              </w:rPr>
            </w:pPr>
            <w:hyperlink r:id="rId50" w:history="1">
              <w:r w:rsidR="00C15F2E" w:rsidRPr="00D96063">
                <w:rPr>
                  <w:rStyle w:val="Hyperlink"/>
                  <w:sz w:val="15"/>
                  <w:szCs w:val="15"/>
                </w:rPr>
                <w:t>https://nicgh.org</w:t>
              </w:r>
            </w:hyperlink>
          </w:p>
        </w:tc>
      </w:tr>
    </w:tbl>
    <w:p w14:paraId="1A1BC57A" w14:textId="77777777" w:rsidR="00C15F2E" w:rsidRPr="00D96063" w:rsidRDefault="00C15F2E" w:rsidP="00CB59D4">
      <w:pPr>
        <w:pStyle w:val="NoteText"/>
        <w:spacing w:before="120" w:after="120"/>
        <w:ind w:left="0" w:firstLine="0"/>
      </w:pPr>
      <w:r w:rsidRPr="00D96063">
        <w:t>n.a.</w:t>
      </w:r>
      <w:r w:rsidRPr="00D96063">
        <w:tab/>
        <w:t>Not applicable.</w:t>
      </w:r>
    </w:p>
    <w:p w14:paraId="36739E1B" w14:textId="77777777" w:rsidR="00C15F2E" w:rsidRPr="00D96063" w:rsidRDefault="00C15F2E" w:rsidP="00CB59D4">
      <w:pPr>
        <w:pStyle w:val="NoteText"/>
        <w:spacing w:before="120" w:after="240"/>
        <w:ind w:left="0" w:firstLine="0"/>
      </w:pPr>
      <w:r w:rsidRPr="00D96063">
        <w:t>Source:</w:t>
      </w:r>
      <w:r w:rsidRPr="00D96063">
        <w:tab/>
        <w:t>WTO Secretariat, based on information provided by the authorities.</w:t>
      </w:r>
    </w:p>
    <w:p w14:paraId="0C8541E9" w14:textId="77777777" w:rsidR="00C15F2E" w:rsidRPr="00D96063" w:rsidRDefault="00C15F2E" w:rsidP="003758E5">
      <w:pPr>
        <w:pStyle w:val="Heading2"/>
        <w:numPr>
          <w:ilvl w:val="1"/>
          <w:numId w:val="20"/>
        </w:numPr>
      </w:pPr>
      <w:bookmarkStart w:id="42" w:name="_Toc358096971"/>
      <w:bookmarkStart w:id="43" w:name="_Toc384741973"/>
      <w:bookmarkStart w:id="44" w:name="_Toc103607647"/>
      <w:r w:rsidRPr="00D96063">
        <w:rPr>
          <w:szCs w:val="18"/>
        </w:rPr>
        <w:t xml:space="preserve">Trade </w:t>
      </w:r>
      <w:r w:rsidRPr="00D96063">
        <w:t>Policy Objectives</w:t>
      </w:r>
      <w:bookmarkEnd w:id="42"/>
      <w:bookmarkEnd w:id="43"/>
      <w:bookmarkEnd w:id="44"/>
    </w:p>
    <w:p w14:paraId="6F3E41C9" w14:textId="77777777" w:rsidR="00C15F2E" w:rsidRPr="00D96063" w:rsidRDefault="00C15F2E" w:rsidP="003758E5">
      <w:pPr>
        <w:pStyle w:val="BodyText"/>
        <w:numPr>
          <w:ilvl w:val="6"/>
          <w:numId w:val="16"/>
        </w:numPr>
      </w:pPr>
      <w:r w:rsidRPr="00D96063">
        <w:t xml:space="preserve">International trade and foreign investment continued to feature prominently in Ghana's economic policy during the review period 2014-22, as embedded in the </w:t>
      </w:r>
      <w:bookmarkStart w:id="45" w:name="_Hlk98929647"/>
      <w:r w:rsidRPr="00D96063">
        <w:t>Ministry of Trade and Industry (MOTI)</w:t>
      </w:r>
      <w:bookmarkEnd w:id="45"/>
      <w:r w:rsidRPr="00D96063">
        <w:t>'s National Export Development Strategy for the Non-Traditional Export Sector 2020</w:t>
      </w:r>
      <w:r w:rsidRPr="00D96063">
        <w:noBreakHyphen/>
        <w:t xml:space="preserve">2029, launched in 2020. This strategy seeks to transform Ghana from a commodity exporter to an industrialized export-led economy. It has, </w:t>
      </w:r>
      <w:r w:rsidRPr="00D96063">
        <w:rPr>
          <w:i/>
          <w:iCs/>
        </w:rPr>
        <w:t>inter alia</w:t>
      </w:r>
      <w:r w:rsidRPr="00D96063">
        <w:t>, the objective of raising non</w:t>
      </w:r>
      <w:r w:rsidRPr="00D96063">
        <w:noBreakHyphen/>
        <w:t>traditional exports from less than USD 3 billion in 2020 to over USD 25 billion by 2029.</w:t>
      </w:r>
    </w:p>
    <w:p w14:paraId="426EBA6C" w14:textId="598CAF5C" w:rsidR="00C15F2E" w:rsidRPr="00D96063" w:rsidRDefault="00C15F2E" w:rsidP="003758E5">
      <w:pPr>
        <w:pStyle w:val="BodyText"/>
        <w:numPr>
          <w:ilvl w:val="6"/>
          <w:numId w:val="16"/>
        </w:numPr>
      </w:pPr>
      <w:r w:rsidRPr="00D96063">
        <w:t>MOTI has the overall responsibility for the formulation, implementation, and monitoring of Ghana's trade policies. The Ghana Export Promotion Authority (GEPA) is responsible for export promotion.</w:t>
      </w:r>
      <w:r w:rsidRPr="00D96063">
        <w:rPr>
          <w:rStyle w:val="FootnoteReference"/>
        </w:rPr>
        <w:footnoteReference w:id="18"/>
      </w:r>
      <w:r w:rsidRPr="00D96063">
        <w:t xml:space="preserve"> </w:t>
      </w:r>
      <w:r w:rsidRPr="00D96063">
        <w:rPr>
          <w:lang w:eastAsia="en-GB"/>
        </w:rPr>
        <w:t xml:space="preserve">The Government has as a stated priority to maintain dialogue with the </w:t>
      </w:r>
      <w:r w:rsidRPr="00D96063">
        <w:t xml:space="preserve">private sector on trade and regional integration, and the Public Private Dialogue mechanism is an integral component </w:t>
      </w:r>
      <w:r w:rsidRPr="00D96063">
        <w:lastRenderedPageBreak/>
        <w:t xml:space="preserve">of the </w:t>
      </w:r>
      <w:r w:rsidR="00064E01">
        <w:t>G</w:t>
      </w:r>
      <w:r w:rsidRPr="00D96063">
        <w:t>overnment's Business Regulatory Reform programme.</w:t>
      </w:r>
      <w:r w:rsidRPr="00D96063">
        <w:rPr>
          <w:rStyle w:val="FootnoteReference"/>
        </w:rPr>
        <w:footnoteReference w:id="19"/>
      </w:r>
      <w:r w:rsidRPr="00D96063">
        <w:t xml:space="preserve"> Private sector interests are represented by several bodies, including the Association of Ghana Industries, which comprises 1,200 entities registered to operate in Ghana</w:t>
      </w:r>
      <w:r w:rsidRPr="00D96063">
        <w:rPr>
          <w:rFonts w:eastAsia="Times New Roman"/>
          <w:szCs w:val="18"/>
        </w:rPr>
        <w:t>.</w:t>
      </w:r>
    </w:p>
    <w:p w14:paraId="2CF2AB8F" w14:textId="0E7F55E1" w:rsidR="00C15F2E" w:rsidRPr="00D96063" w:rsidRDefault="00C15F2E" w:rsidP="003758E5">
      <w:pPr>
        <w:pStyle w:val="BodyText"/>
        <w:numPr>
          <w:ilvl w:val="6"/>
          <w:numId w:val="16"/>
        </w:numPr>
      </w:pPr>
      <w:r w:rsidRPr="00D96063">
        <w:t xml:space="preserve">The </w:t>
      </w:r>
      <w:r w:rsidR="00242C10">
        <w:t>Ghana Investment Promotion Centre (</w:t>
      </w:r>
      <w:r w:rsidRPr="00D96063">
        <w:t>GIPC</w:t>
      </w:r>
      <w:r w:rsidR="00242C10">
        <w:t>)</w:t>
      </w:r>
      <w:r w:rsidRPr="00D96063">
        <w:t xml:space="preserve"> works with the GEPA to attract investments into the specific sectors identified under Ghana's national export strategy. According to the authorities, the various ministries, departments, and agencies, including the GIPC, GEPA, and the Ghana Free Zones Authority (GFZA), collaborate in the promotion of investment into Ghana. However, there is no single strategy document for the GIPC, GEPA, and the GFZA with clearly formulated objectives; each agency has its own regulations regarding trade incentives, which differ according to the regimes (e.g. GIPC Act, Free Zones Act, and the One District One Factory initiative (1D1F)) (Section 4.4).</w:t>
      </w:r>
    </w:p>
    <w:p w14:paraId="74AC5D1F" w14:textId="77777777" w:rsidR="00C15F2E" w:rsidRPr="00D96063" w:rsidRDefault="00C15F2E" w:rsidP="003758E5">
      <w:pPr>
        <w:pStyle w:val="Heading2"/>
        <w:numPr>
          <w:ilvl w:val="1"/>
          <w:numId w:val="20"/>
        </w:numPr>
      </w:pPr>
      <w:bookmarkStart w:id="46" w:name="_Toc103607648"/>
      <w:r w:rsidRPr="00D96063">
        <w:t>Trade Agreements and Arrangements</w:t>
      </w:r>
      <w:bookmarkEnd w:id="46"/>
    </w:p>
    <w:p w14:paraId="137D55BE" w14:textId="77777777" w:rsidR="00C15F2E" w:rsidRPr="00D96063" w:rsidRDefault="00C15F2E" w:rsidP="003758E5">
      <w:pPr>
        <w:pStyle w:val="BodyText"/>
        <w:numPr>
          <w:ilvl w:val="6"/>
          <w:numId w:val="16"/>
        </w:numPr>
      </w:pPr>
      <w:r w:rsidRPr="00D96063">
        <w:t>Ghana is an original Member of the WTO, the African Union (and the associated African Economic Community), and ECOWAS. It has concluded bilateral trade agreements with the European Union and with the United Kingdom.</w:t>
      </w:r>
    </w:p>
    <w:p w14:paraId="4A4F07A8" w14:textId="77777777" w:rsidR="00C15F2E" w:rsidRPr="00D96063" w:rsidRDefault="00C15F2E" w:rsidP="00477BF5">
      <w:pPr>
        <w:pStyle w:val="Heading3"/>
        <w:numPr>
          <w:ilvl w:val="2"/>
          <w:numId w:val="19"/>
        </w:numPr>
      </w:pPr>
      <w:bookmarkStart w:id="47" w:name="_Toc103607649"/>
      <w:r w:rsidRPr="00D96063">
        <w:t>World Trade Organization</w:t>
      </w:r>
      <w:bookmarkEnd w:id="47"/>
    </w:p>
    <w:p w14:paraId="54E58342" w14:textId="77777777" w:rsidR="00C15F2E" w:rsidRPr="00D96063" w:rsidRDefault="00C15F2E" w:rsidP="003758E5">
      <w:pPr>
        <w:pStyle w:val="BodyText"/>
        <w:numPr>
          <w:ilvl w:val="6"/>
          <w:numId w:val="16"/>
        </w:numPr>
      </w:pPr>
      <w:r w:rsidRPr="00D96063">
        <w:t xml:space="preserve">Ghana extends at least MFN treatment to all of its trading partners. The WTO Agreements have not been directly incorporated into Ghana's domestic legislation and as such cannot be invoked before national courts. </w:t>
      </w:r>
      <w:r w:rsidRPr="00D96063">
        <w:rPr>
          <w:shd w:val="clear" w:color="auto" w:fill="FFFFFF"/>
        </w:rPr>
        <w:t>Ghana has not been involved in any WTO disputes as a complainant or a respondent.</w:t>
      </w:r>
      <w:r w:rsidRPr="00D96063">
        <w:rPr>
          <w:rStyle w:val="FootnoteReference"/>
          <w:szCs w:val="18"/>
          <w:shd w:val="clear" w:color="auto" w:fill="FFFFFF"/>
        </w:rPr>
        <w:footnoteReference w:id="20"/>
      </w:r>
    </w:p>
    <w:p w14:paraId="03E962E8" w14:textId="77777777" w:rsidR="00C15F2E" w:rsidRPr="00D96063" w:rsidRDefault="00C15F2E" w:rsidP="003758E5">
      <w:pPr>
        <w:pStyle w:val="BodyText"/>
        <w:numPr>
          <w:ilvl w:val="6"/>
          <w:numId w:val="16"/>
        </w:numPr>
      </w:pPr>
      <w:r w:rsidRPr="00D96063">
        <w:t>Ghana is a signatory to the fourth and fifth protocols to the General Agreement on Trade in Services (GATS) and ratified the Agreement on Trade Facilitation (TFA) on 4</w:t>
      </w:r>
      <w:r w:rsidRPr="00D96063">
        <w:rPr>
          <w:vertAlign w:val="superscript"/>
        </w:rPr>
        <w:t> </w:t>
      </w:r>
      <w:r w:rsidRPr="00D96063">
        <w:t xml:space="preserve">January 2017. Ghana has not signed any of the WTO plurilateral agreements but is an observer of the Committee on Trade in Civil Aircraft. In the WTO, Ghana is a member of the ACP and the African Groups. During the period 1 January 2014 to 31 March 2022, Ghana made the following notifications to the WTO </w:t>
      </w:r>
      <w:r w:rsidRPr="00D96063">
        <w:rPr>
          <w:shd w:val="clear" w:color="auto" w:fill="FFFFFF"/>
        </w:rPr>
        <w:t>(Table 2.2).</w:t>
      </w:r>
    </w:p>
    <w:p w14:paraId="2B840F49" w14:textId="0A6C0B5E" w:rsidR="00C15F2E" w:rsidRPr="00D96063" w:rsidRDefault="00C15F2E" w:rsidP="00B44A47">
      <w:pPr>
        <w:pStyle w:val="Caption"/>
        <w:keepNext w:val="0"/>
      </w:pPr>
      <w:bookmarkStart w:id="48" w:name="_Toc103607879"/>
      <w:r w:rsidRPr="00D96063">
        <w:t xml:space="preserve">Table </w:t>
      </w:r>
      <w:fldSimple w:instr=" STYLEREF 1 \s ">
        <w:r w:rsidR="004B63B1">
          <w:rPr>
            <w:noProof/>
          </w:rPr>
          <w:t>2</w:t>
        </w:r>
      </w:fldSimple>
      <w:r w:rsidR="00BF3184">
        <w:t>.</w:t>
      </w:r>
      <w:fldSimple w:instr=" SEQ Table \* ARABIC \s 1 ">
        <w:r w:rsidR="004B63B1">
          <w:rPr>
            <w:noProof/>
          </w:rPr>
          <w:t>2</w:t>
        </w:r>
      </w:fldSimple>
      <w:r w:rsidRPr="00D96063">
        <w:t xml:space="preserve"> WTO notifications by Ghana, 2014-22 (31 March)</w:t>
      </w:r>
      <w:bookmarkEnd w:id="48"/>
    </w:p>
    <w:tbl>
      <w:tblPr>
        <w:tblStyle w:val="WTOTable1"/>
        <w:tblW w:w="5000" w:type="pct"/>
        <w:tblLook w:val="04A0" w:firstRow="1" w:lastRow="0" w:firstColumn="1" w:lastColumn="0" w:noHBand="0" w:noVBand="1"/>
      </w:tblPr>
      <w:tblGrid>
        <w:gridCol w:w="2666"/>
        <w:gridCol w:w="4779"/>
        <w:gridCol w:w="1571"/>
      </w:tblGrid>
      <w:tr w:rsidR="00C15F2E" w:rsidRPr="00D96063" w14:paraId="38D018E8" w14:textId="77777777" w:rsidTr="002A3F9E">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044B356C" w14:textId="77777777" w:rsidR="00C15F2E" w:rsidRPr="00D96063" w:rsidRDefault="00C15F2E" w:rsidP="00B44A47">
            <w:pPr>
              <w:jc w:val="left"/>
              <w:rPr>
                <w:rFonts w:cs="Arial"/>
                <w:color w:val="FFFFFF" w:themeColor="background1"/>
                <w:sz w:val="14"/>
                <w:szCs w:val="14"/>
              </w:rPr>
            </w:pPr>
            <w:r w:rsidRPr="00D96063">
              <w:rPr>
                <w:rFonts w:cs="Arial"/>
                <w:color w:val="FFFFFF" w:themeColor="background1"/>
                <w:sz w:val="14"/>
                <w:szCs w:val="14"/>
              </w:rPr>
              <w:t>Symbol</w:t>
            </w:r>
          </w:p>
        </w:tc>
        <w:tc>
          <w:tcPr>
            <w:tcW w:w="0" w:type="auto"/>
            <w:hideMark/>
          </w:tcPr>
          <w:p w14:paraId="544D11CD" w14:textId="77777777" w:rsidR="00C15F2E" w:rsidRPr="00D96063" w:rsidRDefault="00C15F2E" w:rsidP="00B44A47">
            <w:pPr>
              <w:rPr>
                <w:rFonts w:cs="Arial"/>
                <w:color w:val="FFFFFF" w:themeColor="background1"/>
                <w:sz w:val="14"/>
                <w:szCs w:val="14"/>
              </w:rPr>
            </w:pPr>
            <w:r w:rsidRPr="00D96063">
              <w:rPr>
                <w:rFonts w:cs="Arial"/>
                <w:color w:val="FFFFFF" w:themeColor="background1"/>
                <w:sz w:val="14"/>
                <w:szCs w:val="14"/>
              </w:rPr>
              <w:t>Title</w:t>
            </w:r>
          </w:p>
        </w:tc>
        <w:tc>
          <w:tcPr>
            <w:tcW w:w="0" w:type="auto"/>
            <w:hideMark/>
          </w:tcPr>
          <w:p w14:paraId="2BB0CDB3" w14:textId="77777777" w:rsidR="00C15F2E" w:rsidRPr="00D96063" w:rsidRDefault="00C15F2E" w:rsidP="00B44A47">
            <w:pPr>
              <w:rPr>
                <w:rFonts w:cs="Arial"/>
                <w:color w:val="FFFFFF" w:themeColor="background1"/>
                <w:sz w:val="14"/>
                <w:szCs w:val="14"/>
              </w:rPr>
            </w:pPr>
            <w:r w:rsidRPr="00D96063">
              <w:rPr>
                <w:rFonts w:cs="Arial"/>
                <w:color w:val="FFFFFF" w:themeColor="background1"/>
                <w:sz w:val="14"/>
                <w:szCs w:val="14"/>
              </w:rPr>
              <w:t>Document date</w:t>
            </w:r>
          </w:p>
        </w:tc>
      </w:tr>
      <w:tr w:rsidR="00C15F2E" w:rsidRPr="00D96063" w14:paraId="2E439F18" w14:textId="77777777" w:rsidTr="002A3F9E">
        <w:tc>
          <w:tcPr>
            <w:tcW w:w="0" w:type="auto"/>
            <w:gridSpan w:val="3"/>
            <w:hideMark/>
          </w:tcPr>
          <w:p w14:paraId="22583DB2" w14:textId="77777777" w:rsidR="00C15F2E" w:rsidRPr="00D96063" w:rsidRDefault="00C15F2E" w:rsidP="00B44A47">
            <w:pPr>
              <w:jc w:val="left"/>
              <w:rPr>
                <w:rFonts w:cs="Calibri"/>
                <w:b/>
                <w:bCs/>
                <w:sz w:val="14"/>
                <w:szCs w:val="14"/>
              </w:rPr>
            </w:pPr>
            <w:r w:rsidRPr="00D96063">
              <w:rPr>
                <w:rFonts w:cs="Calibri"/>
                <w:b/>
                <w:bCs/>
                <w:sz w:val="14"/>
                <w:szCs w:val="14"/>
              </w:rPr>
              <w:t>Trade Facilitation Agreement</w:t>
            </w:r>
          </w:p>
        </w:tc>
      </w:tr>
      <w:tr w:rsidR="00C15F2E" w:rsidRPr="00D96063" w14:paraId="3E40FFF2"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733B35DB" w14:textId="77777777" w:rsidR="00C15F2E" w:rsidRPr="00D96063" w:rsidRDefault="00C15F2E" w:rsidP="00B44A47">
            <w:pPr>
              <w:jc w:val="left"/>
              <w:rPr>
                <w:rFonts w:cs="Arial"/>
                <w:sz w:val="14"/>
                <w:szCs w:val="14"/>
              </w:rPr>
            </w:pPr>
            <w:r w:rsidRPr="00D96063">
              <w:rPr>
                <w:rFonts w:cs="Arial"/>
                <w:sz w:val="14"/>
                <w:szCs w:val="14"/>
              </w:rPr>
              <w:t>WT/PCTF/N/GHA/1</w:t>
            </w:r>
          </w:p>
        </w:tc>
        <w:tc>
          <w:tcPr>
            <w:tcW w:w="0" w:type="auto"/>
            <w:hideMark/>
          </w:tcPr>
          <w:p w14:paraId="418E001B" w14:textId="77777777" w:rsidR="00C15F2E" w:rsidRPr="00D96063" w:rsidRDefault="00C15F2E" w:rsidP="00B44A47">
            <w:pPr>
              <w:jc w:val="left"/>
              <w:rPr>
                <w:rFonts w:cs="Arial"/>
                <w:sz w:val="14"/>
                <w:szCs w:val="14"/>
              </w:rPr>
            </w:pPr>
            <w:r w:rsidRPr="00D96063">
              <w:rPr>
                <w:rFonts w:cs="Arial"/>
                <w:sz w:val="14"/>
                <w:szCs w:val="14"/>
              </w:rPr>
              <w:t>Notification of category A commitments under the TFA – Communication from Ghana</w:t>
            </w:r>
          </w:p>
        </w:tc>
        <w:tc>
          <w:tcPr>
            <w:tcW w:w="0" w:type="auto"/>
            <w:hideMark/>
          </w:tcPr>
          <w:p w14:paraId="7FA6D4DC" w14:textId="77777777" w:rsidR="00C15F2E" w:rsidRPr="00D96063" w:rsidRDefault="00C15F2E" w:rsidP="00B44A47">
            <w:pPr>
              <w:rPr>
                <w:rFonts w:cs="Arial"/>
                <w:sz w:val="14"/>
                <w:szCs w:val="14"/>
              </w:rPr>
            </w:pPr>
            <w:r w:rsidRPr="00D96063">
              <w:rPr>
                <w:rFonts w:cs="Arial"/>
                <w:sz w:val="14"/>
                <w:szCs w:val="14"/>
              </w:rPr>
              <w:t>4 January 2017</w:t>
            </w:r>
          </w:p>
        </w:tc>
      </w:tr>
      <w:tr w:rsidR="00C15F2E" w:rsidRPr="00D96063" w14:paraId="05768D0D" w14:textId="77777777" w:rsidTr="002A3F9E">
        <w:tc>
          <w:tcPr>
            <w:tcW w:w="0" w:type="auto"/>
            <w:hideMark/>
          </w:tcPr>
          <w:p w14:paraId="5EA7C2D9" w14:textId="77777777" w:rsidR="00C15F2E" w:rsidRPr="00D96063" w:rsidRDefault="00C15F2E" w:rsidP="00B44A47">
            <w:pPr>
              <w:jc w:val="left"/>
              <w:rPr>
                <w:rFonts w:cs="Arial"/>
                <w:sz w:val="14"/>
                <w:szCs w:val="14"/>
              </w:rPr>
            </w:pPr>
            <w:r w:rsidRPr="00D96063">
              <w:rPr>
                <w:rFonts w:cs="Arial"/>
                <w:sz w:val="14"/>
                <w:szCs w:val="14"/>
              </w:rPr>
              <w:t>G/TFA/N/GHA/1</w:t>
            </w:r>
          </w:p>
        </w:tc>
        <w:tc>
          <w:tcPr>
            <w:tcW w:w="0" w:type="auto"/>
            <w:hideMark/>
          </w:tcPr>
          <w:p w14:paraId="64EAFA29" w14:textId="77777777" w:rsidR="00C15F2E" w:rsidRPr="00D96063" w:rsidRDefault="00C15F2E" w:rsidP="00B44A47">
            <w:pPr>
              <w:jc w:val="left"/>
              <w:rPr>
                <w:rFonts w:cs="Arial"/>
                <w:sz w:val="14"/>
                <w:szCs w:val="14"/>
              </w:rPr>
            </w:pPr>
            <w:r w:rsidRPr="00D96063">
              <w:rPr>
                <w:rFonts w:cs="Arial"/>
                <w:sz w:val="14"/>
                <w:szCs w:val="14"/>
              </w:rPr>
              <w:t>Notification of category commitments under the TFA – Communication from Ghana</w:t>
            </w:r>
          </w:p>
        </w:tc>
        <w:tc>
          <w:tcPr>
            <w:tcW w:w="0" w:type="auto"/>
            <w:hideMark/>
          </w:tcPr>
          <w:p w14:paraId="258BF659" w14:textId="77777777" w:rsidR="00C15F2E" w:rsidRPr="00D96063" w:rsidRDefault="00C15F2E" w:rsidP="00B44A47">
            <w:pPr>
              <w:rPr>
                <w:rFonts w:cs="Arial"/>
                <w:sz w:val="14"/>
                <w:szCs w:val="14"/>
              </w:rPr>
            </w:pPr>
            <w:r w:rsidRPr="00D96063">
              <w:rPr>
                <w:rFonts w:cs="Arial"/>
                <w:sz w:val="14"/>
                <w:szCs w:val="14"/>
              </w:rPr>
              <w:t>1 August 2019</w:t>
            </w:r>
          </w:p>
        </w:tc>
      </w:tr>
      <w:tr w:rsidR="00C15F2E" w:rsidRPr="00D96063" w14:paraId="61657615"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300DE199" w14:textId="77777777" w:rsidR="00C15F2E" w:rsidRPr="004C2148" w:rsidRDefault="00C15F2E" w:rsidP="00B44A47">
            <w:pPr>
              <w:jc w:val="left"/>
              <w:rPr>
                <w:rFonts w:cs="Arial"/>
                <w:sz w:val="14"/>
                <w:szCs w:val="14"/>
                <w:lang w:val="es-ES"/>
              </w:rPr>
            </w:pPr>
            <w:r w:rsidRPr="004C2148">
              <w:rPr>
                <w:rFonts w:cs="Arial"/>
                <w:sz w:val="14"/>
                <w:szCs w:val="14"/>
                <w:lang w:val="es-ES"/>
              </w:rPr>
              <w:t>G/TFA/N/GHA/1/Add.1</w:t>
            </w:r>
          </w:p>
        </w:tc>
        <w:tc>
          <w:tcPr>
            <w:tcW w:w="0" w:type="auto"/>
            <w:hideMark/>
          </w:tcPr>
          <w:p w14:paraId="1F947510" w14:textId="77777777" w:rsidR="00C15F2E" w:rsidRPr="00D96063" w:rsidRDefault="00C15F2E" w:rsidP="00B44A47">
            <w:pPr>
              <w:jc w:val="left"/>
              <w:rPr>
                <w:rFonts w:cs="Arial"/>
                <w:sz w:val="14"/>
                <w:szCs w:val="14"/>
              </w:rPr>
            </w:pPr>
            <w:r w:rsidRPr="00D96063">
              <w:rPr>
                <w:rFonts w:cs="Arial"/>
                <w:sz w:val="14"/>
                <w:szCs w:val="14"/>
              </w:rPr>
              <w:t>Notification of category commitments under the TFA – Addendum</w:t>
            </w:r>
          </w:p>
        </w:tc>
        <w:tc>
          <w:tcPr>
            <w:tcW w:w="0" w:type="auto"/>
            <w:hideMark/>
          </w:tcPr>
          <w:p w14:paraId="1D5BAF6C" w14:textId="77777777" w:rsidR="00C15F2E" w:rsidRPr="00D96063" w:rsidRDefault="00C15F2E" w:rsidP="00B44A47">
            <w:pPr>
              <w:rPr>
                <w:rFonts w:cs="Arial"/>
                <w:sz w:val="14"/>
                <w:szCs w:val="14"/>
              </w:rPr>
            </w:pPr>
            <w:r w:rsidRPr="00D96063">
              <w:rPr>
                <w:rFonts w:cs="Arial"/>
                <w:sz w:val="14"/>
                <w:szCs w:val="14"/>
              </w:rPr>
              <w:t>22 August 2019</w:t>
            </w:r>
          </w:p>
        </w:tc>
      </w:tr>
      <w:tr w:rsidR="00C15F2E" w:rsidRPr="00D96063" w14:paraId="3E8F683A" w14:textId="77777777" w:rsidTr="002A3F9E">
        <w:tc>
          <w:tcPr>
            <w:tcW w:w="0" w:type="auto"/>
            <w:gridSpan w:val="3"/>
            <w:hideMark/>
          </w:tcPr>
          <w:p w14:paraId="0C6FF825" w14:textId="77777777" w:rsidR="00C15F2E" w:rsidRPr="00D96063" w:rsidRDefault="00C15F2E" w:rsidP="00B44A47">
            <w:pPr>
              <w:jc w:val="left"/>
              <w:rPr>
                <w:rFonts w:cs="Calibri"/>
                <w:b/>
                <w:bCs/>
                <w:sz w:val="14"/>
                <w:szCs w:val="14"/>
              </w:rPr>
            </w:pPr>
            <w:r w:rsidRPr="00D96063">
              <w:rPr>
                <w:rFonts w:cs="Calibri"/>
                <w:b/>
                <w:bCs/>
                <w:sz w:val="14"/>
                <w:szCs w:val="14"/>
              </w:rPr>
              <w:t>Agreement on Technical Barriers to Trade</w:t>
            </w:r>
          </w:p>
        </w:tc>
      </w:tr>
      <w:tr w:rsidR="00C15F2E" w:rsidRPr="00D96063" w14:paraId="355527CB"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1E9E492C" w14:textId="77777777" w:rsidR="00C15F2E" w:rsidRPr="00D96063" w:rsidRDefault="00C15F2E" w:rsidP="00B44A47">
            <w:pPr>
              <w:jc w:val="left"/>
              <w:rPr>
                <w:rFonts w:cs="Arial"/>
                <w:sz w:val="14"/>
                <w:szCs w:val="14"/>
              </w:rPr>
            </w:pPr>
            <w:r w:rsidRPr="00D96063">
              <w:rPr>
                <w:rFonts w:cs="Arial"/>
                <w:sz w:val="14"/>
                <w:szCs w:val="14"/>
              </w:rPr>
              <w:t>G/TBT/N/GHA/16</w:t>
            </w:r>
          </w:p>
        </w:tc>
        <w:tc>
          <w:tcPr>
            <w:tcW w:w="0" w:type="auto"/>
            <w:hideMark/>
          </w:tcPr>
          <w:p w14:paraId="3969D721" w14:textId="77777777" w:rsidR="00C15F2E" w:rsidRPr="00D96063" w:rsidRDefault="00C15F2E" w:rsidP="00B44A47">
            <w:pPr>
              <w:jc w:val="left"/>
              <w:rPr>
                <w:rFonts w:cs="Arial"/>
                <w:sz w:val="14"/>
                <w:szCs w:val="14"/>
              </w:rPr>
            </w:pPr>
            <w:r w:rsidRPr="00D96063">
              <w:rPr>
                <w:rFonts w:cs="Arial"/>
                <w:sz w:val="14"/>
                <w:szCs w:val="14"/>
              </w:rPr>
              <w:t>Whole-of-vehicle marking: microdot systems</w:t>
            </w:r>
          </w:p>
        </w:tc>
        <w:tc>
          <w:tcPr>
            <w:tcW w:w="0" w:type="auto"/>
            <w:hideMark/>
          </w:tcPr>
          <w:p w14:paraId="2C6EE508" w14:textId="77777777" w:rsidR="00C15F2E" w:rsidRPr="00D96063" w:rsidRDefault="00C15F2E" w:rsidP="00B44A47">
            <w:pPr>
              <w:rPr>
                <w:rFonts w:cs="Arial"/>
                <w:sz w:val="14"/>
                <w:szCs w:val="14"/>
              </w:rPr>
            </w:pPr>
            <w:r w:rsidRPr="00D96063">
              <w:rPr>
                <w:rFonts w:cs="Arial"/>
                <w:sz w:val="14"/>
                <w:szCs w:val="14"/>
              </w:rPr>
              <w:t>4 March 2020</w:t>
            </w:r>
          </w:p>
        </w:tc>
      </w:tr>
      <w:tr w:rsidR="00C15F2E" w:rsidRPr="00D96063" w14:paraId="600D1184" w14:textId="77777777" w:rsidTr="002A3F9E">
        <w:tc>
          <w:tcPr>
            <w:tcW w:w="0" w:type="auto"/>
            <w:hideMark/>
          </w:tcPr>
          <w:p w14:paraId="1EE45FF4" w14:textId="77777777" w:rsidR="00C15F2E" w:rsidRPr="00D96063" w:rsidRDefault="00C15F2E" w:rsidP="00B44A47">
            <w:pPr>
              <w:jc w:val="left"/>
              <w:rPr>
                <w:rFonts w:cs="Arial"/>
                <w:sz w:val="14"/>
                <w:szCs w:val="14"/>
              </w:rPr>
            </w:pPr>
            <w:r w:rsidRPr="00D96063">
              <w:rPr>
                <w:rFonts w:cs="Arial"/>
                <w:sz w:val="14"/>
                <w:szCs w:val="14"/>
              </w:rPr>
              <w:t>G/TBT/N/GHA/3/Rev.1</w:t>
            </w:r>
          </w:p>
        </w:tc>
        <w:tc>
          <w:tcPr>
            <w:tcW w:w="0" w:type="auto"/>
            <w:hideMark/>
          </w:tcPr>
          <w:p w14:paraId="3A41D8E0" w14:textId="77777777" w:rsidR="00C15F2E" w:rsidRPr="00D96063" w:rsidRDefault="00C15F2E" w:rsidP="00B44A47">
            <w:pPr>
              <w:jc w:val="left"/>
              <w:rPr>
                <w:rFonts w:cs="Arial"/>
                <w:sz w:val="14"/>
                <w:szCs w:val="14"/>
              </w:rPr>
            </w:pPr>
            <w:r w:rsidRPr="00D96063">
              <w:rPr>
                <w:rFonts w:cs="Arial"/>
                <w:sz w:val="14"/>
                <w:szCs w:val="14"/>
              </w:rPr>
              <w:t>Various products – Revision</w:t>
            </w:r>
          </w:p>
        </w:tc>
        <w:tc>
          <w:tcPr>
            <w:tcW w:w="0" w:type="auto"/>
            <w:hideMark/>
          </w:tcPr>
          <w:p w14:paraId="0B29DCEC" w14:textId="77777777" w:rsidR="00C15F2E" w:rsidRPr="00D96063" w:rsidRDefault="00C15F2E" w:rsidP="00B44A47">
            <w:pPr>
              <w:rPr>
                <w:rFonts w:cs="Arial"/>
                <w:sz w:val="14"/>
                <w:szCs w:val="14"/>
              </w:rPr>
            </w:pPr>
            <w:r w:rsidRPr="00D96063">
              <w:rPr>
                <w:rFonts w:cs="Arial"/>
                <w:sz w:val="14"/>
                <w:szCs w:val="14"/>
              </w:rPr>
              <w:t>3 April 2014</w:t>
            </w:r>
          </w:p>
        </w:tc>
      </w:tr>
      <w:tr w:rsidR="00C15F2E" w:rsidRPr="00D96063" w14:paraId="1AD3BEC9"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7065CF3D" w14:textId="77777777" w:rsidR="00C15F2E" w:rsidRPr="00D96063" w:rsidRDefault="00C15F2E" w:rsidP="00B44A47">
            <w:pPr>
              <w:jc w:val="left"/>
              <w:rPr>
                <w:rFonts w:cs="Arial"/>
                <w:sz w:val="14"/>
                <w:szCs w:val="14"/>
              </w:rPr>
            </w:pPr>
            <w:r w:rsidRPr="00D96063">
              <w:rPr>
                <w:rFonts w:cs="Arial"/>
                <w:sz w:val="14"/>
                <w:szCs w:val="14"/>
              </w:rPr>
              <w:t>G/TBT/N/GHA/13</w:t>
            </w:r>
          </w:p>
        </w:tc>
        <w:tc>
          <w:tcPr>
            <w:tcW w:w="0" w:type="auto"/>
            <w:hideMark/>
          </w:tcPr>
          <w:p w14:paraId="0CCC52A5" w14:textId="77777777" w:rsidR="00C15F2E" w:rsidRPr="00D96063" w:rsidRDefault="00C15F2E" w:rsidP="00B44A47">
            <w:pPr>
              <w:jc w:val="left"/>
              <w:rPr>
                <w:rFonts w:cs="Arial"/>
                <w:sz w:val="14"/>
                <w:szCs w:val="14"/>
              </w:rPr>
            </w:pPr>
            <w:r w:rsidRPr="00D96063">
              <w:rPr>
                <w:rFonts w:cs="Arial"/>
                <w:sz w:val="14"/>
                <w:szCs w:val="14"/>
              </w:rPr>
              <w:t>Motor vehicles of category N1</w:t>
            </w:r>
          </w:p>
        </w:tc>
        <w:tc>
          <w:tcPr>
            <w:tcW w:w="0" w:type="auto"/>
            <w:hideMark/>
          </w:tcPr>
          <w:p w14:paraId="158B449C" w14:textId="77777777" w:rsidR="00C15F2E" w:rsidRPr="00D96063" w:rsidRDefault="00C15F2E" w:rsidP="00B44A47">
            <w:pPr>
              <w:rPr>
                <w:rFonts w:cs="Arial"/>
                <w:sz w:val="14"/>
                <w:szCs w:val="14"/>
              </w:rPr>
            </w:pPr>
            <w:r w:rsidRPr="00D96063">
              <w:rPr>
                <w:rFonts w:cs="Arial"/>
                <w:sz w:val="14"/>
                <w:szCs w:val="14"/>
              </w:rPr>
              <w:t>16 July 2019</w:t>
            </w:r>
          </w:p>
        </w:tc>
      </w:tr>
      <w:tr w:rsidR="00C15F2E" w:rsidRPr="00D96063" w14:paraId="27F8D6AC" w14:textId="77777777" w:rsidTr="002A3F9E">
        <w:tc>
          <w:tcPr>
            <w:tcW w:w="0" w:type="auto"/>
            <w:hideMark/>
          </w:tcPr>
          <w:p w14:paraId="484ADBA4" w14:textId="77777777" w:rsidR="00C15F2E" w:rsidRPr="00D96063" w:rsidRDefault="00C15F2E" w:rsidP="00B44A47">
            <w:pPr>
              <w:jc w:val="left"/>
              <w:rPr>
                <w:rFonts w:cs="Arial"/>
                <w:sz w:val="14"/>
                <w:szCs w:val="14"/>
              </w:rPr>
            </w:pPr>
            <w:r w:rsidRPr="00D96063">
              <w:rPr>
                <w:rFonts w:cs="Arial"/>
                <w:sz w:val="14"/>
                <w:szCs w:val="14"/>
              </w:rPr>
              <w:t>G/TBT/N/GHA/14</w:t>
            </w:r>
          </w:p>
        </w:tc>
        <w:tc>
          <w:tcPr>
            <w:tcW w:w="0" w:type="auto"/>
            <w:hideMark/>
          </w:tcPr>
          <w:p w14:paraId="7AD90C60" w14:textId="77777777" w:rsidR="00C15F2E" w:rsidRPr="00D96063" w:rsidRDefault="00C15F2E" w:rsidP="00B44A47">
            <w:pPr>
              <w:jc w:val="left"/>
              <w:rPr>
                <w:rFonts w:cs="Arial"/>
                <w:sz w:val="14"/>
                <w:szCs w:val="14"/>
              </w:rPr>
            </w:pPr>
            <w:r w:rsidRPr="00D96063">
              <w:rPr>
                <w:rFonts w:cs="Arial"/>
                <w:sz w:val="14"/>
                <w:szCs w:val="14"/>
              </w:rPr>
              <w:t>Motor vehicles of category M2</w:t>
            </w:r>
          </w:p>
        </w:tc>
        <w:tc>
          <w:tcPr>
            <w:tcW w:w="0" w:type="auto"/>
            <w:hideMark/>
          </w:tcPr>
          <w:p w14:paraId="73BCAAFE" w14:textId="77777777" w:rsidR="00C15F2E" w:rsidRPr="00D96063" w:rsidRDefault="00C15F2E" w:rsidP="00B44A47">
            <w:pPr>
              <w:rPr>
                <w:rFonts w:cs="Arial"/>
                <w:sz w:val="14"/>
                <w:szCs w:val="14"/>
              </w:rPr>
            </w:pPr>
            <w:r w:rsidRPr="00D96063">
              <w:rPr>
                <w:rFonts w:cs="Arial"/>
                <w:sz w:val="14"/>
                <w:szCs w:val="14"/>
              </w:rPr>
              <w:t>16 July 2019</w:t>
            </w:r>
          </w:p>
        </w:tc>
      </w:tr>
      <w:tr w:rsidR="00C15F2E" w:rsidRPr="00D96063" w14:paraId="51E2A73D"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10505CD4" w14:textId="77777777" w:rsidR="00C15F2E" w:rsidRPr="00D96063" w:rsidRDefault="00C15F2E" w:rsidP="00B44A47">
            <w:pPr>
              <w:jc w:val="left"/>
              <w:rPr>
                <w:rFonts w:cs="Arial"/>
                <w:sz w:val="14"/>
                <w:szCs w:val="14"/>
              </w:rPr>
            </w:pPr>
            <w:r w:rsidRPr="00D96063">
              <w:rPr>
                <w:rFonts w:cs="Arial"/>
                <w:sz w:val="14"/>
                <w:szCs w:val="14"/>
              </w:rPr>
              <w:t>G/TBT/N/GHA/12</w:t>
            </w:r>
          </w:p>
        </w:tc>
        <w:tc>
          <w:tcPr>
            <w:tcW w:w="0" w:type="auto"/>
            <w:hideMark/>
          </w:tcPr>
          <w:p w14:paraId="7605EA68" w14:textId="77777777" w:rsidR="00C15F2E" w:rsidRPr="00D96063" w:rsidRDefault="00C15F2E" w:rsidP="00B44A47">
            <w:pPr>
              <w:jc w:val="left"/>
              <w:rPr>
                <w:rFonts w:cs="Arial"/>
                <w:sz w:val="14"/>
                <w:szCs w:val="14"/>
              </w:rPr>
            </w:pPr>
            <w:r w:rsidRPr="00D96063">
              <w:rPr>
                <w:rFonts w:cs="Arial"/>
                <w:sz w:val="14"/>
                <w:szCs w:val="14"/>
              </w:rPr>
              <w:t>Motor vehicles of category M1</w:t>
            </w:r>
          </w:p>
        </w:tc>
        <w:tc>
          <w:tcPr>
            <w:tcW w:w="0" w:type="auto"/>
            <w:hideMark/>
          </w:tcPr>
          <w:p w14:paraId="5BFE9D3A" w14:textId="77777777" w:rsidR="00C15F2E" w:rsidRPr="00D96063" w:rsidRDefault="00C15F2E" w:rsidP="00B44A47">
            <w:pPr>
              <w:rPr>
                <w:rFonts w:cs="Arial"/>
                <w:sz w:val="14"/>
                <w:szCs w:val="14"/>
              </w:rPr>
            </w:pPr>
            <w:r w:rsidRPr="00D96063">
              <w:rPr>
                <w:rFonts w:cs="Arial"/>
                <w:sz w:val="14"/>
                <w:szCs w:val="14"/>
              </w:rPr>
              <w:t>16 July 2019</w:t>
            </w:r>
          </w:p>
        </w:tc>
      </w:tr>
      <w:tr w:rsidR="00C15F2E" w:rsidRPr="00D96063" w14:paraId="1B8DBC12" w14:textId="77777777" w:rsidTr="002A3F9E">
        <w:tc>
          <w:tcPr>
            <w:tcW w:w="0" w:type="auto"/>
            <w:hideMark/>
          </w:tcPr>
          <w:p w14:paraId="7F36C1F2" w14:textId="77777777" w:rsidR="00C15F2E" w:rsidRPr="00D96063" w:rsidRDefault="00C15F2E" w:rsidP="00B44A47">
            <w:pPr>
              <w:jc w:val="left"/>
              <w:rPr>
                <w:rFonts w:cs="Arial"/>
                <w:sz w:val="14"/>
                <w:szCs w:val="14"/>
              </w:rPr>
            </w:pPr>
            <w:r w:rsidRPr="00D96063">
              <w:rPr>
                <w:rFonts w:cs="Arial"/>
                <w:sz w:val="14"/>
                <w:szCs w:val="14"/>
              </w:rPr>
              <w:t>G/TBT/N/GHA/10</w:t>
            </w:r>
          </w:p>
        </w:tc>
        <w:tc>
          <w:tcPr>
            <w:tcW w:w="0" w:type="auto"/>
            <w:hideMark/>
          </w:tcPr>
          <w:p w14:paraId="72BB6B9B" w14:textId="77777777" w:rsidR="00C15F2E" w:rsidRPr="00D96063" w:rsidRDefault="00C15F2E" w:rsidP="00B44A47">
            <w:pPr>
              <w:jc w:val="left"/>
              <w:rPr>
                <w:rFonts w:cs="Arial"/>
                <w:sz w:val="14"/>
                <w:szCs w:val="14"/>
              </w:rPr>
            </w:pPr>
            <w:r w:rsidRPr="00D96063">
              <w:rPr>
                <w:rFonts w:cs="Arial"/>
                <w:sz w:val="14"/>
                <w:szCs w:val="14"/>
              </w:rPr>
              <w:t>Improved biomass cook stoves</w:t>
            </w:r>
          </w:p>
        </w:tc>
        <w:tc>
          <w:tcPr>
            <w:tcW w:w="0" w:type="auto"/>
            <w:hideMark/>
          </w:tcPr>
          <w:p w14:paraId="1B1BFB8B" w14:textId="77777777" w:rsidR="00C15F2E" w:rsidRPr="00D96063" w:rsidRDefault="00C15F2E" w:rsidP="00B44A47">
            <w:pPr>
              <w:rPr>
                <w:rFonts w:cs="Arial"/>
                <w:sz w:val="14"/>
                <w:szCs w:val="14"/>
              </w:rPr>
            </w:pPr>
            <w:r w:rsidRPr="00D96063">
              <w:rPr>
                <w:rFonts w:cs="Arial"/>
                <w:sz w:val="14"/>
                <w:szCs w:val="14"/>
              </w:rPr>
              <w:t>11 March 2019</w:t>
            </w:r>
          </w:p>
        </w:tc>
      </w:tr>
      <w:tr w:rsidR="00C15F2E" w:rsidRPr="00D96063" w14:paraId="19FE1414"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2774B756" w14:textId="77777777" w:rsidR="00C15F2E" w:rsidRPr="00D96063" w:rsidRDefault="00C15F2E" w:rsidP="00B44A47">
            <w:pPr>
              <w:jc w:val="left"/>
              <w:rPr>
                <w:rFonts w:cs="Arial"/>
                <w:sz w:val="14"/>
                <w:szCs w:val="14"/>
              </w:rPr>
            </w:pPr>
            <w:r w:rsidRPr="00D96063">
              <w:rPr>
                <w:rFonts w:cs="Arial"/>
                <w:sz w:val="14"/>
                <w:szCs w:val="14"/>
              </w:rPr>
              <w:t>G/TBT/N/GHA/15</w:t>
            </w:r>
          </w:p>
        </w:tc>
        <w:tc>
          <w:tcPr>
            <w:tcW w:w="0" w:type="auto"/>
            <w:hideMark/>
          </w:tcPr>
          <w:p w14:paraId="43AA2BF1" w14:textId="77777777" w:rsidR="00C15F2E" w:rsidRPr="00D96063" w:rsidRDefault="00C15F2E" w:rsidP="00B44A47">
            <w:pPr>
              <w:jc w:val="left"/>
              <w:rPr>
                <w:rFonts w:cs="Arial"/>
                <w:sz w:val="14"/>
                <w:szCs w:val="14"/>
              </w:rPr>
            </w:pPr>
            <w:r w:rsidRPr="00D96063">
              <w:rPr>
                <w:rFonts w:cs="Arial"/>
                <w:sz w:val="14"/>
                <w:szCs w:val="14"/>
              </w:rPr>
              <w:t>Imported used motor vehicles</w:t>
            </w:r>
          </w:p>
        </w:tc>
        <w:tc>
          <w:tcPr>
            <w:tcW w:w="0" w:type="auto"/>
            <w:hideMark/>
          </w:tcPr>
          <w:p w14:paraId="7264A440" w14:textId="77777777" w:rsidR="00C15F2E" w:rsidRPr="00D96063" w:rsidRDefault="00C15F2E" w:rsidP="00B44A47">
            <w:pPr>
              <w:rPr>
                <w:rFonts w:cs="Arial"/>
                <w:sz w:val="14"/>
                <w:szCs w:val="14"/>
              </w:rPr>
            </w:pPr>
            <w:r w:rsidRPr="00D96063">
              <w:rPr>
                <w:rFonts w:cs="Arial"/>
                <w:sz w:val="14"/>
                <w:szCs w:val="14"/>
              </w:rPr>
              <w:t>4 March 2020</w:t>
            </w:r>
          </w:p>
        </w:tc>
      </w:tr>
      <w:tr w:rsidR="00C15F2E" w:rsidRPr="00D96063" w14:paraId="1417497B" w14:textId="77777777" w:rsidTr="002A3F9E">
        <w:tc>
          <w:tcPr>
            <w:tcW w:w="0" w:type="auto"/>
            <w:hideMark/>
          </w:tcPr>
          <w:p w14:paraId="4354FB3D" w14:textId="77777777" w:rsidR="00C15F2E" w:rsidRPr="00D96063" w:rsidRDefault="00C15F2E" w:rsidP="00B44A47">
            <w:pPr>
              <w:jc w:val="left"/>
              <w:rPr>
                <w:rFonts w:cs="Arial"/>
                <w:sz w:val="14"/>
                <w:szCs w:val="14"/>
              </w:rPr>
            </w:pPr>
            <w:r w:rsidRPr="00D96063">
              <w:rPr>
                <w:rFonts w:cs="Arial"/>
                <w:sz w:val="14"/>
                <w:szCs w:val="14"/>
              </w:rPr>
              <w:t>G/TBT/N/GHA/11</w:t>
            </w:r>
          </w:p>
        </w:tc>
        <w:tc>
          <w:tcPr>
            <w:tcW w:w="0" w:type="auto"/>
            <w:hideMark/>
          </w:tcPr>
          <w:p w14:paraId="2E3720F0" w14:textId="77777777" w:rsidR="00C15F2E" w:rsidRPr="00D96063" w:rsidRDefault="00C15F2E" w:rsidP="00B44A47">
            <w:pPr>
              <w:jc w:val="left"/>
              <w:rPr>
                <w:rFonts w:cs="Arial"/>
                <w:sz w:val="14"/>
                <w:szCs w:val="14"/>
              </w:rPr>
            </w:pPr>
            <w:r w:rsidRPr="00D96063">
              <w:rPr>
                <w:rFonts w:cs="Arial"/>
                <w:sz w:val="14"/>
                <w:szCs w:val="14"/>
              </w:rPr>
              <w:t>Homologation of model of motor vehicle and its variants</w:t>
            </w:r>
          </w:p>
        </w:tc>
        <w:tc>
          <w:tcPr>
            <w:tcW w:w="0" w:type="auto"/>
            <w:hideMark/>
          </w:tcPr>
          <w:p w14:paraId="13F75F7F" w14:textId="77777777" w:rsidR="00C15F2E" w:rsidRPr="00D96063" w:rsidRDefault="00C15F2E" w:rsidP="00B44A47">
            <w:pPr>
              <w:rPr>
                <w:rFonts w:cs="Arial"/>
                <w:sz w:val="14"/>
                <w:szCs w:val="14"/>
              </w:rPr>
            </w:pPr>
            <w:r w:rsidRPr="00D96063">
              <w:rPr>
                <w:rFonts w:cs="Arial"/>
                <w:sz w:val="14"/>
                <w:szCs w:val="14"/>
              </w:rPr>
              <w:t>16 July 2019</w:t>
            </w:r>
          </w:p>
        </w:tc>
      </w:tr>
      <w:tr w:rsidR="00C15F2E" w:rsidRPr="00D96063" w14:paraId="7CB99460"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5C6AABF4" w14:textId="77777777" w:rsidR="00C15F2E" w:rsidRPr="00D96063" w:rsidRDefault="00C15F2E" w:rsidP="00B44A47">
            <w:pPr>
              <w:jc w:val="left"/>
              <w:rPr>
                <w:rFonts w:cs="Arial"/>
                <w:sz w:val="14"/>
                <w:szCs w:val="14"/>
              </w:rPr>
            </w:pPr>
            <w:r w:rsidRPr="00D96063">
              <w:rPr>
                <w:rFonts w:cs="Arial"/>
                <w:sz w:val="14"/>
                <w:szCs w:val="14"/>
              </w:rPr>
              <w:t>G/TBT/N/GHA/9</w:t>
            </w:r>
          </w:p>
        </w:tc>
        <w:tc>
          <w:tcPr>
            <w:tcW w:w="0" w:type="auto"/>
            <w:hideMark/>
          </w:tcPr>
          <w:p w14:paraId="0353994B" w14:textId="77777777" w:rsidR="00C15F2E" w:rsidRPr="00D96063" w:rsidRDefault="00C15F2E" w:rsidP="00B44A47">
            <w:pPr>
              <w:jc w:val="left"/>
              <w:rPr>
                <w:rFonts w:cs="Arial"/>
                <w:sz w:val="14"/>
                <w:szCs w:val="14"/>
              </w:rPr>
            </w:pPr>
            <w:r w:rsidRPr="00D96063">
              <w:rPr>
                <w:rFonts w:cs="Arial"/>
                <w:sz w:val="14"/>
                <w:szCs w:val="14"/>
              </w:rPr>
              <w:t>Electrical wiring</w:t>
            </w:r>
          </w:p>
        </w:tc>
        <w:tc>
          <w:tcPr>
            <w:tcW w:w="0" w:type="auto"/>
            <w:hideMark/>
          </w:tcPr>
          <w:p w14:paraId="392C8A12" w14:textId="77777777" w:rsidR="00C15F2E" w:rsidRPr="00D96063" w:rsidRDefault="00C15F2E" w:rsidP="00B44A47">
            <w:pPr>
              <w:rPr>
                <w:rFonts w:cs="Arial"/>
                <w:sz w:val="14"/>
                <w:szCs w:val="14"/>
              </w:rPr>
            </w:pPr>
            <w:r w:rsidRPr="00D96063">
              <w:rPr>
                <w:rFonts w:cs="Arial"/>
                <w:sz w:val="14"/>
                <w:szCs w:val="14"/>
              </w:rPr>
              <w:t>3 April 2014</w:t>
            </w:r>
          </w:p>
        </w:tc>
      </w:tr>
      <w:tr w:rsidR="00C15F2E" w:rsidRPr="00D96063" w14:paraId="12C4A7C1" w14:textId="77777777" w:rsidTr="002A3F9E">
        <w:tc>
          <w:tcPr>
            <w:tcW w:w="0" w:type="auto"/>
            <w:hideMark/>
          </w:tcPr>
          <w:p w14:paraId="767E34C9" w14:textId="77777777" w:rsidR="00C15F2E" w:rsidRPr="00D96063" w:rsidRDefault="00C15F2E" w:rsidP="00B44A47">
            <w:pPr>
              <w:jc w:val="left"/>
              <w:rPr>
                <w:rFonts w:cs="Arial"/>
                <w:sz w:val="14"/>
                <w:szCs w:val="14"/>
              </w:rPr>
            </w:pPr>
            <w:r w:rsidRPr="00D96063">
              <w:rPr>
                <w:rFonts w:cs="Arial"/>
                <w:sz w:val="14"/>
                <w:szCs w:val="14"/>
              </w:rPr>
              <w:t>G/TBT/N/GHA/1/Rev.1</w:t>
            </w:r>
          </w:p>
        </w:tc>
        <w:tc>
          <w:tcPr>
            <w:tcW w:w="0" w:type="auto"/>
            <w:hideMark/>
          </w:tcPr>
          <w:p w14:paraId="62BC046B" w14:textId="77777777" w:rsidR="00C15F2E" w:rsidRPr="00D96063" w:rsidRDefault="00C15F2E" w:rsidP="00B44A47">
            <w:pPr>
              <w:jc w:val="left"/>
              <w:rPr>
                <w:rFonts w:cs="Arial"/>
                <w:sz w:val="14"/>
                <w:szCs w:val="14"/>
              </w:rPr>
            </w:pPr>
            <w:r w:rsidRPr="00D96063">
              <w:rPr>
                <w:rFonts w:cs="Arial"/>
                <w:sz w:val="14"/>
                <w:szCs w:val="14"/>
              </w:rPr>
              <w:t>Electrical and electronic products – Revision</w:t>
            </w:r>
          </w:p>
        </w:tc>
        <w:tc>
          <w:tcPr>
            <w:tcW w:w="0" w:type="auto"/>
            <w:hideMark/>
          </w:tcPr>
          <w:p w14:paraId="62027162" w14:textId="77777777" w:rsidR="00C15F2E" w:rsidRPr="00D96063" w:rsidRDefault="00C15F2E" w:rsidP="00B44A47">
            <w:pPr>
              <w:rPr>
                <w:rFonts w:cs="Arial"/>
                <w:sz w:val="14"/>
                <w:szCs w:val="14"/>
              </w:rPr>
            </w:pPr>
            <w:r w:rsidRPr="00D96063">
              <w:rPr>
                <w:rFonts w:cs="Arial"/>
                <w:sz w:val="14"/>
                <w:szCs w:val="14"/>
              </w:rPr>
              <w:t>4 September 2014</w:t>
            </w:r>
          </w:p>
        </w:tc>
      </w:tr>
      <w:tr w:rsidR="00C15F2E" w:rsidRPr="00D96063" w14:paraId="251CEE31"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1D6440DA" w14:textId="77777777" w:rsidR="00C15F2E" w:rsidRPr="00D96063" w:rsidRDefault="00C15F2E" w:rsidP="00B44A47">
            <w:pPr>
              <w:jc w:val="left"/>
              <w:rPr>
                <w:rFonts w:cs="Arial"/>
                <w:sz w:val="14"/>
                <w:szCs w:val="14"/>
              </w:rPr>
            </w:pPr>
            <w:r w:rsidRPr="00D96063">
              <w:rPr>
                <w:rFonts w:cs="Arial"/>
                <w:sz w:val="14"/>
                <w:szCs w:val="14"/>
              </w:rPr>
              <w:t>G/TBT/N/GHA/19</w:t>
            </w:r>
          </w:p>
        </w:tc>
        <w:tc>
          <w:tcPr>
            <w:tcW w:w="0" w:type="auto"/>
            <w:hideMark/>
          </w:tcPr>
          <w:p w14:paraId="2A18A557" w14:textId="77777777" w:rsidR="00C15F2E" w:rsidRPr="00D96063" w:rsidRDefault="00C15F2E" w:rsidP="00B44A47">
            <w:pPr>
              <w:jc w:val="left"/>
              <w:rPr>
                <w:rFonts w:cs="Arial"/>
                <w:sz w:val="14"/>
                <w:szCs w:val="14"/>
              </w:rPr>
            </w:pPr>
            <w:r w:rsidRPr="00D96063">
              <w:rPr>
                <w:rFonts w:cs="Arial"/>
                <w:sz w:val="14"/>
                <w:szCs w:val="14"/>
              </w:rPr>
              <w:t>Cocoa beans</w:t>
            </w:r>
          </w:p>
        </w:tc>
        <w:tc>
          <w:tcPr>
            <w:tcW w:w="0" w:type="auto"/>
            <w:hideMark/>
          </w:tcPr>
          <w:p w14:paraId="0E8BD2A6" w14:textId="77777777" w:rsidR="00C15F2E" w:rsidRPr="00D96063" w:rsidRDefault="00C15F2E" w:rsidP="00B44A47">
            <w:pPr>
              <w:rPr>
                <w:rFonts w:cs="Arial"/>
                <w:sz w:val="14"/>
                <w:szCs w:val="14"/>
              </w:rPr>
            </w:pPr>
            <w:r w:rsidRPr="00D96063">
              <w:rPr>
                <w:rFonts w:cs="Arial"/>
                <w:sz w:val="14"/>
                <w:szCs w:val="14"/>
              </w:rPr>
              <w:t>12 October 2020</w:t>
            </w:r>
          </w:p>
        </w:tc>
      </w:tr>
      <w:tr w:rsidR="00C15F2E" w:rsidRPr="00D96063" w14:paraId="12B914DE" w14:textId="77777777" w:rsidTr="002A3F9E">
        <w:tc>
          <w:tcPr>
            <w:tcW w:w="0" w:type="auto"/>
            <w:hideMark/>
          </w:tcPr>
          <w:p w14:paraId="61EA9701" w14:textId="77777777" w:rsidR="00C15F2E" w:rsidRPr="00D96063" w:rsidRDefault="00C15F2E" w:rsidP="00B44A47">
            <w:pPr>
              <w:jc w:val="left"/>
              <w:rPr>
                <w:rFonts w:cs="Arial"/>
                <w:sz w:val="14"/>
                <w:szCs w:val="14"/>
              </w:rPr>
            </w:pPr>
            <w:r w:rsidRPr="00D96063">
              <w:rPr>
                <w:rFonts w:cs="Arial"/>
                <w:sz w:val="14"/>
                <w:szCs w:val="14"/>
              </w:rPr>
              <w:t>G/TBT/N/GHA/18</w:t>
            </w:r>
          </w:p>
        </w:tc>
        <w:tc>
          <w:tcPr>
            <w:tcW w:w="0" w:type="auto"/>
            <w:hideMark/>
          </w:tcPr>
          <w:p w14:paraId="7FAFECF5" w14:textId="77777777" w:rsidR="00C15F2E" w:rsidRPr="00D96063" w:rsidRDefault="00C15F2E" w:rsidP="00B44A47">
            <w:pPr>
              <w:jc w:val="left"/>
              <w:rPr>
                <w:rFonts w:cs="Arial"/>
                <w:sz w:val="14"/>
                <w:szCs w:val="14"/>
              </w:rPr>
            </w:pPr>
            <w:r w:rsidRPr="00D96063">
              <w:rPr>
                <w:rFonts w:cs="Arial"/>
                <w:sz w:val="14"/>
                <w:szCs w:val="14"/>
              </w:rPr>
              <w:t>Cocoa beans</w:t>
            </w:r>
          </w:p>
        </w:tc>
        <w:tc>
          <w:tcPr>
            <w:tcW w:w="0" w:type="auto"/>
            <w:hideMark/>
          </w:tcPr>
          <w:p w14:paraId="1B226CEA" w14:textId="77777777" w:rsidR="00C15F2E" w:rsidRPr="00D96063" w:rsidRDefault="00C15F2E" w:rsidP="00B44A47">
            <w:pPr>
              <w:rPr>
                <w:rFonts w:cs="Arial"/>
                <w:sz w:val="14"/>
                <w:szCs w:val="14"/>
              </w:rPr>
            </w:pPr>
            <w:r w:rsidRPr="00D96063">
              <w:rPr>
                <w:rFonts w:cs="Arial"/>
                <w:sz w:val="14"/>
                <w:szCs w:val="14"/>
              </w:rPr>
              <w:t>12 October 2020</w:t>
            </w:r>
          </w:p>
        </w:tc>
      </w:tr>
      <w:tr w:rsidR="00C15F2E" w:rsidRPr="00D96063" w14:paraId="50F46C4C"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6162438A" w14:textId="77777777" w:rsidR="00C15F2E" w:rsidRPr="00D96063" w:rsidRDefault="00C15F2E" w:rsidP="00B44A47">
            <w:pPr>
              <w:jc w:val="left"/>
              <w:rPr>
                <w:rFonts w:cs="Arial"/>
                <w:sz w:val="14"/>
                <w:szCs w:val="14"/>
              </w:rPr>
            </w:pPr>
            <w:r w:rsidRPr="00D96063">
              <w:rPr>
                <w:rFonts w:cs="Arial"/>
                <w:sz w:val="14"/>
                <w:szCs w:val="14"/>
              </w:rPr>
              <w:t>G/TBT/N/GHA/17</w:t>
            </w:r>
          </w:p>
        </w:tc>
        <w:tc>
          <w:tcPr>
            <w:tcW w:w="0" w:type="auto"/>
            <w:hideMark/>
          </w:tcPr>
          <w:p w14:paraId="11C5FC7F" w14:textId="77777777" w:rsidR="00C15F2E" w:rsidRPr="00D96063" w:rsidRDefault="00C15F2E" w:rsidP="00B44A47">
            <w:pPr>
              <w:jc w:val="left"/>
              <w:rPr>
                <w:rFonts w:cs="Arial"/>
                <w:sz w:val="14"/>
                <w:szCs w:val="14"/>
              </w:rPr>
            </w:pPr>
            <w:r w:rsidRPr="00D96063">
              <w:rPr>
                <w:rFonts w:cs="Arial"/>
                <w:sz w:val="14"/>
                <w:szCs w:val="14"/>
              </w:rPr>
              <w:t xml:space="preserve">Cocoa beans </w:t>
            </w:r>
          </w:p>
        </w:tc>
        <w:tc>
          <w:tcPr>
            <w:tcW w:w="0" w:type="auto"/>
            <w:hideMark/>
          </w:tcPr>
          <w:p w14:paraId="7374552C" w14:textId="77777777" w:rsidR="00C15F2E" w:rsidRPr="00D96063" w:rsidRDefault="00C15F2E" w:rsidP="00B44A47">
            <w:pPr>
              <w:rPr>
                <w:rFonts w:cs="Arial"/>
                <w:sz w:val="14"/>
                <w:szCs w:val="14"/>
              </w:rPr>
            </w:pPr>
            <w:r w:rsidRPr="00D96063">
              <w:rPr>
                <w:rFonts w:cs="Arial"/>
                <w:sz w:val="14"/>
                <w:szCs w:val="14"/>
              </w:rPr>
              <w:t>12 October 2020</w:t>
            </w:r>
          </w:p>
        </w:tc>
      </w:tr>
      <w:tr w:rsidR="00C15F2E" w:rsidRPr="00D96063" w14:paraId="26C3DE3D" w14:textId="77777777" w:rsidTr="002A3F9E">
        <w:tc>
          <w:tcPr>
            <w:tcW w:w="0" w:type="auto"/>
            <w:gridSpan w:val="3"/>
            <w:hideMark/>
          </w:tcPr>
          <w:p w14:paraId="4BEB8E6E" w14:textId="77777777" w:rsidR="00C15F2E" w:rsidRPr="00D96063" w:rsidRDefault="00C15F2E" w:rsidP="00B44A47">
            <w:pPr>
              <w:jc w:val="left"/>
              <w:rPr>
                <w:rFonts w:cs="Calibri"/>
                <w:b/>
                <w:bCs/>
                <w:sz w:val="14"/>
                <w:szCs w:val="14"/>
              </w:rPr>
            </w:pPr>
            <w:r w:rsidRPr="00D96063">
              <w:rPr>
                <w:rFonts w:cs="Calibri"/>
                <w:b/>
                <w:bCs/>
                <w:sz w:val="14"/>
                <w:szCs w:val="14"/>
              </w:rPr>
              <w:t>Agreement on Subsidies and Countervailing Measures</w:t>
            </w:r>
          </w:p>
        </w:tc>
      </w:tr>
      <w:tr w:rsidR="00C15F2E" w:rsidRPr="00D96063" w14:paraId="028F0647"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4331A08D" w14:textId="77777777" w:rsidR="00C15F2E" w:rsidRPr="00D96063" w:rsidRDefault="00C15F2E" w:rsidP="00B44A47">
            <w:pPr>
              <w:jc w:val="left"/>
              <w:rPr>
                <w:rFonts w:cs="Arial"/>
                <w:sz w:val="14"/>
                <w:szCs w:val="14"/>
              </w:rPr>
            </w:pPr>
            <w:r w:rsidRPr="00D96063">
              <w:rPr>
                <w:rFonts w:cs="Arial"/>
                <w:sz w:val="14"/>
                <w:szCs w:val="14"/>
              </w:rPr>
              <w:t>G/SCM/N/202/GHA/Rev.1</w:t>
            </w:r>
          </w:p>
        </w:tc>
        <w:tc>
          <w:tcPr>
            <w:tcW w:w="0" w:type="auto"/>
            <w:hideMark/>
          </w:tcPr>
          <w:p w14:paraId="61E92B9E" w14:textId="05303B83" w:rsidR="00C15F2E" w:rsidRPr="00D96063" w:rsidRDefault="00C15F2E" w:rsidP="00B44A47">
            <w:pPr>
              <w:jc w:val="left"/>
              <w:rPr>
                <w:rFonts w:cs="Arial"/>
                <w:sz w:val="14"/>
                <w:szCs w:val="14"/>
              </w:rPr>
            </w:pPr>
            <w:r w:rsidRPr="00D96063">
              <w:rPr>
                <w:rFonts w:cs="Arial"/>
                <w:sz w:val="14"/>
                <w:szCs w:val="14"/>
              </w:rPr>
              <w:t>Notification under Article</w:t>
            </w:r>
            <w:r w:rsidR="00DF07C6">
              <w:rPr>
                <w:rFonts w:cs="Arial"/>
                <w:sz w:val="14"/>
                <w:szCs w:val="14"/>
              </w:rPr>
              <w:t> </w:t>
            </w:r>
            <w:r w:rsidRPr="00D96063">
              <w:rPr>
                <w:rFonts w:cs="Arial"/>
                <w:sz w:val="14"/>
                <w:szCs w:val="14"/>
              </w:rPr>
              <w:t>25.12 of the Agreement – Ghana – Revision</w:t>
            </w:r>
          </w:p>
        </w:tc>
        <w:tc>
          <w:tcPr>
            <w:tcW w:w="0" w:type="auto"/>
            <w:hideMark/>
          </w:tcPr>
          <w:p w14:paraId="493B49E7" w14:textId="77777777" w:rsidR="00C15F2E" w:rsidRPr="00D96063" w:rsidRDefault="00C15F2E" w:rsidP="00B44A47">
            <w:pPr>
              <w:rPr>
                <w:rFonts w:cs="Arial"/>
                <w:sz w:val="14"/>
                <w:szCs w:val="14"/>
              </w:rPr>
            </w:pPr>
            <w:r w:rsidRPr="00D96063">
              <w:rPr>
                <w:rFonts w:cs="Arial"/>
                <w:sz w:val="14"/>
                <w:szCs w:val="14"/>
              </w:rPr>
              <w:t>16 December 2019</w:t>
            </w:r>
          </w:p>
        </w:tc>
      </w:tr>
      <w:tr w:rsidR="00C15F2E" w:rsidRPr="00D96063" w14:paraId="7C60C34F" w14:textId="77777777" w:rsidTr="002A3F9E">
        <w:tc>
          <w:tcPr>
            <w:tcW w:w="0" w:type="auto"/>
            <w:gridSpan w:val="3"/>
            <w:hideMark/>
          </w:tcPr>
          <w:p w14:paraId="43F07FB9" w14:textId="77777777" w:rsidR="00C15F2E" w:rsidRPr="00D96063" w:rsidRDefault="00C15F2E" w:rsidP="002A3F9E">
            <w:pPr>
              <w:jc w:val="left"/>
              <w:rPr>
                <w:rFonts w:cs="Calibri"/>
                <w:b/>
                <w:bCs/>
                <w:sz w:val="14"/>
                <w:szCs w:val="14"/>
              </w:rPr>
            </w:pPr>
            <w:r w:rsidRPr="00D96063">
              <w:rPr>
                <w:rFonts w:cs="Calibri"/>
                <w:b/>
                <w:bCs/>
                <w:sz w:val="14"/>
                <w:szCs w:val="14"/>
              </w:rPr>
              <w:t>Agreement on the Application of Sanitary and Phytosanitary Measures</w:t>
            </w:r>
          </w:p>
        </w:tc>
      </w:tr>
      <w:tr w:rsidR="00C15F2E" w:rsidRPr="00D96063" w14:paraId="624DACD6"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27319C25" w14:textId="77777777" w:rsidR="00C15F2E" w:rsidRPr="00D96063" w:rsidRDefault="00C15F2E" w:rsidP="002A3F9E">
            <w:pPr>
              <w:jc w:val="left"/>
              <w:rPr>
                <w:rFonts w:cs="Arial"/>
                <w:sz w:val="14"/>
                <w:szCs w:val="14"/>
              </w:rPr>
            </w:pPr>
            <w:r w:rsidRPr="00D96063">
              <w:rPr>
                <w:rFonts w:cs="Arial"/>
                <w:sz w:val="14"/>
                <w:szCs w:val="14"/>
              </w:rPr>
              <w:t>G/SPS/N/GHA/4</w:t>
            </w:r>
          </w:p>
        </w:tc>
        <w:tc>
          <w:tcPr>
            <w:tcW w:w="0" w:type="auto"/>
            <w:hideMark/>
          </w:tcPr>
          <w:p w14:paraId="35400764" w14:textId="77777777" w:rsidR="00C15F2E" w:rsidRPr="00D96063" w:rsidRDefault="00C15F2E" w:rsidP="002A3F9E">
            <w:pPr>
              <w:jc w:val="left"/>
              <w:rPr>
                <w:rFonts w:cs="Arial"/>
                <w:sz w:val="14"/>
                <w:szCs w:val="14"/>
              </w:rPr>
            </w:pPr>
            <w:r w:rsidRPr="00D96063">
              <w:rPr>
                <w:rFonts w:cs="Arial"/>
                <w:sz w:val="14"/>
                <w:szCs w:val="14"/>
              </w:rPr>
              <w:t>Emergency measures – Tilapia species and ornamental fishes</w:t>
            </w:r>
          </w:p>
        </w:tc>
        <w:tc>
          <w:tcPr>
            <w:tcW w:w="0" w:type="auto"/>
            <w:hideMark/>
          </w:tcPr>
          <w:p w14:paraId="746859E5" w14:textId="77777777" w:rsidR="00C15F2E" w:rsidRPr="00D96063" w:rsidRDefault="00C15F2E" w:rsidP="002A3F9E">
            <w:pPr>
              <w:rPr>
                <w:rFonts w:cs="Arial"/>
                <w:sz w:val="14"/>
                <w:szCs w:val="14"/>
              </w:rPr>
            </w:pPr>
            <w:r w:rsidRPr="00D96063">
              <w:rPr>
                <w:rFonts w:cs="Arial"/>
                <w:sz w:val="14"/>
                <w:szCs w:val="14"/>
              </w:rPr>
              <w:t>11 July 2018</w:t>
            </w:r>
          </w:p>
        </w:tc>
      </w:tr>
      <w:tr w:rsidR="00C15F2E" w:rsidRPr="00D96063" w14:paraId="54207418" w14:textId="77777777" w:rsidTr="002A3F9E">
        <w:tc>
          <w:tcPr>
            <w:tcW w:w="0" w:type="auto"/>
            <w:hideMark/>
          </w:tcPr>
          <w:p w14:paraId="58EC7751" w14:textId="77777777" w:rsidR="00C15F2E" w:rsidRPr="00D96063" w:rsidRDefault="00C15F2E" w:rsidP="002A3F9E">
            <w:pPr>
              <w:jc w:val="left"/>
              <w:rPr>
                <w:rFonts w:cs="Arial"/>
                <w:sz w:val="14"/>
                <w:szCs w:val="14"/>
              </w:rPr>
            </w:pPr>
            <w:r w:rsidRPr="00D96063">
              <w:rPr>
                <w:rFonts w:cs="Arial"/>
                <w:sz w:val="14"/>
                <w:szCs w:val="14"/>
              </w:rPr>
              <w:lastRenderedPageBreak/>
              <w:t>G/SPS/N/GHA/2/Add.2</w:t>
            </w:r>
          </w:p>
        </w:tc>
        <w:tc>
          <w:tcPr>
            <w:tcW w:w="0" w:type="auto"/>
            <w:hideMark/>
          </w:tcPr>
          <w:p w14:paraId="02AA35A5" w14:textId="77777777" w:rsidR="00C15F2E" w:rsidRPr="00D96063" w:rsidRDefault="00C15F2E" w:rsidP="002A3F9E">
            <w:pPr>
              <w:jc w:val="left"/>
              <w:rPr>
                <w:rFonts w:cs="Arial"/>
                <w:sz w:val="14"/>
                <w:szCs w:val="14"/>
              </w:rPr>
            </w:pPr>
            <w:r w:rsidRPr="00D96063">
              <w:rPr>
                <w:rFonts w:cs="Arial"/>
                <w:sz w:val="14"/>
                <w:szCs w:val="14"/>
              </w:rPr>
              <w:t>Invasive alien species of plant, animal and aquatic vertebrates' origin – Addendum</w:t>
            </w:r>
          </w:p>
        </w:tc>
        <w:tc>
          <w:tcPr>
            <w:tcW w:w="0" w:type="auto"/>
            <w:hideMark/>
          </w:tcPr>
          <w:p w14:paraId="56D8BEE6" w14:textId="77777777" w:rsidR="00C15F2E" w:rsidRPr="00D96063" w:rsidRDefault="00C15F2E" w:rsidP="002A3F9E">
            <w:pPr>
              <w:rPr>
                <w:rFonts w:cs="Arial"/>
                <w:sz w:val="14"/>
                <w:szCs w:val="14"/>
              </w:rPr>
            </w:pPr>
            <w:r w:rsidRPr="00D96063">
              <w:rPr>
                <w:rFonts w:cs="Arial"/>
                <w:sz w:val="14"/>
                <w:szCs w:val="14"/>
              </w:rPr>
              <w:t>12 May 2016</w:t>
            </w:r>
          </w:p>
        </w:tc>
      </w:tr>
      <w:tr w:rsidR="00C15F2E" w:rsidRPr="00D96063" w14:paraId="482E8FAD"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7C1294D5" w14:textId="77777777" w:rsidR="00C15F2E" w:rsidRPr="00D96063" w:rsidRDefault="00C15F2E" w:rsidP="002A3F9E">
            <w:pPr>
              <w:jc w:val="left"/>
              <w:rPr>
                <w:rFonts w:cs="Arial"/>
                <w:sz w:val="14"/>
                <w:szCs w:val="14"/>
              </w:rPr>
            </w:pPr>
            <w:r w:rsidRPr="00D96063">
              <w:rPr>
                <w:rFonts w:cs="Arial"/>
                <w:sz w:val="14"/>
                <w:szCs w:val="14"/>
              </w:rPr>
              <w:t>G/SPS/N/GHA/2/Add.1</w:t>
            </w:r>
          </w:p>
        </w:tc>
        <w:tc>
          <w:tcPr>
            <w:tcW w:w="0" w:type="auto"/>
            <w:hideMark/>
          </w:tcPr>
          <w:p w14:paraId="6FE4A098" w14:textId="77777777" w:rsidR="00C15F2E" w:rsidRPr="00D96063" w:rsidRDefault="00C15F2E" w:rsidP="002A3F9E">
            <w:pPr>
              <w:jc w:val="left"/>
              <w:rPr>
                <w:rFonts w:cs="Arial"/>
                <w:sz w:val="14"/>
                <w:szCs w:val="14"/>
              </w:rPr>
            </w:pPr>
            <w:r w:rsidRPr="00D96063">
              <w:rPr>
                <w:rFonts w:cs="Arial"/>
                <w:sz w:val="14"/>
                <w:szCs w:val="14"/>
              </w:rPr>
              <w:t>Invasive alien species of plant, animal and aquatic vertebrates' origin – Addendum</w:t>
            </w:r>
          </w:p>
        </w:tc>
        <w:tc>
          <w:tcPr>
            <w:tcW w:w="0" w:type="auto"/>
            <w:hideMark/>
          </w:tcPr>
          <w:p w14:paraId="30F1D2BE" w14:textId="77777777" w:rsidR="00C15F2E" w:rsidRPr="00D96063" w:rsidRDefault="00C15F2E" w:rsidP="002A3F9E">
            <w:pPr>
              <w:rPr>
                <w:rFonts w:cs="Arial"/>
                <w:sz w:val="14"/>
                <w:szCs w:val="14"/>
              </w:rPr>
            </w:pPr>
            <w:r w:rsidRPr="00D96063">
              <w:rPr>
                <w:rFonts w:cs="Arial"/>
                <w:sz w:val="14"/>
                <w:szCs w:val="14"/>
              </w:rPr>
              <w:t>9 March 2016</w:t>
            </w:r>
          </w:p>
        </w:tc>
      </w:tr>
      <w:tr w:rsidR="00C15F2E" w:rsidRPr="00D96063" w14:paraId="030B392F" w14:textId="77777777" w:rsidTr="002A3F9E">
        <w:tc>
          <w:tcPr>
            <w:tcW w:w="0" w:type="auto"/>
            <w:hideMark/>
          </w:tcPr>
          <w:p w14:paraId="3D4AB2B8" w14:textId="77777777" w:rsidR="00C15F2E" w:rsidRPr="00D96063" w:rsidRDefault="00C15F2E" w:rsidP="002A3F9E">
            <w:pPr>
              <w:jc w:val="left"/>
              <w:rPr>
                <w:rFonts w:cs="Arial"/>
                <w:sz w:val="14"/>
                <w:szCs w:val="14"/>
              </w:rPr>
            </w:pPr>
            <w:r w:rsidRPr="00D96063">
              <w:rPr>
                <w:rFonts w:cs="Arial"/>
                <w:sz w:val="14"/>
                <w:szCs w:val="14"/>
              </w:rPr>
              <w:t>G/SPS/N/GHA/2</w:t>
            </w:r>
          </w:p>
        </w:tc>
        <w:tc>
          <w:tcPr>
            <w:tcW w:w="0" w:type="auto"/>
            <w:hideMark/>
          </w:tcPr>
          <w:p w14:paraId="75B712A2" w14:textId="77777777" w:rsidR="00C15F2E" w:rsidRPr="00D96063" w:rsidRDefault="00C15F2E" w:rsidP="002A3F9E">
            <w:pPr>
              <w:jc w:val="left"/>
              <w:rPr>
                <w:rFonts w:cs="Arial"/>
                <w:sz w:val="14"/>
                <w:szCs w:val="14"/>
              </w:rPr>
            </w:pPr>
            <w:r w:rsidRPr="00D96063">
              <w:rPr>
                <w:rFonts w:cs="Arial"/>
                <w:sz w:val="14"/>
                <w:szCs w:val="14"/>
              </w:rPr>
              <w:t>Invasive alien species of plant, animal and aquatic vertebrates' origin</w:t>
            </w:r>
          </w:p>
        </w:tc>
        <w:tc>
          <w:tcPr>
            <w:tcW w:w="0" w:type="auto"/>
            <w:hideMark/>
          </w:tcPr>
          <w:p w14:paraId="0B52D03C" w14:textId="77777777" w:rsidR="00C15F2E" w:rsidRPr="00D96063" w:rsidRDefault="00C15F2E" w:rsidP="002A3F9E">
            <w:pPr>
              <w:rPr>
                <w:rFonts w:cs="Arial"/>
                <w:sz w:val="14"/>
                <w:szCs w:val="14"/>
              </w:rPr>
            </w:pPr>
            <w:r w:rsidRPr="00D96063">
              <w:rPr>
                <w:rFonts w:cs="Arial"/>
                <w:sz w:val="14"/>
                <w:szCs w:val="14"/>
              </w:rPr>
              <w:t>25 February 2016</w:t>
            </w:r>
          </w:p>
        </w:tc>
      </w:tr>
      <w:tr w:rsidR="00C15F2E" w:rsidRPr="00D96063" w14:paraId="371F5F4B"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609D7A11" w14:textId="77777777" w:rsidR="00C15F2E" w:rsidRPr="00D96063" w:rsidRDefault="00C15F2E" w:rsidP="002A3F9E">
            <w:pPr>
              <w:jc w:val="left"/>
              <w:rPr>
                <w:rFonts w:cs="Arial"/>
                <w:sz w:val="14"/>
                <w:szCs w:val="14"/>
              </w:rPr>
            </w:pPr>
            <w:r w:rsidRPr="00D96063">
              <w:rPr>
                <w:rFonts w:cs="Arial"/>
                <w:sz w:val="14"/>
                <w:szCs w:val="14"/>
              </w:rPr>
              <w:t>G/SPS/N/GHA/5</w:t>
            </w:r>
          </w:p>
        </w:tc>
        <w:tc>
          <w:tcPr>
            <w:tcW w:w="0" w:type="auto"/>
            <w:hideMark/>
          </w:tcPr>
          <w:p w14:paraId="1460CEA6" w14:textId="77777777" w:rsidR="00C15F2E" w:rsidRPr="00D96063" w:rsidRDefault="00C15F2E" w:rsidP="002A3F9E">
            <w:pPr>
              <w:jc w:val="left"/>
              <w:rPr>
                <w:rFonts w:cs="Arial"/>
                <w:sz w:val="14"/>
                <w:szCs w:val="14"/>
              </w:rPr>
            </w:pPr>
            <w:r w:rsidRPr="00D96063">
              <w:rPr>
                <w:rFonts w:cs="Arial"/>
                <w:sz w:val="14"/>
                <w:szCs w:val="14"/>
              </w:rPr>
              <w:t>Genetically modified organisms</w:t>
            </w:r>
          </w:p>
        </w:tc>
        <w:tc>
          <w:tcPr>
            <w:tcW w:w="0" w:type="auto"/>
            <w:hideMark/>
          </w:tcPr>
          <w:p w14:paraId="60E47312" w14:textId="77777777" w:rsidR="00C15F2E" w:rsidRPr="00D96063" w:rsidRDefault="00C15F2E" w:rsidP="002A3F9E">
            <w:pPr>
              <w:rPr>
                <w:rFonts w:cs="Arial"/>
                <w:sz w:val="14"/>
                <w:szCs w:val="14"/>
              </w:rPr>
            </w:pPr>
            <w:r w:rsidRPr="00D96063">
              <w:rPr>
                <w:rFonts w:cs="Arial"/>
                <w:sz w:val="14"/>
                <w:szCs w:val="14"/>
              </w:rPr>
              <w:t>27 November 2018</w:t>
            </w:r>
          </w:p>
        </w:tc>
      </w:tr>
      <w:tr w:rsidR="00C15F2E" w:rsidRPr="00D96063" w14:paraId="0DF92B90" w14:textId="77777777" w:rsidTr="002A3F9E">
        <w:tc>
          <w:tcPr>
            <w:tcW w:w="0" w:type="auto"/>
            <w:hideMark/>
          </w:tcPr>
          <w:p w14:paraId="49978D59" w14:textId="77777777" w:rsidR="00C15F2E" w:rsidRPr="00D96063" w:rsidRDefault="00C15F2E" w:rsidP="002A3F9E">
            <w:pPr>
              <w:jc w:val="left"/>
              <w:rPr>
                <w:rFonts w:cs="Arial"/>
                <w:sz w:val="14"/>
                <w:szCs w:val="14"/>
              </w:rPr>
            </w:pPr>
            <w:r w:rsidRPr="00D96063">
              <w:rPr>
                <w:rFonts w:cs="Arial"/>
                <w:sz w:val="14"/>
                <w:szCs w:val="14"/>
              </w:rPr>
              <w:t>G/SPS/N/GHA/3/Add.2</w:t>
            </w:r>
          </w:p>
        </w:tc>
        <w:tc>
          <w:tcPr>
            <w:tcW w:w="0" w:type="auto"/>
            <w:hideMark/>
          </w:tcPr>
          <w:p w14:paraId="561665A6" w14:textId="77777777" w:rsidR="00C15F2E" w:rsidRPr="00D96063" w:rsidRDefault="00C15F2E" w:rsidP="002A3F9E">
            <w:pPr>
              <w:jc w:val="left"/>
              <w:rPr>
                <w:rFonts w:cs="Arial"/>
                <w:sz w:val="14"/>
                <w:szCs w:val="14"/>
              </w:rPr>
            </w:pPr>
            <w:r w:rsidRPr="00D96063">
              <w:rPr>
                <w:rFonts w:cs="Arial"/>
                <w:sz w:val="14"/>
                <w:szCs w:val="14"/>
              </w:rPr>
              <w:t>Animals and their meat products – Addendum</w:t>
            </w:r>
          </w:p>
        </w:tc>
        <w:tc>
          <w:tcPr>
            <w:tcW w:w="0" w:type="auto"/>
            <w:hideMark/>
          </w:tcPr>
          <w:p w14:paraId="344674BC" w14:textId="77777777" w:rsidR="00C15F2E" w:rsidRPr="00D96063" w:rsidRDefault="00C15F2E" w:rsidP="002A3F9E">
            <w:pPr>
              <w:rPr>
                <w:rFonts w:cs="Arial"/>
                <w:sz w:val="14"/>
                <w:szCs w:val="14"/>
              </w:rPr>
            </w:pPr>
            <w:r w:rsidRPr="00D96063">
              <w:rPr>
                <w:rFonts w:cs="Arial"/>
                <w:sz w:val="14"/>
                <w:szCs w:val="14"/>
              </w:rPr>
              <w:t>20 May 2016</w:t>
            </w:r>
          </w:p>
        </w:tc>
      </w:tr>
      <w:tr w:rsidR="00C15F2E" w:rsidRPr="00D96063" w14:paraId="6483C648"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2B08EFEE" w14:textId="77777777" w:rsidR="00C15F2E" w:rsidRPr="00D96063" w:rsidRDefault="00C15F2E" w:rsidP="002A3F9E">
            <w:pPr>
              <w:jc w:val="left"/>
              <w:rPr>
                <w:rFonts w:cs="Arial"/>
                <w:sz w:val="14"/>
                <w:szCs w:val="14"/>
              </w:rPr>
            </w:pPr>
            <w:r w:rsidRPr="00D96063">
              <w:rPr>
                <w:rFonts w:cs="Arial"/>
                <w:sz w:val="14"/>
                <w:szCs w:val="14"/>
              </w:rPr>
              <w:t>G/SPS/N/GHA/3/Add.1</w:t>
            </w:r>
          </w:p>
        </w:tc>
        <w:tc>
          <w:tcPr>
            <w:tcW w:w="0" w:type="auto"/>
            <w:hideMark/>
          </w:tcPr>
          <w:p w14:paraId="10E95548" w14:textId="77777777" w:rsidR="00C15F2E" w:rsidRPr="00D96063" w:rsidRDefault="00C15F2E" w:rsidP="002A3F9E">
            <w:pPr>
              <w:jc w:val="left"/>
              <w:rPr>
                <w:rFonts w:cs="Arial"/>
                <w:sz w:val="14"/>
                <w:szCs w:val="14"/>
              </w:rPr>
            </w:pPr>
            <w:r w:rsidRPr="00D96063">
              <w:rPr>
                <w:rFonts w:cs="Arial"/>
                <w:sz w:val="14"/>
                <w:szCs w:val="14"/>
              </w:rPr>
              <w:t>Animals and their meat products – Addendum</w:t>
            </w:r>
          </w:p>
        </w:tc>
        <w:tc>
          <w:tcPr>
            <w:tcW w:w="0" w:type="auto"/>
            <w:hideMark/>
          </w:tcPr>
          <w:p w14:paraId="62795A22" w14:textId="77777777" w:rsidR="00C15F2E" w:rsidRPr="00D96063" w:rsidRDefault="00C15F2E" w:rsidP="002A3F9E">
            <w:pPr>
              <w:rPr>
                <w:rFonts w:cs="Arial"/>
                <w:sz w:val="14"/>
                <w:szCs w:val="14"/>
              </w:rPr>
            </w:pPr>
            <w:r w:rsidRPr="00D96063">
              <w:rPr>
                <w:rFonts w:cs="Arial"/>
                <w:sz w:val="14"/>
                <w:szCs w:val="14"/>
              </w:rPr>
              <w:t>21 March 2016</w:t>
            </w:r>
          </w:p>
        </w:tc>
      </w:tr>
      <w:tr w:rsidR="00C15F2E" w:rsidRPr="00D96063" w14:paraId="255BDA99" w14:textId="77777777" w:rsidTr="002A3F9E">
        <w:tc>
          <w:tcPr>
            <w:tcW w:w="0" w:type="auto"/>
            <w:hideMark/>
          </w:tcPr>
          <w:p w14:paraId="2E5AA2A1" w14:textId="77777777" w:rsidR="00C15F2E" w:rsidRPr="00D96063" w:rsidRDefault="00C15F2E" w:rsidP="002A3F9E">
            <w:pPr>
              <w:jc w:val="left"/>
              <w:rPr>
                <w:rFonts w:cs="Arial"/>
                <w:sz w:val="14"/>
                <w:szCs w:val="14"/>
              </w:rPr>
            </w:pPr>
            <w:r w:rsidRPr="00D96063">
              <w:rPr>
                <w:rFonts w:cs="Arial"/>
                <w:sz w:val="14"/>
                <w:szCs w:val="14"/>
              </w:rPr>
              <w:t>G/SPS/N/GHA/3</w:t>
            </w:r>
          </w:p>
        </w:tc>
        <w:tc>
          <w:tcPr>
            <w:tcW w:w="0" w:type="auto"/>
            <w:hideMark/>
          </w:tcPr>
          <w:p w14:paraId="661DD899" w14:textId="77777777" w:rsidR="00C15F2E" w:rsidRPr="00D96063" w:rsidRDefault="00C15F2E" w:rsidP="002A3F9E">
            <w:pPr>
              <w:jc w:val="left"/>
              <w:rPr>
                <w:rFonts w:cs="Arial"/>
                <w:sz w:val="14"/>
                <w:szCs w:val="14"/>
              </w:rPr>
            </w:pPr>
            <w:r w:rsidRPr="00D96063">
              <w:rPr>
                <w:rFonts w:cs="Arial"/>
                <w:sz w:val="14"/>
                <w:szCs w:val="14"/>
              </w:rPr>
              <w:t xml:space="preserve">Animals and their meat products </w:t>
            </w:r>
          </w:p>
        </w:tc>
        <w:tc>
          <w:tcPr>
            <w:tcW w:w="0" w:type="auto"/>
            <w:hideMark/>
          </w:tcPr>
          <w:p w14:paraId="220B44D1" w14:textId="77777777" w:rsidR="00C15F2E" w:rsidRPr="00D96063" w:rsidRDefault="00C15F2E" w:rsidP="002A3F9E">
            <w:pPr>
              <w:rPr>
                <w:rFonts w:cs="Arial"/>
                <w:sz w:val="14"/>
                <w:szCs w:val="14"/>
              </w:rPr>
            </w:pPr>
            <w:r w:rsidRPr="00D96063">
              <w:rPr>
                <w:rFonts w:cs="Arial"/>
                <w:sz w:val="14"/>
                <w:szCs w:val="14"/>
              </w:rPr>
              <w:t>25 February 2016</w:t>
            </w:r>
          </w:p>
        </w:tc>
      </w:tr>
      <w:tr w:rsidR="00C15F2E" w:rsidRPr="00D96063" w14:paraId="0883CD42"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4FDDDCCC" w14:textId="77777777" w:rsidR="00C15F2E" w:rsidRPr="00D96063" w:rsidRDefault="00C15F2E" w:rsidP="002A3F9E">
            <w:pPr>
              <w:jc w:val="left"/>
              <w:rPr>
                <w:rFonts w:cs="Arial"/>
                <w:sz w:val="14"/>
                <w:szCs w:val="14"/>
              </w:rPr>
            </w:pPr>
            <w:r w:rsidRPr="00D96063">
              <w:rPr>
                <w:rFonts w:cs="Arial"/>
                <w:sz w:val="14"/>
                <w:szCs w:val="14"/>
              </w:rPr>
              <w:t>G/SPS/N/GHA/1</w:t>
            </w:r>
          </w:p>
        </w:tc>
        <w:tc>
          <w:tcPr>
            <w:tcW w:w="0" w:type="auto"/>
            <w:hideMark/>
          </w:tcPr>
          <w:p w14:paraId="0D6C6750" w14:textId="77777777" w:rsidR="00C15F2E" w:rsidRPr="00D96063" w:rsidRDefault="00C15F2E" w:rsidP="002A3F9E">
            <w:pPr>
              <w:jc w:val="left"/>
              <w:rPr>
                <w:rFonts w:cs="Arial"/>
                <w:sz w:val="14"/>
                <w:szCs w:val="14"/>
              </w:rPr>
            </w:pPr>
            <w:r w:rsidRPr="00D96063">
              <w:rPr>
                <w:rFonts w:cs="Arial"/>
                <w:sz w:val="14"/>
                <w:szCs w:val="14"/>
              </w:rPr>
              <w:t>All plant and animal food products</w:t>
            </w:r>
          </w:p>
        </w:tc>
        <w:tc>
          <w:tcPr>
            <w:tcW w:w="0" w:type="auto"/>
            <w:hideMark/>
          </w:tcPr>
          <w:p w14:paraId="12C41C71" w14:textId="77777777" w:rsidR="00C15F2E" w:rsidRPr="00D96063" w:rsidRDefault="00C15F2E" w:rsidP="002A3F9E">
            <w:pPr>
              <w:rPr>
                <w:rFonts w:cs="Arial"/>
                <w:sz w:val="14"/>
                <w:szCs w:val="14"/>
              </w:rPr>
            </w:pPr>
            <w:r w:rsidRPr="00D96063">
              <w:rPr>
                <w:rFonts w:cs="Arial"/>
                <w:sz w:val="14"/>
                <w:szCs w:val="14"/>
              </w:rPr>
              <w:t>29 April 2014</w:t>
            </w:r>
          </w:p>
        </w:tc>
      </w:tr>
      <w:tr w:rsidR="00C15F2E" w:rsidRPr="00D96063" w14:paraId="3BD757BB" w14:textId="77777777" w:rsidTr="002A3F9E">
        <w:tc>
          <w:tcPr>
            <w:tcW w:w="0" w:type="auto"/>
            <w:gridSpan w:val="3"/>
            <w:hideMark/>
          </w:tcPr>
          <w:p w14:paraId="436604EA" w14:textId="77777777" w:rsidR="00C15F2E" w:rsidRPr="00D96063" w:rsidRDefault="00C15F2E" w:rsidP="002A3F9E">
            <w:pPr>
              <w:jc w:val="left"/>
              <w:rPr>
                <w:rFonts w:cs="Calibri"/>
                <w:b/>
                <w:bCs/>
                <w:sz w:val="14"/>
                <w:szCs w:val="14"/>
              </w:rPr>
            </w:pPr>
            <w:r w:rsidRPr="00D96063">
              <w:rPr>
                <w:rFonts w:cs="Calibri"/>
                <w:b/>
                <w:bCs/>
                <w:sz w:val="14"/>
                <w:szCs w:val="14"/>
              </w:rPr>
              <w:t>Regional Trade Agreements</w:t>
            </w:r>
          </w:p>
        </w:tc>
      </w:tr>
      <w:tr w:rsidR="00C15F2E" w:rsidRPr="00D96063" w14:paraId="4C4220CE"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4F4D68CA" w14:textId="77777777" w:rsidR="00C15F2E" w:rsidRPr="00D96063" w:rsidRDefault="00C15F2E" w:rsidP="002A3F9E">
            <w:pPr>
              <w:jc w:val="left"/>
              <w:rPr>
                <w:rFonts w:cs="Arial"/>
                <w:sz w:val="14"/>
                <w:szCs w:val="14"/>
              </w:rPr>
            </w:pPr>
            <w:r w:rsidRPr="00D96063">
              <w:rPr>
                <w:rFonts w:cs="Arial"/>
                <w:sz w:val="14"/>
                <w:szCs w:val="14"/>
              </w:rPr>
              <w:t>WT/REG449/N/1</w:t>
            </w:r>
          </w:p>
        </w:tc>
        <w:tc>
          <w:tcPr>
            <w:tcW w:w="0" w:type="auto"/>
            <w:hideMark/>
          </w:tcPr>
          <w:p w14:paraId="67B9EEA3" w14:textId="77777777" w:rsidR="00C15F2E" w:rsidRPr="00D96063" w:rsidRDefault="00C15F2E" w:rsidP="002A3F9E">
            <w:pPr>
              <w:jc w:val="left"/>
              <w:rPr>
                <w:rFonts w:cs="Arial"/>
                <w:sz w:val="14"/>
                <w:szCs w:val="14"/>
              </w:rPr>
            </w:pPr>
            <w:r w:rsidRPr="00D96063">
              <w:rPr>
                <w:rFonts w:cs="Arial"/>
                <w:sz w:val="14"/>
                <w:szCs w:val="14"/>
              </w:rPr>
              <w:t>Regional trade agreement – United Kingdom and Ghana</w:t>
            </w:r>
          </w:p>
        </w:tc>
        <w:tc>
          <w:tcPr>
            <w:tcW w:w="0" w:type="auto"/>
            <w:hideMark/>
          </w:tcPr>
          <w:p w14:paraId="6304DA93" w14:textId="77777777" w:rsidR="00C15F2E" w:rsidRPr="00D96063" w:rsidRDefault="00C15F2E" w:rsidP="002A3F9E">
            <w:pPr>
              <w:rPr>
                <w:rFonts w:cs="Arial"/>
                <w:sz w:val="14"/>
                <w:szCs w:val="14"/>
              </w:rPr>
            </w:pPr>
            <w:r w:rsidRPr="00D96063">
              <w:rPr>
                <w:rFonts w:cs="Arial"/>
                <w:sz w:val="14"/>
                <w:szCs w:val="14"/>
              </w:rPr>
              <w:t>5 March 2021</w:t>
            </w:r>
          </w:p>
        </w:tc>
      </w:tr>
      <w:tr w:rsidR="00C15F2E" w:rsidRPr="00D96063" w14:paraId="7E7C3C1A" w14:textId="77777777" w:rsidTr="002A3F9E">
        <w:tc>
          <w:tcPr>
            <w:tcW w:w="0" w:type="auto"/>
            <w:hideMark/>
          </w:tcPr>
          <w:p w14:paraId="1FF14BCA" w14:textId="77777777" w:rsidR="00C15F2E" w:rsidRPr="00D96063" w:rsidRDefault="00C15F2E" w:rsidP="002A3F9E">
            <w:pPr>
              <w:jc w:val="left"/>
              <w:rPr>
                <w:rFonts w:cs="Arial"/>
                <w:sz w:val="14"/>
                <w:szCs w:val="14"/>
              </w:rPr>
            </w:pPr>
            <w:r w:rsidRPr="00D96063">
              <w:rPr>
                <w:rFonts w:cs="Arial"/>
                <w:sz w:val="14"/>
                <w:szCs w:val="14"/>
              </w:rPr>
              <w:t>WT/REG382/N/1</w:t>
            </w:r>
          </w:p>
        </w:tc>
        <w:tc>
          <w:tcPr>
            <w:tcW w:w="0" w:type="auto"/>
            <w:hideMark/>
          </w:tcPr>
          <w:p w14:paraId="06F54CC4" w14:textId="77777777" w:rsidR="00C15F2E" w:rsidRPr="00D96063" w:rsidRDefault="00C15F2E" w:rsidP="002A3F9E">
            <w:pPr>
              <w:jc w:val="left"/>
              <w:rPr>
                <w:rFonts w:cs="Arial"/>
                <w:sz w:val="14"/>
                <w:szCs w:val="14"/>
              </w:rPr>
            </w:pPr>
            <w:r w:rsidRPr="00D96063">
              <w:rPr>
                <w:rFonts w:cs="Arial"/>
                <w:sz w:val="14"/>
                <w:szCs w:val="14"/>
              </w:rPr>
              <w:t>Regional trade agreement – European Union and Ghana</w:t>
            </w:r>
          </w:p>
        </w:tc>
        <w:tc>
          <w:tcPr>
            <w:tcW w:w="0" w:type="auto"/>
            <w:hideMark/>
          </w:tcPr>
          <w:p w14:paraId="0B8EC084" w14:textId="77777777" w:rsidR="00C15F2E" w:rsidRPr="00D96063" w:rsidRDefault="00C15F2E" w:rsidP="002A3F9E">
            <w:pPr>
              <w:rPr>
                <w:rFonts w:cs="Arial"/>
                <w:sz w:val="14"/>
                <w:szCs w:val="14"/>
              </w:rPr>
            </w:pPr>
            <w:r w:rsidRPr="00D96063">
              <w:rPr>
                <w:rFonts w:cs="Arial"/>
                <w:sz w:val="14"/>
                <w:szCs w:val="14"/>
              </w:rPr>
              <w:t>4 April 2017</w:t>
            </w:r>
          </w:p>
        </w:tc>
      </w:tr>
      <w:tr w:rsidR="00C15F2E" w:rsidRPr="00D96063" w14:paraId="7E5AF195"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7F1A9B77" w14:textId="77777777" w:rsidR="00C15F2E" w:rsidRPr="00D96063" w:rsidRDefault="00C15F2E" w:rsidP="002A3F9E">
            <w:pPr>
              <w:jc w:val="left"/>
              <w:rPr>
                <w:rFonts w:cs="Arial"/>
                <w:sz w:val="14"/>
                <w:szCs w:val="14"/>
              </w:rPr>
            </w:pPr>
            <w:r w:rsidRPr="00D96063">
              <w:rPr>
                <w:rFonts w:cs="Arial"/>
                <w:sz w:val="14"/>
                <w:szCs w:val="14"/>
              </w:rPr>
              <w:t>WT/REG399/N/1</w:t>
            </w:r>
          </w:p>
        </w:tc>
        <w:tc>
          <w:tcPr>
            <w:tcW w:w="0" w:type="auto"/>
            <w:hideMark/>
          </w:tcPr>
          <w:p w14:paraId="3ACB2555" w14:textId="77777777" w:rsidR="00C15F2E" w:rsidRPr="00D96063" w:rsidRDefault="00C15F2E" w:rsidP="002A3F9E">
            <w:pPr>
              <w:jc w:val="left"/>
              <w:rPr>
                <w:rFonts w:cs="Arial"/>
                <w:sz w:val="14"/>
                <w:szCs w:val="14"/>
              </w:rPr>
            </w:pPr>
            <w:r w:rsidRPr="00D96063">
              <w:rPr>
                <w:rFonts w:cs="Arial"/>
                <w:sz w:val="14"/>
                <w:szCs w:val="14"/>
              </w:rPr>
              <w:t>Regional Trade Agreement – Benin, Burkina Faso, Cabo Verde, Côte d'Ivoire, The Gambia, Ghana, Guinea, Guinea-Bissau, Liberia, Mali, Niger, Nigeria, Senegal, Sierra Leone and Togo</w:t>
            </w:r>
          </w:p>
        </w:tc>
        <w:tc>
          <w:tcPr>
            <w:tcW w:w="0" w:type="auto"/>
            <w:hideMark/>
          </w:tcPr>
          <w:p w14:paraId="1E640685" w14:textId="77777777" w:rsidR="00C15F2E" w:rsidRPr="00D96063" w:rsidRDefault="00C15F2E" w:rsidP="002A3F9E">
            <w:pPr>
              <w:rPr>
                <w:rFonts w:cs="Arial"/>
                <w:sz w:val="14"/>
                <w:szCs w:val="14"/>
              </w:rPr>
            </w:pPr>
            <w:r w:rsidRPr="00D96063">
              <w:rPr>
                <w:rFonts w:cs="Arial"/>
                <w:sz w:val="14"/>
                <w:szCs w:val="14"/>
              </w:rPr>
              <w:t>6 May 2019</w:t>
            </w:r>
          </w:p>
        </w:tc>
      </w:tr>
      <w:tr w:rsidR="00C15F2E" w:rsidRPr="00D96063" w14:paraId="5C0C1F06" w14:textId="77777777" w:rsidTr="002A3F9E">
        <w:tc>
          <w:tcPr>
            <w:tcW w:w="0" w:type="auto"/>
            <w:gridSpan w:val="3"/>
            <w:hideMark/>
          </w:tcPr>
          <w:p w14:paraId="01F2D619" w14:textId="77777777" w:rsidR="00C15F2E" w:rsidRPr="00D96063" w:rsidRDefault="00C15F2E" w:rsidP="002A3F9E">
            <w:pPr>
              <w:jc w:val="left"/>
              <w:rPr>
                <w:rFonts w:cs="Calibri"/>
                <w:b/>
                <w:bCs/>
                <w:sz w:val="14"/>
                <w:szCs w:val="14"/>
              </w:rPr>
            </w:pPr>
            <w:r w:rsidRPr="00D96063">
              <w:rPr>
                <w:rFonts w:cs="Calibri"/>
                <w:b/>
                <w:bCs/>
                <w:sz w:val="14"/>
                <w:szCs w:val="14"/>
              </w:rPr>
              <w:t>Market Access</w:t>
            </w:r>
          </w:p>
        </w:tc>
      </w:tr>
      <w:tr w:rsidR="00C15F2E" w:rsidRPr="00D96063" w14:paraId="1E9D9C89"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580F0DE2" w14:textId="77777777" w:rsidR="00C15F2E" w:rsidRPr="00D96063" w:rsidRDefault="00C15F2E" w:rsidP="002A3F9E">
            <w:pPr>
              <w:jc w:val="left"/>
              <w:rPr>
                <w:rFonts w:cs="Arial"/>
                <w:sz w:val="14"/>
                <w:szCs w:val="14"/>
              </w:rPr>
            </w:pPr>
            <w:r w:rsidRPr="00D96063">
              <w:rPr>
                <w:rFonts w:cs="Arial"/>
                <w:sz w:val="14"/>
                <w:szCs w:val="14"/>
              </w:rPr>
              <w:t>G/MA/401</w:t>
            </w:r>
          </w:p>
        </w:tc>
        <w:tc>
          <w:tcPr>
            <w:tcW w:w="0" w:type="auto"/>
            <w:hideMark/>
          </w:tcPr>
          <w:p w14:paraId="54948CBD" w14:textId="2667B0F6" w:rsidR="00C15F2E" w:rsidRPr="00D96063" w:rsidRDefault="00C15F2E" w:rsidP="002A3F9E">
            <w:pPr>
              <w:jc w:val="left"/>
              <w:rPr>
                <w:rFonts w:cs="Arial"/>
                <w:sz w:val="14"/>
                <w:szCs w:val="14"/>
              </w:rPr>
            </w:pPr>
            <w:r w:rsidRPr="00D96063">
              <w:rPr>
                <w:rFonts w:cs="Arial"/>
                <w:sz w:val="14"/>
                <w:szCs w:val="14"/>
              </w:rPr>
              <w:t>Schedule CXI – Ghana – Invocation of paragraph 5 of Article</w:t>
            </w:r>
            <w:r w:rsidR="00DF07C6">
              <w:rPr>
                <w:rFonts w:cs="Arial"/>
                <w:sz w:val="14"/>
                <w:szCs w:val="14"/>
              </w:rPr>
              <w:t> </w:t>
            </w:r>
            <w:r w:rsidRPr="00D96063">
              <w:rPr>
                <w:rFonts w:cs="Arial"/>
                <w:sz w:val="14"/>
                <w:szCs w:val="14"/>
              </w:rPr>
              <w:t xml:space="preserve">XXVIII </w:t>
            </w:r>
          </w:p>
        </w:tc>
        <w:tc>
          <w:tcPr>
            <w:tcW w:w="0" w:type="auto"/>
            <w:hideMark/>
          </w:tcPr>
          <w:p w14:paraId="61E80F3E" w14:textId="77777777" w:rsidR="00C15F2E" w:rsidRPr="00D96063" w:rsidRDefault="00C15F2E" w:rsidP="002A3F9E">
            <w:pPr>
              <w:rPr>
                <w:rFonts w:cs="Arial"/>
                <w:sz w:val="14"/>
                <w:szCs w:val="14"/>
              </w:rPr>
            </w:pPr>
            <w:r w:rsidRPr="00D96063">
              <w:rPr>
                <w:rFonts w:cs="Arial"/>
                <w:sz w:val="14"/>
                <w:szCs w:val="14"/>
              </w:rPr>
              <w:t>4 January 2021</w:t>
            </w:r>
          </w:p>
        </w:tc>
      </w:tr>
      <w:tr w:rsidR="00C15F2E" w:rsidRPr="00D96063" w14:paraId="225D5916" w14:textId="77777777" w:rsidTr="002A3F9E">
        <w:tc>
          <w:tcPr>
            <w:tcW w:w="0" w:type="auto"/>
            <w:hideMark/>
          </w:tcPr>
          <w:p w14:paraId="1F8AF389" w14:textId="77777777" w:rsidR="00C15F2E" w:rsidRPr="00D96063" w:rsidRDefault="00C15F2E" w:rsidP="002A3F9E">
            <w:pPr>
              <w:jc w:val="left"/>
              <w:rPr>
                <w:rFonts w:cs="Arial"/>
                <w:sz w:val="14"/>
                <w:szCs w:val="14"/>
              </w:rPr>
            </w:pPr>
            <w:r w:rsidRPr="00D96063">
              <w:rPr>
                <w:rFonts w:cs="Arial"/>
                <w:sz w:val="14"/>
                <w:szCs w:val="14"/>
              </w:rPr>
              <w:t>G/MA/352</w:t>
            </w:r>
          </w:p>
        </w:tc>
        <w:tc>
          <w:tcPr>
            <w:tcW w:w="0" w:type="auto"/>
            <w:hideMark/>
          </w:tcPr>
          <w:p w14:paraId="30AD985A" w14:textId="72FC92D3" w:rsidR="00C15F2E" w:rsidRPr="00D96063" w:rsidRDefault="00C15F2E" w:rsidP="002A3F9E">
            <w:pPr>
              <w:jc w:val="left"/>
              <w:rPr>
                <w:rFonts w:cs="Arial"/>
                <w:sz w:val="14"/>
                <w:szCs w:val="14"/>
              </w:rPr>
            </w:pPr>
            <w:r w:rsidRPr="00D96063">
              <w:rPr>
                <w:rFonts w:cs="Arial"/>
                <w:sz w:val="14"/>
                <w:szCs w:val="14"/>
              </w:rPr>
              <w:t>Schedule CXI – Ghana – Invocation of paragraph 5 of Article</w:t>
            </w:r>
            <w:r w:rsidR="00DF07C6">
              <w:rPr>
                <w:rFonts w:cs="Arial"/>
                <w:sz w:val="14"/>
                <w:szCs w:val="14"/>
              </w:rPr>
              <w:t> </w:t>
            </w:r>
            <w:r w:rsidRPr="00D96063">
              <w:rPr>
                <w:rFonts w:cs="Arial"/>
                <w:sz w:val="14"/>
                <w:szCs w:val="14"/>
              </w:rPr>
              <w:t xml:space="preserve">XXVIII </w:t>
            </w:r>
          </w:p>
        </w:tc>
        <w:tc>
          <w:tcPr>
            <w:tcW w:w="0" w:type="auto"/>
            <w:hideMark/>
          </w:tcPr>
          <w:p w14:paraId="0EBA7669" w14:textId="77777777" w:rsidR="00C15F2E" w:rsidRPr="00D96063" w:rsidRDefault="00C15F2E" w:rsidP="002A3F9E">
            <w:pPr>
              <w:rPr>
                <w:rFonts w:cs="Arial"/>
                <w:sz w:val="14"/>
                <w:szCs w:val="14"/>
              </w:rPr>
            </w:pPr>
            <w:r w:rsidRPr="00D96063">
              <w:rPr>
                <w:rFonts w:cs="Arial"/>
                <w:sz w:val="14"/>
                <w:szCs w:val="14"/>
              </w:rPr>
              <w:t>8 December 2017</w:t>
            </w:r>
          </w:p>
        </w:tc>
      </w:tr>
      <w:tr w:rsidR="00C15F2E" w:rsidRPr="00D96063" w14:paraId="1A421DB5"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722F6AA5" w14:textId="77777777" w:rsidR="00C15F2E" w:rsidRPr="00D96063" w:rsidRDefault="00C15F2E" w:rsidP="002A3F9E">
            <w:pPr>
              <w:jc w:val="left"/>
              <w:rPr>
                <w:rFonts w:cs="Arial"/>
                <w:sz w:val="14"/>
                <w:szCs w:val="14"/>
              </w:rPr>
            </w:pPr>
            <w:r w:rsidRPr="00D96063">
              <w:rPr>
                <w:rFonts w:cs="Arial"/>
                <w:sz w:val="14"/>
                <w:szCs w:val="14"/>
              </w:rPr>
              <w:t>G/MA/325</w:t>
            </w:r>
          </w:p>
        </w:tc>
        <w:tc>
          <w:tcPr>
            <w:tcW w:w="0" w:type="auto"/>
            <w:hideMark/>
          </w:tcPr>
          <w:p w14:paraId="201B2AFD" w14:textId="5E99911A" w:rsidR="00C15F2E" w:rsidRPr="00D96063" w:rsidRDefault="00C15F2E" w:rsidP="002A3F9E">
            <w:pPr>
              <w:jc w:val="left"/>
              <w:rPr>
                <w:rFonts w:cs="Arial"/>
                <w:sz w:val="14"/>
                <w:szCs w:val="14"/>
              </w:rPr>
            </w:pPr>
            <w:r w:rsidRPr="00D96063">
              <w:rPr>
                <w:rFonts w:cs="Arial"/>
                <w:sz w:val="14"/>
                <w:szCs w:val="14"/>
              </w:rPr>
              <w:t>Schedule CXI – Ghana – Invocation of paragraph 5 of Article</w:t>
            </w:r>
            <w:r w:rsidR="00DF07C6">
              <w:rPr>
                <w:rFonts w:cs="Arial"/>
                <w:sz w:val="14"/>
                <w:szCs w:val="14"/>
              </w:rPr>
              <w:t> </w:t>
            </w:r>
            <w:r w:rsidRPr="00D96063">
              <w:rPr>
                <w:rFonts w:cs="Arial"/>
                <w:sz w:val="14"/>
                <w:szCs w:val="14"/>
              </w:rPr>
              <w:t xml:space="preserve">XXVIII </w:t>
            </w:r>
          </w:p>
        </w:tc>
        <w:tc>
          <w:tcPr>
            <w:tcW w:w="0" w:type="auto"/>
            <w:hideMark/>
          </w:tcPr>
          <w:p w14:paraId="4D4CE6E1" w14:textId="77777777" w:rsidR="00C15F2E" w:rsidRPr="00D96063" w:rsidRDefault="00C15F2E" w:rsidP="002A3F9E">
            <w:pPr>
              <w:rPr>
                <w:rFonts w:cs="Arial"/>
                <w:sz w:val="14"/>
                <w:szCs w:val="14"/>
              </w:rPr>
            </w:pPr>
            <w:r w:rsidRPr="00D96063">
              <w:rPr>
                <w:rFonts w:cs="Arial"/>
                <w:sz w:val="14"/>
                <w:szCs w:val="14"/>
              </w:rPr>
              <w:t>7 January 2015</w:t>
            </w:r>
          </w:p>
        </w:tc>
      </w:tr>
      <w:tr w:rsidR="00C15F2E" w:rsidRPr="00D96063" w14:paraId="739B44CF" w14:textId="77777777" w:rsidTr="002A3F9E">
        <w:tc>
          <w:tcPr>
            <w:tcW w:w="0" w:type="auto"/>
            <w:gridSpan w:val="3"/>
            <w:hideMark/>
          </w:tcPr>
          <w:p w14:paraId="757A65AB" w14:textId="77777777" w:rsidR="00C15F2E" w:rsidRPr="00D96063" w:rsidRDefault="00C15F2E" w:rsidP="002A3F9E">
            <w:pPr>
              <w:jc w:val="left"/>
              <w:rPr>
                <w:rFonts w:cs="Calibri"/>
                <w:b/>
                <w:bCs/>
                <w:sz w:val="14"/>
                <w:szCs w:val="14"/>
              </w:rPr>
            </w:pPr>
            <w:r w:rsidRPr="00D96063">
              <w:rPr>
                <w:rFonts w:cs="Calibri"/>
                <w:b/>
                <w:bCs/>
                <w:sz w:val="14"/>
                <w:szCs w:val="14"/>
              </w:rPr>
              <w:t>Agreement on Implementation of Article VI of the GATT 1994 (Anti-dumping)</w:t>
            </w:r>
          </w:p>
        </w:tc>
      </w:tr>
      <w:tr w:rsidR="00C15F2E" w:rsidRPr="00D96063" w14:paraId="371403BB"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26ABA46C" w14:textId="77777777" w:rsidR="00C15F2E" w:rsidRPr="00D96063" w:rsidRDefault="00C15F2E" w:rsidP="002A3F9E">
            <w:pPr>
              <w:jc w:val="left"/>
              <w:rPr>
                <w:rFonts w:cs="Arial"/>
                <w:sz w:val="14"/>
                <w:szCs w:val="14"/>
              </w:rPr>
            </w:pPr>
            <w:r w:rsidRPr="00D96063">
              <w:rPr>
                <w:rFonts w:cs="Arial"/>
                <w:sz w:val="14"/>
                <w:szCs w:val="14"/>
              </w:rPr>
              <w:t>G/ADP/N/357/Add.1</w:t>
            </w:r>
          </w:p>
        </w:tc>
        <w:tc>
          <w:tcPr>
            <w:tcW w:w="0" w:type="auto"/>
            <w:hideMark/>
          </w:tcPr>
          <w:p w14:paraId="21CF9A61" w14:textId="77777777" w:rsidR="00C15F2E" w:rsidRPr="00D96063" w:rsidRDefault="00C15F2E" w:rsidP="002A3F9E">
            <w:pPr>
              <w:jc w:val="left"/>
              <w:rPr>
                <w:rFonts w:cs="Arial"/>
                <w:sz w:val="14"/>
                <w:szCs w:val="14"/>
              </w:rPr>
            </w:pPr>
            <w:r w:rsidRPr="00D96063">
              <w:rPr>
                <w:rFonts w:cs="Arial"/>
                <w:sz w:val="14"/>
                <w:szCs w:val="14"/>
              </w:rPr>
              <w:t>Semi-annual reports – 1 January – 30 June 2021 – Addendum</w:t>
            </w:r>
          </w:p>
        </w:tc>
        <w:tc>
          <w:tcPr>
            <w:tcW w:w="0" w:type="auto"/>
            <w:hideMark/>
          </w:tcPr>
          <w:p w14:paraId="3462383B" w14:textId="77777777" w:rsidR="00C15F2E" w:rsidRPr="00D96063" w:rsidRDefault="00C15F2E" w:rsidP="002A3F9E">
            <w:pPr>
              <w:rPr>
                <w:rFonts w:cs="Arial"/>
                <w:sz w:val="14"/>
                <w:szCs w:val="14"/>
              </w:rPr>
            </w:pPr>
            <w:r w:rsidRPr="00D96063">
              <w:rPr>
                <w:rFonts w:cs="Arial"/>
                <w:sz w:val="14"/>
                <w:szCs w:val="14"/>
              </w:rPr>
              <w:t>14 October 2021</w:t>
            </w:r>
          </w:p>
        </w:tc>
      </w:tr>
      <w:tr w:rsidR="00C15F2E" w:rsidRPr="00D96063" w14:paraId="18ACC98B" w14:textId="77777777" w:rsidTr="002A3F9E">
        <w:tc>
          <w:tcPr>
            <w:tcW w:w="0" w:type="auto"/>
            <w:hideMark/>
          </w:tcPr>
          <w:p w14:paraId="15DFDDAD" w14:textId="77777777" w:rsidR="00C15F2E" w:rsidRPr="00D96063" w:rsidRDefault="00C15F2E" w:rsidP="002A3F9E">
            <w:pPr>
              <w:jc w:val="left"/>
              <w:rPr>
                <w:rFonts w:cs="Arial"/>
                <w:sz w:val="14"/>
                <w:szCs w:val="14"/>
              </w:rPr>
            </w:pPr>
            <w:r w:rsidRPr="00D96063">
              <w:rPr>
                <w:rFonts w:cs="Arial"/>
                <w:sz w:val="14"/>
                <w:szCs w:val="14"/>
              </w:rPr>
              <w:t>G/ADP/N/357</w:t>
            </w:r>
          </w:p>
        </w:tc>
        <w:tc>
          <w:tcPr>
            <w:tcW w:w="0" w:type="auto"/>
            <w:hideMark/>
          </w:tcPr>
          <w:p w14:paraId="4847E6ED" w14:textId="77777777" w:rsidR="00C15F2E" w:rsidRPr="00D96063" w:rsidRDefault="00C15F2E" w:rsidP="002A3F9E">
            <w:pPr>
              <w:jc w:val="left"/>
              <w:rPr>
                <w:rFonts w:cs="Arial"/>
                <w:sz w:val="14"/>
                <w:szCs w:val="14"/>
              </w:rPr>
            </w:pPr>
            <w:r w:rsidRPr="00D96063">
              <w:rPr>
                <w:rFonts w:cs="Arial"/>
                <w:sz w:val="14"/>
                <w:szCs w:val="14"/>
              </w:rPr>
              <w:t xml:space="preserve">Semi-annual reports – 1 January – 30 June 2021 </w:t>
            </w:r>
          </w:p>
        </w:tc>
        <w:tc>
          <w:tcPr>
            <w:tcW w:w="0" w:type="auto"/>
            <w:hideMark/>
          </w:tcPr>
          <w:p w14:paraId="0972EAF7" w14:textId="77777777" w:rsidR="00C15F2E" w:rsidRPr="00D96063" w:rsidRDefault="00C15F2E" w:rsidP="002A3F9E">
            <w:pPr>
              <w:rPr>
                <w:rFonts w:cs="Arial"/>
                <w:sz w:val="14"/>
                <w:szCs w:val="14"/>
              </w:rPr>
            </w:pPr>
            <w:r w:rsidRPr="00D96063">
              <w:rPr>
                <w:rFonts w:cs="Arial"/>
                <w:sz w:val="14"/>
                <w:szCs w:val="14"/>
              </w:rPr>
              <w:t>15 June 2021</w:t>
            </w:r>
          </w:p>
        </w:tc>
      </w:tr>
      <w:tr w:rsidR="00C15F2E" w:rsidRPr="00D96063" w14:paraId="21F33C69"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37BC9BBC" w14:textId="77777777" w:rsidR="00C15F2E" w:rsidRPr="00D96063" w:rsidRDefault="00C15F2E" w:rsidP="002A3F9E">
            <w:pPr>
              <w:jc w:val="left"/>
              <w:rPr>
                <w:rFonts w:cs="Arial"/>
                <w:sz w:val="14"/>
                <w:szCs w:val="14"/>
              </w:rPr>
            </w:pPr>
            <w:r w:rsidRPr="00D96063">
              <w:rPr>
                <w:rFonts w:cs="Arial"/>
                <w:sz w:val="14"/>
                <w:szCs w:val="14"/>
              </w:rPr>
              <w:t>G/ADP/N/350/GHA</w:t>
            </w:r>
          </w:p>
        </w:tc>
        <w:tc>
          <w:tcPr>
            <w:tcW w:w="0" w:type="auto"/>
            <w:hideMark/>
          </w:tcPr>
          <w:p w14:paraId="59AF44A7" w14:textId="77777777" w:rsidR="00C15F2E" w:rsidRPr="00D96063" w:rsidRDefault="00C15F2E" w:rsidP="002A3F9E">
            <w:pPr>
              <w:jc w:val="left"/>
              <w:rPr>
                <w:rFonts w:cs="Arial"/>
                <w:sz w:val="14"/>
                <w:szCs w:val="14"/>
              </w:rPr>
            </w:pPr>
            <w:r w:rsidRPr="00D96063">
              <w:rPr>
                <w:rFonts w:cs="Arial"/>
                <w:sz w:val="14"/>
                <w:szCs w:val="14"/>
              </w:rPr>
              <w:t>Semi-annual report – 1 July – 31 December 2020 – Ghana</w:t>
            </w:r>
          </w:p>
        </w:tc>
        <w:tc>
          <w:tcPr>
            <w:tcW w:w="0" w:type="auto"/>
            <w:hideMark/>
          </w:tcPr>
          <w:p w14:paraId="33E98DD7" w14:textId="77777777" w:rsidR="00C15F2E" w:rsidRPr="00D96063" w:rsidRDefault="00C15F2E" w:rsidP="002A3F9E">
            <w:pPr>
              <w:rPr>
                <w:rFonts w:cs="Arial"/>
                <w:sz w:val="14"/>
                <w:szCs w:val="14"/>
              </w:rPr>
            </w:pPr>
            <w:r w:rsidRPr="00D96063">
              <w:rPr>
                <w:rFonts w:cs="Arial"/>
                <w:sz w:val="14"/>
                <w:szCs w:val="14"/>
              </w:rPr>
              <w:t>5 October 2021</w:t>
            </w:r>
          </w:p>
        </w:tc>
      </w:tr>
      <w:tr w:rsidR="00C15F2E" w:rsidRPr="00D96063" w14:paraId="3C78A6AF" w14:textId="77777777" w:rsidTr="002A3F9E">
        <w:tc>
          <w:tcPr>
            <w:tcW w:w="0" w:type="auto"/>
            <w:hideMark/>
          </w:tcPr>
          <w:p w14:paraId="0B6150AE" w14:textId="77777777" w:rsidR="00C15F2E" w:rsidRPr="00D96063" w:rsidRDefault="00C15F2E" w:rsidP="002A3F9E">
            <w:pPr>
              <w:jc w:val="left"/>
              <w:rPr>
                <w:rFonts w:cs="Arial"/>
                <w:sz w:val="14"/>
                <w:szCs w:val="14"/>
              </w:rPr>
            </w:pPr>
            <w:r w:rsidRPr="00D96063">
              <w:rPr>
                <w:rFonts w:cs="Arial"/>
                <w:sz w:val="14"/>
                <w:szCs w:val="14"/>
              </w:rPr>
              <w:t>G/ADP/N/335/GHA</w:t>
            </w:r>
          </w:p>
        </w:tc>
        <w:tc>
          <w:tcPr>
            <w:tcW w:w="0" w:type="auto"/>
            <w:hideMark/>
          </w:tcPr>
          <w:p w14:paraId="2F60D018" w14:textId="77777777" w:rsidR="00C15F2E" w:rsidRPr="00D96063" w:rsidRDefault="00C15F2E" w:rsidP="002A3F9E">
            <w:pPr>
              <w:jc w:val="left"/>
              <w:rPr>
                <w:rFonts w:cs="Arial"/>
                <w:sz w:val="14"/>
                <w:szCs w:val="14"/>
              </w:rPr>
            </w:pPr>
            <w:r w:rsidRPr="00D96063">
              <w:rPr>
                <w:rFonts w:cs="Arial"/>
                <w:sz w:val="14"/>
                <w:szCs w:val="14"/>
              </w:rPr>
              <w:t>Semi-annual report – 1 July – 31 December 2019 – Ghana</w:t>
            </w:r>
          </w:p>
        </w:tc>
        <w:tc>
          <w:tcPr>
            <w:tcW w:w="0" w:type="auto"/>
            <w:hideMark/>
          </w:tcPr>
          <w:p w14:paraId="301BFAFE" w14:textId="77777777" w:rsidR="00C15F2E" w:rsidRPr="00D96063" w:rsidRDefault="00C15F2E" w:rsidP="002A3F9E">
            <w:pPr>
              <w:rPr>
                <w:rFonts w:cs="Arial"/>
                <w:sz w:val="14"/>
                <w:szCs w:val="14"/>
              </w:rPr>
            </w:pPr>
            <w:r w:rsidRPr="00D96063">
              <w:rPr>
                <w:rFonts w:cs="Arial"/>
                <w:sz w:val="14"/>
                <w:szCs w:val="14"/>
              </w:rPr>
              <w:t>5 October 2021</w:t>
            </w:r>
          </w:p>
        </w:tc>
      </w:tr>
      <w:tr w:rsidR="00C15F2E" w:rsidRPr="00D96063" w14:paraId="7507D1B5"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7B9F5B31" w14:textId="77777777" w:rsidR="00C15F2E" w:rsidRPr="00D96063" w:rsidRDefault="00C15F2E" w:rsidP="002A3F9E">
            <w:pPr>
              <w:jc w:val="left"/>
              <w:rPr>
                <w:rFonts w:cs="Arial"/>
                <w:sz w:val="14"/>
                <w:szCs w:val="14"/>
              </w:rPr>
            </w:pPr>
            <w:r w:rsidRPr="00D96063">
              <w:rPr>
                <w:rFonts w:cs="Arial"/>
                <w:sz w:val="14"/>
                <w:szCs w:val="14"/>
              </w:rPr>
              <w:t>G/ADP/N/357/GHA</w:t>
            </w:r>
          </w:p>
        </w:tc>
        <w:tc>
          <w:tcPr>
            <w:tcW w:w="0" w:type="auto"/>
            <w:hideMark/>
          </w:tcPr>
          <w:p w14:paraId="2B7A5BEA" w14:textId="77777777" w:rsidR="00C15F2E" w:rsidRPr="00D96063" w:rsidRDefault="00C15F2E" w:rsidP="002A3F9E">
            <w:pPr>
              <w:jc w:val="left"/>
              <w:rPr>
                <w:rFonts w:cs="Arial"/>
                <w:sz w:val="14"/>
                <w:szCs w:val="14"/>
              </w:rPr>
            </w:pPr>
            <w:r w:rsidRPr="00D96063">
              <w:rPr>
                <w:rFonts w:cs="Arial"/>
                <w:sz w:val="14"/>
                <w:szCs w:val="14"/>
              </w:rPr>
              <w:t>Semi-annual report – 1 January – 30 June 2021 – Ghana</w:t>
            </w:r>
          </w:p>
        </w:tc>
        <w:tc>
          <w:tcPr>
            <w:tcW w:w="0" w:type="auto"/>
            <w:hideMark/>
          </w:tcPr>
          <w:p w14:paraId="1024F641" w14:textId="77777777" w:rsidR="00C15F2E" w:rsidRPr="00D96063" w:rsidRDefault="00C15F2E" w:rsidP="002A3F9E">
            <w:pPr>
              <w:rPr>
                <w:rFonts w:cs="Arial"/>
                <w:sz w:val="14"/>
                <w:szCs w:val="14"/>
              </w:rPr>
            </w:pPr>
            <w:r w:rsidRPr="00D96063">
              <w:rPr>
                <w:rFonts w:cs="Arial"/>
                <w:sz w:val="14"/>
                <w:szCs w:val="14"/>
              </w:rPr>
              <w:t>5 October 2021</w:t>
            </w:r>
          </w:p>
        </w:tc>
      </w:tr>
      <w:tr w:rsidR="00C15F2E" w:rsidRPr="00D96063" w14:paraId="3CAA7D48" w14:textId="77777777" w:rsidTr="002A3F9E">
        <w:tc>
          <w:tcPr>
            <w:tcW w:w="0" w:type="auto"/>
            <w:hideMark/>
          </w:tcPr>
          <w:p w14:paraId="48051280" w14:textId="77777777" w:rsidR="00C15F2E" w:rsidRPr="00D96063" w:rsidRDefault="00C15F2E" w:rsidP="002A3F9E">
            <w:pPr>
              <w:jc w:val="left"/>
              <w:rPr>
                <w:rFonts w:cs="Arial"/>
                <w:sz w:val="14"/>
                <w:szCs w:val="14"/>
              </w:rPr>
            </w:pPr>
            <w:r w:rsidRPr="00D96063">
              <w:rPr>
                <w:rFonts w:cs="Arial"/>
                <w:sz w:val="14"/>
                <w:szCs w:val="14"/>
              </w:rPr>
              <w:t>G/ADP/N/342/GHA</w:t>
            </w:r>
          </w:p>
        </w:tc>
        <w:tc>
          <w:tcPr>
            <w:tcW w:w="0" w:type="auto"/>
            <w:hideMark/>
          </w:tcPr>
          <w:p w14:paraId="05A39B2F" w14:textId="77777777" w:rsidR="00C15F2E" w:rsidRPr="00D96063" w:rsidRDefault="00C15F2E" w:rsidP="002A3F9E">
            <w:pPr>
              <w:jc w:val="left"/>
              <w:rPr>
                <w:rFonts w:cs="Arial"/>
                <w:sz w:val="14"/>
                <w:szCs w:val="14"/>
              </w:rPr>
            </w:pPr>
            <w:r w:rsidRPr="00D96063">
              <w:rPr>
                <w:rFonts w:cs="Arial"/>
                <w:sz w:val="14"/>
                <w:szCs w:val="14"/>
              </w:rPr>
              <w:t>Semi-annual report – 1 January – 30 June 2020 – Ghana</w:t>
            </w:r>
          </w:p>
        </w:tc>
        <w:tc>
          <w:tcPr>
            <w:tcW w:w="0" w:type="auto"/>
            <w:hideMark/>
          </w:tcPr>
          <w:p w14:paraId="70851604" w14:textId="77777777" w:rsidR="00C15F2E" w:rsidRPr="00D96063" w:rsidRDefault="00C15F2E" w:rsidP="002A3F9E">
            <w:pPr>
              <w:rPr>
                <w:rFonts w:cs="Arial"/>
                <w:sz w:val="14"/>
                <w:szCs w:val="14"/>
              </w:rPr>
            </w:pPr>
            <w:r w:rsidRPr="00D96063">
              <w:rPr>
                <w:rFonts w:cs="Arial"/>
                <w:sz w:val="14"/>
                <w:szCs w:val="14"/>
              </w:rPr>
              <w:t>5 October 2021</w:t>
            </w:r>
          </w:p>
        </w:tc>
      </w:tr>
      <w:tr w:rsidR="00C15F2E" w:rsidRPr="00D96063" w14:paraId="39C8A4EA"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7395074C" w14:textId="77777777" w:rsidR="00C15F2E" w:rsidRPr="00D96063" w:rsidRDefault="00C15F2E" w:rsidP="002A3F9E">
            <w:pPr>
              <w:jc w:val="left"/>
              <w:rPr>
                <w:rFonts w:cs="Arial"/>
                <w:sz w:val="14"/>
                <w:szCs w:val="14"/>
              </w:rPr>
            </w:pPr>
            <w:r w:rsidRPr="00D96063">
              <w:rPr>
                <w:rFonts w:cs="Arial"/>
                <w:sz w:val="14"/>
                <w:szCs w:val="14"/>
              </w:rPr>
              <w:t>G/ADP/N/349</w:t>
            </w:r>
          </w:p>
        </w:tc>
        <w:tc>
          <w:tcPr>
            <w:tcW w:w="0" w:type="auto"/>
            <w:hideMark/>
          </w:tcPr>
          <w:p w14:paraId="3745EE23" w14:textId="44607460" w:rsidR="00C15F2E" w:rsidRPr="00D96063" w:rsidRDefault="00C15F2E" w:rsidP="002A3F9E">
            <w:pPr>
              <w:jc w:val="left"/>
              <w:rPr>
                <w:rFonts w:cs="Arial"/>
                <w:sz w:val="14"/>
                <w:szCs w:val="14"/>
              </w:rPr>
            </w:pPr>
            <w:r w:rsidRPr="00D96063">
              <w:rPr>
                <w:rFonts w:cs="Arial"/>
                <w:sz w:val="14"/>
                <w:szCs w:val="14"/>
              </w:rPr>
              <w:t>Reports under Article</w:t>
            </w:r>
            <w:r w:rsidR="00DF07C6">
              <w:rPr>
                <w:rFonts w:cs="Arial"/>
                <w:sz w:val="14"/>
                <w:szCs w:val="14"/>
              </w:rPr>
              <w:t> </w:t>
            </w:r>
            <w:r w:rsidRPr="00D96063">
              <w:rPr>
                <w:rFonts w:cs="Arial"/>
                <w:sz w:val="14"/>
                <w:szCs w:val="14"/>
              </w:rPr>
              <w:t>16.4 of the Agreement – November 2020 – Note by the Secretariat</w:t>
            </w:r>
          </w:p>
        </w:tc>
        <w:tc>
          <w:tcPr>
            <w:tcW w:w="0" w:type="auto"/>
            <w:hideMark/>
          </w:tcPr>
          <w:p w14:paraId="10CD948D" w14:textId="77777777" w:rsidR="00C15F2E" w:rsidRPr="00D96063" w:rsidRDefault="00C15F2E" w:rsidP="002A3F9E">
            <w:pPr>
              <w:rPr>
                <w:rFonts w:cs="Arial"/>
                <w:sz w:val="14"/>
                <w:szCs w:val="14"/>
              </w:rPr>
            </w:pPr>
            <w:r w:rsidRPr="00D96063">
              <w:rPr>
                <w:rFonts w:cs="Arial"/>
                <w:sz w:val="14"/>
                <w:szCs w:val="14"/>
              </w:rPr>
              <w:t>17 December 2020</w:t>
            </w:r>
          </w:p>
        </w:tc>
      </w:tr>
      <w:tr w:rsidR="00C15F2E" w:rsidRPr="00D96063" w14:paraId="72D21F0E" w14:textId="77777777" w:rsidTr="002A3F9E">
        <w:tc>
          <w:tcPr>
            <w:tcW w:w="0" w:type="auto"/>
            <w:hideMark/>
          </w:tcPr>
          <w:p w14:paraId="616B679E" w14:textId="77777777" w:rsidR="00C15F2E" w:rsidRPr="00D96063" w:rsidRDefault="00C15F2E" w:rsidP="002A3F9E">
            <w:pPr>
              <w:jc w:val="left"/>
              <w:rPr>
                <w:rFonts w:cs="Arial"/>
                <w:sz w:val="14"/>
                <w:szCs w:val="14"/>
              </w:rPr>
            </w:pPr>
            <w:r w:rsidRPr="00D96063">
              <w:rPr>
                <w:rFonts w:cs="Arial"/>
                <w:sz w:val="14"/>
                <w:szCs w:val="14"/>
              </w:rPr>
              <w:t>G/ADP/N/193/GHA/Rev.1</w:t>
            </w:r>
          </w:p>
        </w:tc>
        <w:tc>
          <w:tcPr>
            <w:tcW w:w="0" w:type="auto"/>
            <w:hideMark/>
          </w:tcPr>
          <w:p w14:paraId="70730498" w14:textId="435D7039" w:rsidR="00C15F2E" w:rsidRPr="00D96063" w:rsidRDefault="00C15F2E" w:rsidP="002A3F9E">
            <w:pPr>
              <w:jc w:val="left"/>
              <w:rPr>
                <w:rFonts w:cs="Arial"/>
                <w:sz w:val="14"/>
                <w:szCs w:val="14"/>
              </w:rPr>
            </w:pPr>
            <w:r w:rsidRPr="00D96063">
              <w:rPr>
                <w:rFonts w:cs="Arial"/>
                <w:sz w:val="14"/>
                <w:szCs w:val="14"/>
              </w:rPr>
              <w:t>Notification under Article</w:t>
            </w:r>
            <w:r w:rsidR="00DF07C6">
              <w:rPr>
                <w:rFonts w:cs="Arial"/>
                <w:sz w:val="14"/>
                <w:szCs w:val="14"/>
              </w:rPr>
              <w:t> </w:t>
            </w:r>
            <w:r w:rsidRPr="00D96063">
              <w:rPr>
                <w:rFonts w:cs="Arial"/>
                <w:sz w:val="14"/>
                <w:szCs w:val="14"/>
              </w:rPr>
              <w:t>16.5 of the Agreement – Ghana – Revision</w:t>
            </w:r>
          </w:p>
        </w:tc>
        <w:tc>
          <w:tcPr>
            <w:tcW w:w="0" w:type="auto"/>
            <w:hideMark/>
          </w:tcPr>
          <w:p w14:paraId="07842027" w14:textId="77777777" w:rsidR="00C15F2E" w:rsidRPr="00D96063" w:rsidRDefault="00C15F2E" w:rsidP="002A3F9E">
            <w:pPr>
              <w:rPr>
                <w:rFonts w:cs="Arial"/>
                <w:sz w:val="14"/>
                <w:szCs w:val="14"/>
              </w:rPr>
            </w:pPr>
            <w:r w:rsidRPr="00D96063">
              <w:rPr>
                <w:rFonts w:cs="Arial"/>
                <w:sz w:val="14"/>
                <w:szCs w:val="14"/>
              </w:rPr>
              <w:t>16 December 2019</w:t>
            </w:r>
          </w:p>
        </w:tc>
      </w:tr>
      <w:tr w:rsidR="00C15F2E" w:rsidRPr="00D96063" w14:paraId="2F98E833"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01FE4058" w14:textId="77777777" w:rsidR="00C15F2E" w:rsidRPr="00D96063" w:rsidRDefault="00C15F2E" w:rsidP="002A3F9E">
            <w:pPr>
              <w:jc w:val="left"/>
              <w:rPr>
                <w:rFonts w:cs="Arial"/>
                <w:sz w:val="14"/>
                <w:szCs w:val="14"/>
              </w:rPr>
            </w:pPr>
            <w:r w:rsidRPr="00D96063">
              <w:rPr>
                <w:rFonts w:cs="Arial"/>
                <w:sz w:val="14"/>
                <w:szCs w:val="14"/>
              </w:rPr>
              <w:t>G/ADP/N/1/GHA/2; G/SCM/N/1/GHA/2; G/SG/N/1/GHA/2</w:t>
            </w:r>
          </w:p>
        </w:tc>
        <w:tc>
          <w:tcPr>
            <w:tcW w:w="0" w:type="auto"/>
            <w:hideMark/>
          </w:tcPr>
          <w:p w14:paraId="11F724F2" w14:textId="72A72361" w:rsidR="00C15F2E" w:rsidRPr="00D96063" w:rsidRDefault="00C15F2E" w:rsidP="002A3F9E">
            <w:pPr>
              <w:jc w:val="left"/>
              <w:rPr>
                <w:rFonts w:cs="Arial"/>
                <w:sz w:val="14"/>
                <w:szCs w:val="14"/>
              </w:rPr>
            </w:pPr>
            <w:r w:rsidRPr="00D96063">
              <w:rPr>
                <w:rFonts w:cs="Arial"/>
                <w:sz w:val="14"/>
                <w:szCs w:val="14"/>
              </w:rPr>
              <w:t xml:space="preserve">Notification of laws and regulations under </w:t>
            </w:r>
            <w:r w:rsidR="00D949B1">
              <w:rPr>
                <w:rFonts w:cs="Arial"/>
                <w:sz w:val="14"/>
                <w:szCs w:val="14"/>
              </w:rPr>
              <w:t>A</w:t>
            </w:r>
            <w:r w:rsidRPr="00D96063">
              <w:rPr>
                <w:rFonts w:cs="Arial"/>
                <w:sz w:val="14"/>
                <w:szCs w:val="14"/>
              </w:rPr>
              <w:t>rticles 18.5, 32.6</w:t>
            </w:r>
            <w:r w:rsidR="00D949B1">
              <w:rPr>
                <w:rFonts w:cs="Arial"/>
                <w:sz w:val="14"/>
                <w:szCs w:val="14"/>
              </w:rPr>
              <w:t>,</w:t>
            </w:r>
            <w:r w:rsidRPr="00D96063">
              <w:rPr>
                <w:rFonts w:cs="Arial"/>
                <w:sz w:val="14"/>
                <w:szCs w:val="14"/>
              </w:rPr>
              <w:t xml:space="preserve"> and 12.6 of the relevant agreements – Ghana</w:t>
            </w:r>
          </w:p>
        </w:tc>
        <w:tc>
          <w:tcPr>
            <w:tcW w:w="0" w:type="auto"/>
            <w:hideMark/>
          </w:tcPr>
          <w:p w14:paraId="51511B80" w14:textId="77777777" w:rsidR="00C15F2E" w:rsidRPr="00D96063" w:rsidRDefault="00C15F2E" w:rsidP="002A3F9E">
            <w:pPr>
              <w:rPr>
                <w:rFonts w:cs="Arial"/>
                <w:sz w:val="14"/>
                <w:szCs w:val="14"/>
              </w:rPr>
            </w:pPr>
            <w:r w:rsidRPr="00D96063">
              <w:rPr>
                <w:rFonts w:cs="Arial"/>
                <w:sz w:val="14"/>
                <w:szCs w:val="14"/>
              </w:rPr>
              <w:t>16 December 2019</w:t>
            </w:r>
          </w:p>
        </w:tc>
      </w:tr>
      <w:tr w:rsidR="00C15F2E" w:rsidRPr="00D96063" w14:paraId="549CEC95" w14:textId="77777777" w:rsidTr="002A3F9E">
        <w:tc>
          <w:tcPr>
            <w:tcW w:w="0" w:type="auto"/>
            <w:gridSpan w:val="3"/>
            <w:hideMark/>
          </w:tcPr>
          <w:p w14:paraId="1810B92F" w14:textId="77777777" w:rsidR="00C15F2E" w:rsidRPr="00D96063" w:rsidRDefault="00C15F2E" w:rsidP="002A3F9E">
            <w:pPr>
              <w:jc w:val="left"/>
              <w:rPr>
                <w:rFonts w:cs="Calibri"/>
                <w:b/>
                <w:bCs/>
                <w:sz w:val="14"/>
                <w:szCs w:val="14"/>
              </w:rPr>
            </w:pPr>
            <w:r w:rsidRPr="00D96063">
              <w:rPr>
                <w:rFonts w:cs="Calibri"/>
                <w:b/>
                <w:bCs/>
                <w:sz w:val="14"/>
                <w:szCs w:val="14"/>
              </w:rPr>
              <w:t>Rules of Origin</w:t>
            </w:r>
          </w:p>
        </w:tc>
      </w:tr>
      <w:tr w:rsidR="00C15F2E" w:rsidRPr="00D96063" w14:paraId="6226A27E" w14:textId="77777777" w:rsidTr="002A3F9E">
        <w:trPr>
          <w:cnfStyle w:val="000000010000" w:firstRow="0" w:lastRow="0" w:firstColumn="0" w:lastColumn="0" w:oddVBand="0" w:evenVBand="0" w:oddHBand="0" w:evenHBand="1" w:firstRowFirstColumn="0" w:firstRowLastColumn="0" w:lastRowFirstColumn="0" w:lastRowLastColumn="0"/>
        </w:trPr>
        <w:tc>
          <w:tcPr>
            <w:tcW w:w="0" w:type="auto"/>
            <w:hideMark/>
          </w:tcPr>
          <w:p w14:paraId="232CE5ED" w14:textId="77777777" w:rsidR="00C15F2E" w:rsidRPr="00D96063" w:rsidRDefault="00C15F2E" w:rsidP="002A3F9E">
            <w:pPr>
              <w:jc w:val="left"/>
              <w:rPr>
                <w:rFonts w:cs="Arial"/>
                <w:sz w:val="14"/>
                <w:szCs w:val="14"/>
              </w:rPr>
            </w:pPr>
            <w:r w:rsidRPr="00D96063">
              <w:rPr>
                <w:rFonts w:cs="Arial"/>
                <w:sz w:val="14"/>
                <w:szCs w:val="14"/>
              </w:rPr>
              <w:t>G/RO/N/159/Corr.1</w:t>
            </w:r>
          </w:p>
        </w:tc>
        <w:tc>
          <w:tcPr>
            <w:tcW w:w="0" w:type="auto"/>
            <w:hideMark/>
          </w:tcPr>
          <w:p w14:paraId="0C7D67C1" w14:textId="77777777" w:rsidR="00C15F2E" w:rsidRPr="00D96063" w:rsidRDefault="00C15F2E" w:rsidP="002A3F9E">
            <w:pPr>
              <w:jc w:val="left"/>
              <w:rPr>
                <w:rFonts w:cs="Arial"/>
                <w:sz w:val="14"/>
                <w:szCs w:val="14"/>
              </w:rPr>
            </w:pPr>
            <w:r w:rsidRPr="00D96063">
              <w:rPr>
                <w:rFonts w:cs="Arial"/>
                <w:sz w:val="14"/>
                <w:szCs w:val="14"/>
              </w:rPr>
              <w:t>Preferential rules of origin – European Union and Ghana – Corrigendum</w:t>
            </w:r>
          </w:p>
        </w:tc>
        <w:tc>
          <w:tcPr>
            <w:tcW w:w="0" w:type="auto"/>
            <w:hideMark/>
          </w:tcPr>
          <w:p w14:paraId="4202027F" w14:textId="77777777" w:rsidR="00C15F2E" w:rsidRPr="00D96063" w:rsidRDefault="00C15F2E" w:rsidP="002A3F9E">
            <w:pPr>
              <w:rPr>
                <w:rFonts w:cs="Arial"/>
                <w:sz w:val="14"/>
                <w:szCs w:val="14"/>
              </w:rPr>
            </w:pPr>
            <w:r w:rsidRPr="00D96063">
              <w:rPr>
                <w:rFonts w:cs="Arial"/>
                <w:sz w:val="14"/>
                <w:szCs w:val="14"/>
              </w:rPr>
              <w:t>31 July 2017</w:t>
            </w:r>
          </w:p>
        </w:tc>
      </w:tr>
      <w:tr w:rsidR="00C15F2E" w:rsidRPr="00D96063" w14:paraId="77846CE6" w14:textId="77777777" w:rsidTr="002A3F9E">
        <w:tc>
          <w:tcPr>
            <w:tcW w:w="0" w:type="auto"/>
            <w:hideMark/>
          </w:tcPr>
          <w:p w14:paraId="7F34AC3D" w14:textId="77777777" w:rsidR="00C15F2E" w:rsidRPr="00D96063" w:rsidRDefault="00C15F2E" w:rsidP="002A3F9E">
            <w:pPr>
              <w:jc w:val="left"/>
              <w:rPr>
                <w:rFonts w:cs="Arial"/>
                <w:sz w:val="14"/>
                <w:szCs w:val="14"/>
              </w:rPr>
            </w:pPr>
            <w:r w:rsidRPr="00D96063">
              <w:rPr>
                <w:rFonts w:cs="Arial"/>
                <w:sz w:val="14"/>
                <w:szCs w:val="14"/>
              </w:rPr>
              <w:t>G/RO/N/159</w:t>
            </w:r>
          </w:p>
        </w:tc>
        <w:tc>
          <w:tcPr>
            <w:tcW w:w="0" w:type="auto"/>
            <w:hideMark/>
          </w:tcPr>
          <w:p w14:paraId="22C092A7" w14:textId="77777777" w:rsidR="00C15F2E" w:rsidRPr="00D96063" w:rsidRDefault="00C15F2E" w:rsidP="002A3F9E">
            <w:pPr>
              <w:jc w:val="left"/>
              <w:rPr>
                <w:rFonts w:cs="Arial"/>
                <w:sz w:val="14"/>
                <w:szCs w:val="14"/>
              </w:rPr>
            </w:pPr>
            <w:r w:rsidRPr="00D96063">
              <w:rPr>
                <w:rFonts w:cs="Arial"/>
                <w:sz w:val="14"/>
                <w:szCs w:val="14"/>
              </w:rPr>
              <w:t>Preferential rules of origin – European Union and Ghana</w:t>
            </w:r>
          </w:p>
        </w:tc>
        <w:tc>
          <w:tcPr>
            <w:tcW w:w="0" w:type="auto"/>
            <w:hideMark/>
          </w:tcPr>
          <w:p w14:paraId="50C6D91F" w14:textId="77777777" w:rsidR="00C15F2E" w:rsidRPr="00D96063" w:rsidRDefault="00C15F2E" w:rsidP="002A3F9E">
            <w:pPr>
              <w:rPr>
                <w:rFonts w:cs="Arial"/>
                <w:sz w:val="14"/>
                <w:szCs w:val="14"/>
              </w:rPr>
            </w:pPr>
            <w:r w:rsidRPr="00D96063">
              <w:rPr>
                <w:rFonts w:cs="Arial"/>
                <w:sz w:val="14"/>
                <w:szCs w:val="14"/>
              </w:rPr>
              <w:t>21 July 2017</w:t>
            </w:r>
          </w:p>
        </w:tc>
      </w:tr>
    </w:tbl>
    <w:p w14:paraId="2E52B050" w14:textId="77777777" w:rsidR="00C15F2E" w:rsidRPr="00D96063" w:rsidRDefault="00C15F2E" w:rsidP="00CB59D4">
      <w:pPr>
        <w:pStyle w:val="NoteText"/>
        <w:spacing w:before="120" w:after="240"/>
      </w:pPr>
      <w:r w:rsidRPr="00D96063">
        <w:t>Source:</w:t>
      </w:r>
      <w:r w:rsidRPr="00D96063">
        <w:tab/>
        <w:t xml:space="preserve">WTO Docs Online. Viewed at: </w:t>
      </w:r>
      <w:hyperlink r:id="rId51" w:history="1">
        <w:r w:rsidRPr="00D96063">
          <w:rPr>
            <w:rStyle w:val="Hyperlink"/>
          </w:rPr>
          <w:t>https://docs.wto.org/dol2fe/Pages/FE_Search/FE_S_S005.aspx</w:t>
        </w:r>
      </w:hyperlink>
      <w:r w:rsidRPr="00D96063">
        <w:t>.</w:t>
      </w:r>
    </w:p>
    <w:p w14:paraId="3542B12C" w14:textId="77777777" w:rsidR="00C15F2E" w:rsidRPr="00D96063" w:rsidRDefault="00C15F2E" w:rsidP="003758E5">
      <w:pPr>
        <w:pStyle w:val="Heading3"/>
        <w:numPr>
          <w:ilvl w:val="2"/>
          <w:numId w:val="20"/>
        </w:numPr>
      </w:pPr>
      <w:bookmarkStart w:id="49" w:name="_Toc103607650"/>
      <w:r w:rsidRPr="00D96063">
        <w:t>ECOWAS</w:t>
      </w:r>
      <w:bookmarkEnd w:id="49"/>
    </w:p>
    <w:p w14:paraId="5A93C318" w14:textId="1018F126" w:rsidR="00C15F2E" w:rsidRPr="00D96063" w:rsidRDefault="00C15F2E" w:rsidP="003758E5">
      <w:pPr>
        <w:numPr>
          <w:ilvl w:val="6"/>
          <w:numId w:val="18"/>
        </w:numPr>
        <w:spacing w:after="240"/>
      </w:pPr>
      <w:bookmarkStart w:id="50" w:name="_Hlk97828549"/>
      <w:r w:rsidRPr="00D96063">
        <w:t>Ghana is a founding member of ECOWAS, which was established in May 1975.</w:t>
      </w:r>
      <w:r w:rsidRPr="00D96063">
        <w:rPr>
          <w:rStyle w:val="FootnoteReference"/>
        </w:rPr>
        <w:footnoteReference w:id="21"/>
      </w:r>
      <w:r w:rsidRPr="00D96063">
        <w:t xml:space="preserve"> ECOWAS aims at becoming an economic union in West Africa. To this end, the Preamble and Article 2 of the ECOWAS Treaty (revised in 1993) provide for the free movement of people, goods, services, and capital, and the revised treaty provides for the creation of a common market, harmonization of the monetary policies of the </w:t>
      </w:r>
      <w:r w:rsidR="00064E01">
        <w:t>M</w:t>
      </w:r>
      <w:r w:rsidRPr="00D96063">
        <w:t xml:space="preserve">ember </w:t>
      </w:r>
      <w:r w:rsidR="00064E01">
        <w:t>S</w:t>
      </w:r>
      <w:r w:rsidRPr="00D96063">
        <w:t>tates, free flow of capital, and monetary union with a single currency (Articles 3 and 51). ECOWAS was notified to the WTO in 2005 under the Enabling Clause. The revised ECOWAS Treaty has not been ratified or otherwise domesticated into national law.</w:t>
      </w:r>
    </w:p>
    <w:bookmarkEnd w:id="50"/>
    <w:p w14:paraId="71B04EF3" w14:textId="77777777" w:rsidR="00C15F2E" w:rsidRPr="00D96063" w:rsidRDefault="00C15F2E" w:rsidP="003758E5">
      <w:pPr>
        <w:numPr>
          <w:ilvl w:val="6"/>
          <w:numId w:val="18"/>
        </w:numPr>
        <w:spacing w:after="240"/>
      </w:pPr>
      <w:r w:rsidRPr="00D96063">
        <w:rPr>
          <w14:scene3d>
            <w14:camera w14:prst="orthographicFront"/>
            <w14:lightRig w14:rig="threePt" w14:dir="t">
              <w14:rot w14:lat="0" w14:lon="0" w14:rev="0"/>
            </w14:lightRig>
          </w14:scene3d>
        </w:rPr>
        <w:t xml:space="preserve">The authorities have indicated that the main priority of Ghana is to enable ECOWAS to achieve its objectives of free movement of persons and goods, and the right of establishment. </w:t>
      </w:r>
      <w:r w:rsidRPr="00D96063">
        <w:t>Ghana commenced the full implementation of Article 5 of the ECOWAS Protocol on the Free Movement of Persons, Residence and Establishment on 1 May 2019.</w:t>
      </w:r>
      <w:r w:rsidRPr="00D96063">
        <w:rPr>
          <w:rStyle w:val="FootnoteReference"/>
        </w:rPr>
        <w:footnoteReference w:id="22"/>
      </w:r>
      <w:r w:rsidRPr="00D96063">
        <w:t xml:space="preserve"> It has adopted the common ECOWAS passport, and waived visa and residency permit requirements for all ECOWAS citizens for 90-day stays (see below). Ghana has implemented the ECOWAS Common External Tariff (CET) since 1 February 2016 (Section 3.1.2). The ECOWAS Trade Liberalization Scheme (ETLS) is designed to provide for duty-free trade within the ECOWAS zone (Section 3.1.4) but has not lived up to expectations, as reflected in the relatively low levels of formal intra-ECOWAS trade (Chart 3.3).</w:t>
      </w:r>
    </w:p>
    <w:p w14:paraId="13D1BB50" w14:textId="77777777" w:rsidR="00C15F2E" w:rsidRPr="00D96063" w:rsidRDefault="00C15F2E" w:rsidP="003758E5">
      <w:pPr>
        <w:numPr>
          <w:ilvl w:val="6"/>
          <w:numId w:val="18"/>
        </w:numPr>
        <w:spacing w:after="240"/>
      </w:pPr>
      <w:r w:rsidRPr="00D96063">
        <w:t xml:space="preserve">With support from the World Bank and the World Customs Organization, the ECOWAS Commission established a Regional Automated Transit System for goods to facilitate regional trade </w:t>
      </w:r>
      <w:r w:rsidRPr="00D96063">
        <w:lastRenderedPageBreak/>
        <w:t>in 2016.</w:t>
      </w:r>
      <w:r w:rsidRPr="00D96063">
        <w:rPr>
          <w:rStyle w:val="FootnoteReference"/>
        </w:rPr>
        <w:footnoteReference w:id="23"/>
      </w:r>
      <w:r w:rsidRPr="00D96063">
        <w:t xml:space="preserve"> Also to facilitate intra-ECOWAS trade, the ECOWAS Commission has encouraged the construction of joint border posts (JBP). One such JBP between Ghana and Togo was completed at Nuope</w:t>
      </w:r>
      <w:r w:rsidRPr="00D96063">
        <w:noBreakHyphen/>
        <w:t>Akalu in 2019. Construction of another JBP at the Noe-Elubo border between Côte d'Ivoire and Ghana commenced in 2016.</w:t>
      </w:r>
      <w:r w:rsidRPr="00D96063">
        <w:rPr>
          <w:rStyle w:val="FootnoteReference"/>
        </w:rPr>
        <w:footnoteReference w:id="24"/>
      </w:r>
    </w:p>
    <w:p w14:paraId="700BA96D" w14:textId="0BE6FC0F" w:rsidR="00C15F2E" w:rsidRPr="00D96063" w:rsidRDefault="00C15F2E" w:rsidP="003758E5">
      <w:pPr>
        <w:numPr>
          <w:ilvl w:val="6"/>
          <w:numId w:val="18"/>
        </w:numPr>
        <w:spacing w:after="240"/>
      </w:pPr>
      <w:r w:rsidRPr="00D96063">
        <w:t>With respect to macroeconomic convergence within ECOWAS, since 1987 when the ECOWAS Monetary Cooperation Programme was adopted, the creation of a single monetary zone in the sub</w:t>
      </w:r>
      <w:r w:rsidRPr="00D96063">
        <w:noBreakHyphen/>
        <w:t xml:space="preserve">region has been a priority. This zone would encompass both the six members of the West African Economic and Monetary Union (WAEMU) and the six non-WAEMU ECOWAS members grouped in a second monetary zone in the sub-region, the West African Monetary Zone (WAMZ). </w:t>
      </w:r>
      <w:r w:rsidRPr="007A1409">
        <w:rPr>
          <w:lang w:val="es-ES"/>
        </w:rPr>
        <w:t xml:space="preserve">WAMZ would comprise Cabo Verde, The Gambia, Ghana, Guinea, Liberia, Nigeria, and Sierra Leone. </w:t>
      </w:r>
      <w:r w:rsidRPr="00D96063">
        <w:t xml:space="preserve">The adoption of a single currency is to be preceded by a convergence phase focused on the strengthening of </w:t>
      </w:r>
      <w:r w:rsidR="00064E01">
        <w:t>M</w:t>
      </w:r>
      <w:r w:rsidRPr="00D96063">
        <w:t xml:space="preserve">ember </w:t>
      </w:r>
      <w:r w:rsidR="00064E01">
        <w:t>S</w:t>
      </w:r>
      <w:r w:rsidRPr="00D96063">
        <w:t xml:space="preserve">tates' </w:t>
      </w:r>
      <w:r w:rsidRPr="00D96063">
        <w:rPr>
          <w14:scene3d>
            <w14:camera w14:prst="orthographicFront"/>
            <w14:lightRig w14:rig="threePt" w14:dir="t">
              <w14:rot w14:lat="0" w14:lon="0" w14:rev="0"/>
            </w14:lightRig>
          </w14:scene3d>
        </w:rPr>
        <w:t>economies</w:t>
      </w:r>
      <w:r w:rsidRPr="00D96063">
        <w:t xml:space="preserve"> and currencies.</w:t>
      </w:r>
      <w:r w:rsidRPr="00D96063">
        <w:rPr>
          <w:rStyle w:val="FootnoteReference"/>
        </w:rPr>
        <w:footnoteReference w:id="25"/>
      </w:r>
      <w:r w:rsidRPr="00D96063">
        <w:t xml:space="preserve"> Over the 2014-21 period, Ghana has not yet met all the ECOWAS Convergence Criteria, which are almost identical to those of WAMZ but differ from WAEMU's (Table 2.3). The West African Monetary Institute was set up in Accra in 2001 with the mandate to undertake technical preparations for the establishment of WAMZ.</w:t>
      </w:r>
      <w:r w:rsidRPr="00D96063">
        <w:rPr>
          <w:rStyle w:val="FootnoteReference"/>
        </w:rPr>
        <w:footnoteReference w:id="26"/>
      </w:r>
    </w:p>
    <w:p w14:paraId="0A6FB1BD" w14:textId="189DC5AE" w:rsidR="00C15F2E" w:rsidRPr="00D96063" w:rsidRDefault="00C15F2E" w:rsidP="00CB59D4">
      <w:pPr>
        <w:pStyle w:val="Caption"/>
        <w:keepLines/>
      </w:pPr>
      <w:bookmarkStart w:id="51" w:name="_Toc103607880"/>
      <w:r w:rsidRPr="00D96063">
        <w:t xml:space="preserve">Table </w:t>
      </w:r>
      <w:fldSimple w:instr=" STYLEREF 1 \s ">
        <w:r w:rsidR="004B63B1">
          <w:rPr>
            <w:noProof/>
          </w:rPr>
          <w:t>2</w:t>
        </w:r>
      </w:fldSimple>
      <w:r w:rsidR="00BF3184">
        <w:t>.</w:t>
      </w:r>
      <w:fldSimple w:instr=" SEQ Table \* ARABIC \s 1 ">
        <w:r w:rsidR="004B63B1">
          <w:rPr>
            <w:noProof/>
          </w:rPr>
          <w:t>3</w:t>
        </w:r>
      </w:fldSimple>
      <w:r w:rsidRPr="00D96063">
        <w:t xml:space="preserve"> Regional macroeconomic convergence criteria</w:t>
      </w:r>
      <w:bookmarkEnd w:id="51"/>
    </w:p>
    <w:tbl>
      <w:tblPr>
        <w:tblStyle w:val="WTOTable1"/>
        <w:tblW w:w="0" w:type="auto"/>
        <w:tblLook w:val="04A0" w:firstRow="1" w:lastRow="0" w:firstColumn="1" w:lastColumn="0" w:noHBand="0" w:noVBand="1"/>
      </w:tblPr>
      <w:tblGrid>
        <w:gridCol w:w="3114"/>
        <w:gridCol w:w="1967"/>
        <w:gridCol w:w="1967"/>
        <w:gridCol w:w="1968"/>
      </w:tblGrid>
      <w:tr w:rsidR="00C15F2E" w:rsidRPr="00D96063" w14:paraId="49C953A1" w14:textId="77777777" w:rsidTr="00BA758D">
        <w:trPr>
          <w:cnfStyle w:val="100000000000" w:firstRow="1" w:lastRow="0" w:firstColumn="0" w:lastColumn="0" w:oddVBand="0" w:evenVBand="0" w:oddHBand="0" w:evenHBand="0" w:firstRowFirstColumn="0" w:firstRowLastColumn="0" w:lastRowFirstColumn="0" w:lastRowLastColumn="0"/>
          <w:tblHeader/>
        </w:trPr>
        <w:tc>
          <w:tcPr>
            <w:tcW w:w="3114" w:type="dxa"/>
          </w:tcPr>
          <w:p w14:paraId="7A024BF1" w14:textId="77777777" w:rsidR="00C15F2E" w:rsidRPr="00D96063" w:rsidRDefault="00C15F2E" w:rsidP="00BA758D">
            <w:pPr>
              <w:keepNext/>
              <w:keepLines/>
              <w:jc w:val="left"/>
              <w:rPr>
                <w:color w:val="FFFFFF" w:themeColor="background1"/>
                <w:sz w:val="15"/>
                <w:szCs w:val="15"/>
              </w:rPr>
            </w:pPr>
            <w:r w:rsidRPr="00D96063">
              <w:rPr>
                <w:color w:val="FFFFFF" w:themeColor="background1"/>
                <w:sz w:val="15"/>
                <w:szCs w:val="15"/>
              </w:rPr>
              <w:t>Macroeconomic convergence criteria</w:t>
            </w:r>
          </w:p>
        </w:tc>
        <w:tc>
          <w:tcPr>
            <w:tcW w:w="1967" w:type="dxa"/>
          </w:tcPr>
          <w:p w14:paraId="452843CD" w14:textId="77777777" w:rsidR="00C15F2E" w:rsidRPr="00D96063" w:rsidRDefault="00C15F2E" w:rsidP="00BA758D">
            <w:pPr>
              <w:keepNext/>
              <w:keepLines/>
              <w:jc w:val="left"/>
              <w:rPr>
                <w:color w:val="FFFFFF" w:themeColor="background1"/>
                <w:sz w:val="15"/>
                <w:szCs w:val="15"/>
                <w:vertAlign w:val="superscript"/>
              </w:rPr>
            </w:pPr>
            <w:r w:rsidRPr="00D96063">
              <w:rPr>
                <w:color w:val="FFFFFF" w:themeColor="background1"/>
                <w:sz w:val="15"/>
                <w:szCs w:val="15"/>
              </w:rPr>
              <w:t>ECOWAS</w:t>
            </w:r>
            <w:r w:rsidRPr="00D96063">
              <w:rPr>
                <w:color w:val="FFFFFF" w:themeColor="background1"/>
                <w:sz w:val="15"/>
                <w:szCs w:val="15"/>
                <w:vertAlign w:val="superscript"/>
              </w:rPr>
              <w:t>a</w:t>
            </w:r>
          </w:p>
        </w:tc>
        <w:tc>
          <w:tcPr>
            <w:tcW w:w="1967" w:type="dxa"/>
          </w:tcPr>
          <w:p w14:paraId="34BDF500" w14:textId="77777777" w:rsidR="00C15F2E" w:rsidRPr="00D96063" w:rsidRDefault="00C15F2E" w:rsidP="00BA758D">
            <w:pPr>
              <w:keepNext/>
              <w:keepLines/>
              <w:jc w:val="left"/>
              <w:rPr>
                <w:color w:val="FFFFFF" w:themeColor="background1"/>
                <w:sz w:val="15"/>
                <w:szCs w:val="15"/>
                <w:vertAlign w:val="superscript"/>
              </w:rPr>
            </w:pPr>
            <w:r w:rsidRPr="00D96063">
              <w:rPr>
                <w:color w:val="FFFFFF" w:themeColor="background1"/>
                <w:sz w:val="15"/>
                <w:szCs w:val="15"/>
              </w:rPr>
              <w:t>WAEMU</w:t>
            </w:r>
            <w:r w:rsidRPr="00D96063">
              <w:rPr>
                <w:color w:val="FFFFFF" w:themeColor="background1"/>
                <w:sz w:val="15"/>
                <w:szCs w:val="15"/>
                <w:vertAlign w:val="superscript"/>
              </w:rPr>
              <w:t>b</w:t>
            </w:r>
          </w:p>
        </w:tc>
        <w:tc>
          <w:tcPr>
            <w:tcW w:w="1968" w:type="dxa"/>
          </w:tcPr>
          <w:p w14:paraId="766CDF8E" w14:textId="77777777" w:rsidR="00C15F2E" w:rsidRPr="00D96063" w:rsidRDefault="00C15F2E" w:rsidP="00BA758D">
            <w:pPr>
              <w:keepNext/>
              <w:keepLines/>
              <w:jc w:val="left"/>
              <w:rPr>
                <w:color w:val="FFFFFF" w:themeColor="background1"/>
                <w:sz w:val="15"/>
                <w:szCs w:val="15"/>
                <w:vertAlign w:val="superscript"/>
              </w:rPr>
            </w:pPr>
            <w:r w:rsidRPr="00D96063">
              <w:rPr>
                <w:color w:val="FFFFFF" w:themeColor="background1"/>
                <w:sz w:val="15"/>
                <w:szCs w:val="15"/>
              </w:rPr>
              <w:t>WAMZ</w:t>
            </w:r>
            <w:r w:rsidRPr="00D96063">
              <w:rPr>
                <w:color w:val="FFFFFF" w:themeColor="background1"/>
                <w:sz w:val="15"/>
                <w:szCs w:val="15"/>
                <w:vertAlign w:val="superscript"/>
              </w:rPr>
              <w:t>c</w:t>
            </w:r>
          </w:p>
        </w:tc>
      </w:tr>
      <w:tr w:rsidR="00BA758D" w:rsidRPr="00D96063" w14:paraId="1A71396F" w14:textId="77777777" w:rsidTr="001F7CD2">
        <w:tc>
          <w:tcPr>
            <w:tcW w:w="9016" w:type="dxa"/>
            <w:gridSpan w:val="4"/>
          </w:tcPr>
          <w:p w14:paraId="197AE35E" w14:textId="4CA9554E" w:rsidR="00BA758D" w:rsidRPr="00D96063" w:rsidRDefault="00BA758D" w:rsidP="002A3F9E">
            <w:pPr>
              <w:keepNext/>
              <w:keepLines/>
              <w:rPr>
                <w:sz w:val="15"/>
                <w:szCs w:val="15"/>
              </w:rPr>
            </w:pPr>
            <w:r w:rsidRPr="00D96063">
              <w:rPr>
                <w:b/>
                <w:sz w:val="15"/>
                <w:szCs w:val="15"/>
              </w:rPr>
              <w:t>Primary criteria</w:t>
            </w:r>
          </w:p>
        </w:tc>
      </w:tr>
      <w:tr w:rsidR="00C15F2E" w:rsidRPr="00D96063" w14:paraId="6A11321C" w14:textId="77777777" w:rsidTr="00BA758D">
        <w:trPr>
          <w:cnfStyle w:val="000000010000" w:firstRow="0" w:lastRow="0" w:firstColumn="0" w:lastColumn="0" w:oddVBand="0" w:evenVBand="0" w:oddHBand="0" w:evenHBand="1" w:firstRowFirstColumn="0" w:firstRowLastColumn="0" w:lastRowFirstColumn="0" w:lastRowLastColumn="0"/>
        </w:trPr>
        <w:tc>
          <w:tcPr>
            <w:tcW w:w="3114" w:type="dxa"/>
          </w:tcPr>
          <w:p w14:paraId="04B51837" w14:textId="77777777" w:rsidR="00C15F2E" w:rsidRPr="00D96063" w:rsidRDefault="00C15F2E" w:rsidP="002A3F9E">
            <w:pPr>
              <w:jc w:val="left"/>
              <w:rPr>
                <w:sz w:val="15"/>
                <w:szCs w:val="15"/>
              </w:rPr>
            </w:pPr>
            <w:r w:rsidRPr="00D96063">
              <w:rPr>
                <w:sz w:val="15"/>
                <w:szCs w:val="15"/>
              </w:rPr>
              <w:t>Ratio of budget deficit to nominal GDP</w:t>
            </w:r>
          </w:p>
        </w:tc>
        <w:tc>
          <w:tcPr>
            <w:tcW w:w="1967" w:type="dxa"/>
          </w:tcPr>
          <w:p w14:paraId="326EB4FF" w14:textId="77777777" w:rsidR="00C15F2E" w:rsidRPr="00D96063" w:rsidRDefault="00C15F2E" w:rsidP="00BA758D">
            <w:pPr>
              <w:jc w:val="left"/>
              <w:rPr>
                <w:sz w:val="15"/>
                <w:szCs w:val="15"/>
              </w:rPr>
            </w:pPr>
            <w:r w:rsidRPr="00D96063">
              <w:rPr>
                <w:sz w:val="15"/>
                <w:szCs w:val="15"/>
              </w:rPr>
              <w:t>&lt;3%</w:t>
            </w:r>
          </w:p>
        </w:tc>
        <w:tc>
          <w:tcPr>
            <w:tcW w:w="1967" w:type="dxa"/>
          </w:tcPr>
          <w:p w14:paraId="5C226B42" w14:textId="77777777" w:rsidR="00C15F2E" w:rsidRPr="00D96063" w:rsidRDefault="00C15F2E" w:rsidP="00BA758D">
            <w:pPr>
              <w:jc w:val="left"/>
              <w:rPr>
                <w:sz w:val="15"/>
                <w:szCs w:val="15"/>
              </w:rPr>
            </w:pPr>
            <w:r w:rsidRPr="00D96063">
              <w:rPr>
                <w:sz w:val="15"/>
                <w:szCs w:val="15"/>
              </w:rPr>
              <w:t>n.a.</w:t>
            </w:r>
          </w:p>
        </w:tc>
        <w:tc>
          <w:tcPr>
            <w:tcW w:w="1968" w:type="dxa"/>
          </w:tcPr>
          <w:p w14:paraId="2F79ADE7" w14:textId="77777777" w:rsidR="00C15F2E" w:rsidRPr="00D96063" w:rsidRDefault="00C15F2E" w:rsidP="00BA758D">
            <w:pPr>
              <w:jc w:val="left"/>
              <w:rPr>
                <w:sz w:val="15"/>
                <w:szCs w:val="15"/>
              </w:rPr>
            </w:pPr>
            <w:r w:rsidRPr="00D96063">
              <w:rPr>
                <w:sz w:val="15"/>
                <w:szCs w:val="15"/>
              </w:rPr>
              <w:t>&lt;4%</w:t>
            </w:r>
          </w:p>
        </w:tc>
      </w:tr>
      <w:tr w:rsidR="00C15F2E" w:rsidRPr="00D96063" w14:paraId="412D4BDF" w14:textId="77777777" w:rsidTr="00BA758D">
        <w:tc>
          <w:tcPr>
            <w:tcW w:w="3114" w:type="dxa"/>
          </w:tcPr>
          <w:p w14:paraId="30BC490B" w14:textId="77777777" w:rsidR="00C15F2E" w:rsidRPr="00D96063" w:rsidRDefault="00C15F2E" w:rsidP="002A3F9E">
            <w:pPr>
              <w:jc w:val="left"/>
              <w:rPr>
                <w:sz w:val="15"/>
                <w:szCs w:val="15"/>
              </w:rPr>
            </w:pPr>
            <w:r w:rsidRPr="00D96063">
              <w:rPr>
                <w:sz w:val="15"/>
                <w:szCs w:val="15"/>
              </w:rPr>
              <w:t>Ratio of overall budget balance (including grants) to nominal GDP</w:t>
            </w:r>
          </w:p>
        </w:tc>
        <w:tc>
          <w:tcPr>
            <w:tcW w:w="1967" w:type="dxa"/>
          </w:tcPr>
          <w:p w14:paraId="424B01EA" w14:textId="77777777" w:rsidR="00C15F2E" w:rsidRPr="00D96063" w:rsidRDefault="00C15F2E" w:rsidP="00BA758D">
            <w:pPr>
              <w:jc w:val="left"/>
              <w:rPr>
                <w:sz w:val="15"/>
                <w:szCs w:val="15"/>
              </w:rPr>
            </w:pPr>
            <w:r w:rsidRPr="00D96063">
              <w:rPr>
                <w:sz w:val="15"/>
                <w:szCs w:val="15"/>
              </w:rPr>
              <w:t>n.a.</w:t>
            </w:r>
          </w:p>
        </w:tc>
        <w:tc>
          <w:tcPr>
            <w:tcW w:w="1967" w:type="dxa"/>
          </w:tcPr>
          <w:p w14:paraId="52953C75" w14:textId="77777777" w:rsidR="00C15F2E" w:rsidRPr="00D96063" w:rsidRDefault="00C15F2E" w:rsidP="00BA758D">
            <w:pPr>
              <w:jc w:val="left"/>
              <w:rPr>
                <w:sz w:val="15"/>
                <w:szCs w:val="15"/>
              </w:rPr>
            </w:pPr>
            <w:r w:rsidRPr="00D96063">
              <w:rPr>
                <w:sz w:val="15"/>
                <w:szCs w:val="15"/>
              </w:rPr>
              <w:t>&gt; -3%</w:t>
            </w:r>
          </w:p>
        </w:tc>
        <w:tc>
          <w:tcPr>
            <w:tcW w:w="1968" w:type="dxa"/>
          </w:tcPr>
          <w:p w14:paraId="423D3529" w14:textId="77777777" w:rsidR="00C15F2E" w:rsidRPr="00D96063" w:rsidRDefault="00C15F2E" w:rsidP="00BA758D">
            <w:pPr>
              <w:jc w:val="left"/>
              <w:rPr>
                <w:sz w:val="15"/>
                <w:szCs w:val="15"/>
              </w:rPr>
            </w:pPr>
            <w:r w:rsidRPr="00D96063">
              <w:rPr>
                <w:sz w:val="15"/>
                <w:szCs w:val="15"/>
              </w:rPr>
              <w:t>n.a.</w:t>
            </w:r>
          </w:p>
        </w:tc>
      </w:tr>
      <w:tr w:rsidR="00C15F2E" w:rsidRPr="00D96063" w14:paraId="5101B510" w14:textId="77777777" w:rsidTr="00BA758D">
        <w:trPr>
          <w:cnfStyle w:val="000000010000" w:firstRow="0" w:lastRow="0" w:firstColumn="0" w:lastColumn="0" w:oddVBand="0" w:evenVBand="0" w:oddHBand="0" w:evenHBand="1" w:firstRowFirstColumn="0" w:firstRowLastColumn="0" w:lastRowFirstColumn="0" w:lastRowLastColumn="0"/>
        </w:trPr>
        <w:tc>
          <w:tcPr>
            <w:tcW w:w="3114" w:type="dxa"/>
          </w:tcPr>
          <w:p w14:paraId="01C48C06" w14:textId="77777777" w:rsidR="00C15F2E" w:rsidRPr="00D96063" w:rsidRDefault="00C15F2E" w:rsidP="002A3F9E">
            <w:pPr>
              <w:jc w:val="left"/>
              <w:rPr>
                <w:sz w:val="15"/>
                <w:szCs w:val="15"/>
              </w:rPr>
            </w:pPr>
            <w:r w:rsidRPr="00D96063">
              <w:rPr>
                <w:sz w:val="15"/>
                <w:szCs w:val="15"/>
              </w:rPr>
              <w:t>Average inflation rate</w:t>
            </w:r>
          </w:p>
        </w:tc>
        <w:tc>
          <w:tcPr>
            <w:tcW w:w="1967" w:type="dxa"/>
          </w:tcPr>
          <w:p w14:paraId="6C3C65C5" w14:textId="77777777" w:rsidR="00C15F2E" w:rsidRPr="00D96063" w:rsidRDefault="00C15F2E" w:rsidP="00BA758D">
            <w:pPr>
              <w:jc w:val="left"/>
              <w:rPr>
                <w:sz w:val="15"/>
                <w:szCs w:val="15"/>
              </w:rPr>
            </w:pPr>
            <w:r w:rsidRPr="00D96063">
              <w:rPr>
                <w:sz w:val="15"/>
                <w:szCs w:val="15"/>
              </w:rPr>
              <w:t xml:space="preserve">&lt;5% </w:t>
            </w:r>
          </w:p>
        </w:tc>
        <w:tc>
          <w:tcPr>
            <w:tcW w:w="1967" w:type="dxa"/>
          </w:tcPr>
          <w:p w14:paraId="64191B1F" w14:textId="77777777" w:rsidR="00C15F2E" w:rsidRPr="00D96063" w:rsidRDefault="00C15F2E" w:rsidP="00BA758D">
            <w:pPr>
              <w:jc w:val="left"/>
              <w:rPr>
                <w:sz w:val="15"/>
                <w:szCs w:val="15"/>
              </w:rPr>
            </w:pPr>
            <w:r w:rsidRPr="00D96063">
              <w:rPr>
                <w:sz w:val="15"/>
                <w:szCs w:val="15"/>
              </w:rPr>
              <w:t>&lt;3%</w:t>
            </w:r>
          </w:p>
        </w:tc>
        <w:tc>
          <w:tcPr>
            <w:tcW w:w="1968" w:type="dxa"/>
          </w:tcPr>
          <w:p w14:paraId="32325C0A" w14:textId="77777777" w:rsidR="00C15F2E" w:rsidRPr="00D96063" w:rsidRDefault="00C15F2E" w:rsidP="00BA758D">
            <w:pPr>
              <w:jc w:val="left"/>
              <w:rPr>
                <w:sz w:val="15"/>
                <w:szCs w:val="15"/>
              </w:rPr>
            </w:pPr>
            <w:r w:rsidRPr="00D96063">
              <w:rPr>
                <w:sz w:val="15"/>
                <w:szCs w:val="15"/>
              </w:rPr>
              <w:t>&lt;5%</w:t>
            </w:r>
          </w:p>
        </w:tc>
      </w:tr>
      <w:tr w:rsidR="00C15F2E" w:rsidRPr="00D96063" w14:paraId="3E8E3F3C" w14:textId="77777777" w:rsidTr="00BA758D">
        <w:tc>
          <w:tcPr>
            <w:tcW w:w="3114" w:type="dxa"/>
          </w:tcPr>
          <w:p w14:paraId="498C00F3" w14:textId="77777777" w:rsidR="00C15F2E" w:rsidRPr="00D96063" w:rsidRDefault="00C15F2E" w:rsidP="002A3F9E">
            <w:pPr>
              <w:jc w:val="left"/>
              <w:rPr>
                <w:sz w:val="15"/>
                <w:szCs w:val="15"/>
              </w:rPr>
            </w:pPr>
            <w:r w:rsidRPr="00D96063">
              <w:rPr>
                <w:sz w:val="15"/>
                <w:szCs w:val="15"/>
              </w:rPr>
              <w:t>Central bank financing of budget deficit</w:t>
            </w:r>
          </w:p>
        </w:tc>
        <w:tc>
          <w:tcPr>
            <w:tcW w:w="1967" w:type="dxa"/>
          </w:tcPr>
          <w:p w14:paraId="1B0D57D3" w14:textId="77777777" w:rsidR="00C15F2E" w:rsidRPr="00D96063" w:rsidRDefault="00C15F2E" w:rsidP="00BA758D">
            <w:pPr>
              <w:jc w:val="left"/>
              <w:rPr>
                <w:sz w:val="15"/>
                <w:szCs w:val="15"/>
              </w:rPr>
            </w:pPr>
            <w:r w:rsidRPr="00D96063">
              <w:rPr>
                <w:sz w:val="15"/>
                <w:szCs w:val="15"/>
              </w:rPr>
              <w:t>&lt;10% of previous year's tax revenue</w:t>
            </w:r>
          </w:p>
        </w:tc>
        <w:tc>
          <w:tcPr>
            <w:tcW w:w="1967" w:type="dxa"/>
          </w:tcPr>
          <w:p w14:paraId="69EF028E" w14:textId="77777777" w:rsidR="00C15F2E" w:rsidRPr="00D96063" w:rsidRDefault="00C15F2E" w:rsidP="00BA758D">
            <w:pPr>
              <w:jc w:val="left"/>
              <w:rPr>
                <w:sz w:val="15"/>
                <w:szCs w:val="15"/>
              </w:rPr>
            </w:pPr>
            <w:r w:rsidRPr="00D96063">
              <w:rPr>
                <w:sz w:val="15"/>
                <w:szCs w:val="15"/>
              </w:rPr>
              <w:t>Deficit financing</w:t>
            </w:r>
          </w:p>
          <w:p w14:paraId="1141F7AD" w14:textId="77777777" w:rsidR="00C15F2E" w:rsidRPr="00D96063" w:rsidRDefault="00C15F2E" w:rsidP="00BA758D">
            <w:pPr>
              <w:jc w:val="left"/>
              <w:rPr>
                <w:sz w:val="15"/>
                <w:szCs w:val="15"/>
              </w:rPr>
            </w:pPr>
            <w:r w:rsidRPr="00D96063">
              <w:rPr>
                <w:sz w:val="15"/>
                <w:szCs w:val="15"/>
              </w:rPr>
              <w:t>through the central bank (BCEAO) prohibited</w:t>
            </w:r>
          </w:p>
        </w:tc>
        <w:tc>
          <w:tcPr>
            <w:tcW w:w="1968" w:type="dxa"/>
          </w:tcPr>
          <w:p w14:paraId="2AC76584" w14:textId="77777777" w:rsidR="00C15F2E" w:rsidRPr="00D96063" w:rsidRDefault="00C15F2E" w:rsidP="00BA758D">
            <w:pPr>
              <w:jc w:val="left"/>
              <w:rPr>
                <w:sz w:val="15"/>
                <w:szCs w:val="15"/>
              </w:rPr>
            </w:pPr>
            <w:r w:rsidRPr="00D96063">
              <w:rPr>
                <w:sz w:val="15"/>
                <w:szCs w:val="15"/>
              </w:rPr>
              <w:t>&lt;10% of previous year's tax revenue</w:t>
            </w:r>
          </w:p>
        </w:tc>
      </w:tr>
      <w:tr w:rsidR="00C15F2E" w:rsidRPr="00D96063" w14:paraId="4CA3785B" w14:textId="77777777" w:rsidTr="00BA758D">
        <w:trPr>
          <w:cnfStyle w:val="000000010000" w:firstRow="0" w:lastRow="0" w:firstColumn="0" w:lastColumn="0" w:oddVBand="0" w:evenVBand="0" w:oddHBand="0" w:evenHBand="1" w:firstRowFirstColumn="0" w:firstRowLastColumn="0" w:lastRowFirstColumn="0" w:lastRowLastColumn="0"/>
        </w:trPr>
        <w:tc>
          <w:tcPr>
            <w:tcW w:w="3114" w:type="dxa"/>
          </w:tcPr>
          <w:p w14:paraId="721CC92B" w14:textId="77777777" w:rsidR="00C15F2E" w:rsidRPr="00D96063" w:rsidRDefault="00C15F2E" w:rsidP="002A3F9E">
            <w:pPr>
              <w:jc w:val="left"/>
              <w:rPr>
                <w:sz w:val="15"/>
                <w:szCs w:val="15"/>
              </w:rPr>
            </w:pPr>
            <w:r w:rsidRPr="00D96063">
              <w:rPr>
                <w:sz w:val="15"/>
                <w:szCs w:val="15"/>
              </w:rPr>
              <w:t>Gross external reserves</w:t>
            </w:r>
          </w:p>
        </w:tc>
        <w:tc>
          <w:tcPr>
            <w:tcW w:w="1967" w:type="dxa"/>
          </w:tcPr>
          <w:p w14:paraId="555E77CC" w14:textId="77777777" w:rsidR="00C15F2E" w:rsidRPr="00D96063" w:rsidRDefault="00C15F2E" w:rsidP="00BA758D">
            <w:pPr>
              <w:jc w:val="left"/>
              <w:rPr>
                <w:sz w:val="15"/>
                <w:szCs w:val="15"/>
              </w:rPr>
            </w:pPr>
            <w:r w:rsidRPr="00D96063">
              <w:rPr>
                <w:sz w:val="15"/>
                <w:szCs w:val="15"/>
              </w:rPr>
              <w:t>&gt;3 months of imports</w:t>
            </w:r>
          </w:p>
        </w:tc>
        <w:tc>
          <w:tcPr>
            <w:tcW w:w="1967" w:type="dxa"/>
          </w:tcPr>
          <w:p w14:paraId="2426ACA5" w14:textId="77777777" w:rsidR="00C15F2E" w:rsidRPr="00D96063" w:rsidRDefault="00C15F2E" w:rsidP="00BA758D">
            <w:pPr>
              <w:jc w:val="left"/>
              <w:rPr>
                <w:sz w:val="15"/>
                <w:szCs w:val="15"/>
              </w:rPr>
            </w:pPr>
            <w:r w:rsidRPr="00D96063">
              <w:rPr>
                <w:sz w:val="15"/>
                <w:szCs w:val="15"/>
              </w:rPr>
              <w:t>n.a.</w:t>
            </w:r>
          </w:p>
        </w:tc>
        <w:tc>
          <w:tcPr>
            <w:tcW w:w="1968" w:type="dxa"/>
          </w:tcPr>
          <w:p w14:paraId="7ABA001E" w14:textId="77777777" w:rsidR="00C15F2E" w:rsidRPr="00D96063" w:rsidRDefault="00C15F2E" w:rsidP="00BA758D">
            <w:pPr>
              <w:jc w:val="left"/>
              <w:rPr>
                <w:sz w:val="15"/>
                <w:szCs w:val="15"/>
              </w:rPr>
            </w:pPr>
            <w:r w:rsidRPr="00D96063">
              <w:rPr>
                <w:sz w:val="15"/>
                <w:szCs w:val="15"/>
              </w:rPr>
              <w:t>&gt;3 months of imports</w:t>
            </w:r>
          </w:p>
        </w:tc>
      </w:tr>
      <w:tr w:rsidR="00C15F2E" w:rsidRPr="00D96063" w14:paraId="726909DD" w14:textId="77777777" w:rsidTr="00BA758D">
        <w:tc>
          <w:tcPr>
            <w:tcW w:w="3114" w:type="dxa"/>
          </w:tcPr>
          <w:p w14:paraId="364D25D5" w14:textId="77777777" w:rsidR="00C15F2E" w:rsidRPr="00D96063" w:rsidRDefault="00C15F2E" w:rsidP="002A3F9E">
            <w:pPr>
              <w:jc w:val="left"/>
              <w:rPr>
                <w:sz w:val="15"/>
                <w:szCs w:val="15"/>
              </w:rPr>
            </w:pPr>
            <w:r w:rsidRPr="00D96063">
              <w:rPr>
                <w:sz w:val="15"/>
                <w:szCs w:val="15"/>
              </w:rPr>
              <w:t>Ratio of total public debt of the Union to its GDP</w:t>
            </w:r>
          </w:p>
        </w:tc>
        <w:tc>
          <w:tcPr>
            <w:tcW w:w="1967" w:type="dxa"/>
          </w:tcPr>
          <w:p w14:paraId="48B13000" w14:textId="77777777" w:rsidR="00C15F2E" w:rsidRPr="00D96063" w:rsidRDefault="00C15F2E" w:rsidP="00BA758D">
            <w:pPr>
              <w:jc w:val="left"/>
              <w:rPr>
                <w:sz w:val="15"/>
                <w:szCs w:val="15"/>
              </w:rPr>
            </w:pPr>
            <w:r w:rsidRPr="00D96063">
              <w:rPr>
                <w:sz w:val="15"/>
                <w:szCs w:val="15"/>
              </w:rPr>
              <w:t>n.a.</w:t>
            </w:r>
          </w:p>
        </w:tc>
        <w:tc>
          <w:tcPr>
            <w:tcW w:w="1967" w:type="dxa"/>
          </w:tcPr>
          <w:p w14:paraId="508B3EC0" w14:textId="77777777" w:rsidR="00C15F2E" w:rsidRPr="00D96063" w:rsidRDefault="00C15F2E" w:rsidP="00BA758D">
            <w:pPr>
              <w:jc w:val="left"/>
              <w:rPr>
                <w:sz w:val="15"/>
                <w:szCs w:val="15"/>
              </w:rPr>
            </w:pPr>
            <w:r w:rsidRPr="00D96063">
              <w:rPr>
                <w:sz w:val="15"/>
                <w:szCs w:val="15"/>
              </w:rPr>
              <w:t>&lt;70%</w:t>
            </w:r>
          </w:p>
        </w:tc>
        <w:tc>
          <w:tcPr>
            <w:tcW w:w="1968" w:type="dxa"/>
          </w:tcPr>
          <w:p w14:paraId="08F321EC" w14:textId="77777777" w:rsidR="00C15F2E" w:rsidRPr="00D96063" w:rsidRDefault="00C15F2E" w:rsidP="00BA758D">
            <w:pPr>
              <w:jc w:val="left"/>
              <w:rPr>
                <w:sz w:val="15"/>
                <w:szCs w:val="15"/>
              </w:rPr>
            </w:pPr>
            <w:r w:rsidRPr="00D96063">
              <w:rPr>
                <w:sz w:val="15"/>
                <w:szCs w:val="15"/>
              </w:rPr>
              <w:t>n.a.</w:t>
            </w:r>
          </w:p>
        </w:tc>
      </w:tr>
      <w:tr w:rsidR="00BA758D" w:rsidRPr="00D96063" w14:paraId="3E1FD762" w14:textId="77777777" w:rsidTr="0001054D">
        <w:trPr>
          <w:cnfStyle w:val="000000010000" w:firstRow="0" w:lastRow="0" w:firstColumn="0" w:lastColumn="0" w:oddVBand="0" w:evenVBand="0" w:oddHBand="0" w:evenHBand="1" w:firstRowFirstColumn="0" w:firstRowLastColumn="0" w:lastRowFirstColumn="0" w:lastRowLastColumn="0"/>
        </w:trPr>
        <w:tc>
          <w:tcPr>
            <w:tcW w:w="9016" w:type="dxa"/>
            <w:gridSpan w:val="4"/>
          </w:tcPr>
          <w:p w14:paraId="248C86E5" w14:textId="64928BB1" w:rsidR="00BA758D" w:rsidRPr="00D96063" w:rsidRDefault="00BA758D" w:rsidP="00BA758D">
            <w:pPr>
              <w:jc w:val="left"/>
              <w:rPr>
                <w:sz w:val="15"/>
                <w:szCs w:val="15"/>
              </w:rPr>
            </w:pPr>
            <w:r w:rsidRPr="00D96063">
              <w:rPr>
                <w:b/>
                <w:sz w:val="15"/>
                <w:szCs w:val="15"/>
              </w:rPr>
              <w:t>Secondary criteria</w:t>
            </w:r>
          </w:p>
        </w:tc>
      </w:tr>
      <w:tr w:rsidR="00C15F2E" w:rsidRPr="00D96063" w14:paraId="16E00179" w14:textId="77777777" w:rsidTr="00BA758D">
        <w:tc>
          <w:tcPr>
            <w:tcW w:w="3114" w:type="dxa"/>
          </w:tcPr>
          <w:p w14:paraId="66969C6C" w14:textId="77777777" w:rsidR="00C15F2E" w:rsidRPr="00D96063" w:rsidRDefault="00C15F2E" w:rsidP="002A3F9E">
            <w:pPr>
              <w:jc w:val="left"/>
              <w:rPr>
                <w:sz w:val="15"/>
                <w:szCs w:val="15"/>
              </w:rPr>
            </w:pPr>
            <w:r w:rsidRPr="00D96063">
              <w:rPr>
                <w:sz w:val="15"/>
                <w:szCs w:val="15"/>
              </w:rPr>
              <w:t>Ratio of public debt to GDP</w:t>
            </w:r>
          </w:p>
        </w:tc>
        <w:tc>
          <w:tcPr>
            <w:tcW w:w="1967" w:type="dxa"/>
          </w:tcPr>
          <w:p w14:paraId="3AFBC290" w14:textId="77777777" w:rsidR="00C15F2E" w:rsidRPr="00D96063" w:rsidRDefault="00C15F2E" w:rsidP="00BA758D">
            <w:pPr>
              <w:jc w:val="left"/>
              <w:rPr>
                <w:sz w:val="15"/>
                <w:szCs w:val="15"/>
              </w:rPr>
            </w:pPr>
            <w:r w:rsidRPr="00D96063">
              <w:rPr>
                <w:sz w:val="15"/>
                <w:szCs w:val="15"/>
              </w:rPr>
              <w:t>&lt;70%</w:t>
            </w:r>
          </w:p>
        </w:tc>
        <w:tc>
          <w:tcPr>
            <w:tcW w:w="1967" w:type="dxa"/>
          </w:tcPr>
          <w:p w14:paraId="6763D44B" w14:textId="77777777" w:rsidR="00C15F2E" w:rsidRPr="00D96063" w:rsidRDefault="00C15F2E" w:rsidP="00BA758D">
            <w:pPr>
              <w:jc w:val="left"/>
              <w:rPr>
                <w:sz w:val="15"/>
                <w:szCs w:val="15"/>
              </w:rPr>
            </w:pPr>
          </w:p>
        </w:tc>
        <w:tc>
          <w:tcPr>
            <w:tcW w:w="1968" w:type="dxa"/>
          </w:tcPr>
          <w:p w14:paraId="7BD4341C" w14:textId="77777777" w:rsidR="00C15F2E" w:rsidRPr="00D96063" w:rsidRDefault="00C15F2E" w:rsidP="00BA758D">
            <w:pPr>
              <w:jc w:val="left"/>
              <w:rPr>
                <w:sz w:val="15"/>
                <w:szCs w:val="15"/>
              </w:rPr>
            </w:pPr>
            <w:r w:rsidRPr="00D96063">
              <w:rPr>
                <w:sz w:val="15"/>
                <w:szCs w:val="15"/>
              </w:rPr>
              <w:t>&lt;70%</w:t>
            </w:r>
          </w:p>
        </w:tc>
      </w:tr>
      <w:tr w:rsidR="00C15F2E" w:rsidRPr="00D96063" w14:paraId="490C40FC" w14:textId="77777777" w:rsidTr="00BA758D">
        <w:trPr>
          <w:cnfStyle w:val="000000010000" w:firstRow="0" w:lastRow="0" w:firstColumn="0" w:lastColumn="0" w:oddVBand="0" w:evenVBand="0" w:oddHBand="0" w:evenHBand="1" w:firstRowFirstColumn="0" w:firstRowLastColumn="0" w:lastRowFirstColumn="0" w:lastRowLastColumn="0"/>
        </w:trPr>
        <w:tc>
          <w:tcPr>
            <w:tcW w:w="3114" w:type="dxa"/>
          </w:tcPr>
          <w:p w14:paraId="2AA536A1" w14:textId="77777777" w:rsidR="00C15F2E" w:rsidRPr="00D96063" w:rsidRDefault="00C15F2E" w:rsidP="002A3F9E">
            <w:pPr>
              <w:jc w:val="left"/>
              <w:rPr>
                <w:sz w:val="15"/>
                <w:szCs w:val="15"/>
              </w:rPr>
            </w:pPr>
            <w:r w:rsidRPr="00D96063">
              <w:rPr>
                <w:sz w:val="15"/>
                <w:szCs w:val="15"/>
              </w:rPr>
              <w:t>Nominal exchange rate variation</w:t>
            </w:r>
          </w:p>
        </w:tc>
        <w:tc>
          <w:tcPr>
            <w:tcW w:w="1967" w:type="dxa"/>
          </w:tcPr>
          <w:p w14:paraId="1F2D96C2" w14:textId="77777777" w:rsidR="00C15F2E" w:rsidRPr="00D96063" w:rsidRDefault="00C15F2E" w:rsidP="00BA758D">
            <w:pPr>
              <w:jc w:val="left"/>
              <w:rPr>
                <w:sz w:val="15"/>
                <w:szCs w:val="15"/>
              </w:rPr>
            </w:pPr>
            <w:r w:rsidRPr="00D96063">
              <w:rPr>
                <w:sz w:val="15"/>
                <w:szCs w:val="15"/>
              </w:rPr>
              <w:t>+/- 10%</w:t>
            </w:r>
          </w:p>
        </w:tc>
        <w:tc>
          <w:tcPr>
            <w:tcW w:w="1967" w:type="dxa"/>
          </w:tcPr>
          <w:p w14:paraId="32FD42E8" w14:textId="77777777" w:rsidR="00C15F2E" w:rsidRPr="00D96063" w:rsidRDefault="00C15F2E" w:rsidP="00BA758D">
            <w:pPr>
              <w:jc w:val="left"/>
              <w:rPr>
                <w:sz w:val="15"/>
                <w:szCs w:val="15"/>
              </w:rPr>
            </w:pPr>
            <w:r w:rsidRPr="00D96063">
              <w:rPr>
                <w:sz w:val="15"/>
                <w:szCs w:val="15"/>
              </w:rPr>
              <w:t>Peg to euro</w:t>
            </w:r>
          </w:p>
        </w:tc>
        <w:tc>
          <w:tcPr>
            <w:tcW w:w="1968" w:type="dxa"/>
          </w:tcPr>
          <w:p w14:paraId="38FC7B20" w14:textId="77777777" w:rsidR="00C15F2E" w:rsidRPr="00D96063" w:rsidRDefault="00C15F2E" w:rsidP="00BA758D">
            <w:pPr>
              <w:jc w:val="left"/>
              <w:rPr>
                <w:sz w:val="15"/>
                <w:szCs w:val="15"/>
              </w:rPr>
            </w:pPr>
            <w:r w:rsidRPr="00D96063">
              <w:rPr>
                <w:sz w:val="15"/>
                <w:szCs w:val="15"/>
              </w:rPr>
              <w:t>+/- 10%</w:t>
            </w:r>
          </w:p>
        </w:tc>
      </w:tr>
      <w:tr w:rsidR="00C15F2E" w:rsidRPr="00D96063" w14:paraId="121A0164" w14:textId="77777777" w:rsidTr="00BA758D">
        <w:tc>
          <w:tcPr>
            <w:tcW w:w="3114" w:type="dxa"/>
          </w:tcPr>
          <w:p w14:paraId="7625CC86" w14:textId="77777777" w:rsidR="00C15F2E" w:rsidRPr="00D96063" w:rsidRDefault="00C15F2E" w:rsidP="002A3F9E">
            <w:pPr>
              <w:jc w:val="left"/>
              <w:rPr>
                <w:sz w:val="15"/>
                <w:szCs w:val="15"/>
              </w:rPr>
            </w:pPr>
            <w:r w:rsidRPr="00D96063">
              <w:rPr>
                <w:sz w:val="15"/>
                <w:szCs w:val="15"/>
              </w:rPr>
              <w:t>Ratio of total wage bill to tax revenue</w:t>
            </w:r>
          </w:p>
        </w:tc>
        <w:tc>
          <w:tcPr>
            <w:tcW w:w="1967" w:type="dxa"/>
          </w:tcPr>
          <w:p w14:paraId="23242DBD" w14:textId="77777777" w:rsidR="00C15F2E" w:rsidRPr="00D96063" w:rsidRDefault="00C15F2E" w:rsidP="00BA758D">
            <w:pPr>
              <w:jc w:val="left"/>
              <w:rPr>
                <w:sz w:val="15"/>
                <w:szCs w:val="15"/>
              </w:rPr>
            </w:pPr>
            <w:r w:rsidRPr="00D96063">
              <w:rPr>
                <w:sz w:val="15"/>
                <w:szCs w:val="15"/>
              </w:rPr>
              <w:t>n.a.</w:t>
            </w:r>
          </w:p>
        </w:tc>
        <w:tc>
          <w:tcPr>
            <w:tcW w:w="1967" w:type="dxa"/>
          </w:tcPr>
          <w:p w14:paraId="3DFB6548" w14:textId="77777777" w:rsidR="00C15F2E" w:rsidRPr="00D96063" w:rsidRDefault="00C15F2E" w:rsidP="00BA758D">
            <w:pPr>
              <w:jc w:val="left"/>
              <w:rPr>
                <w:sz w:val="15"/>
                <w:szCs w:val="15"/>
              </w:rPr>
            </w:pPr>
            <w:r w:rsidRPr="00D96063">
              <w:rPr>
                <w:sz w:val="15"/>
                <w:szCs w:val="15"/>
              </w:rPr>
              <w:t>&lt;35%</w:t>
            </w:r>
          </w:p>
        </w:tc>
        <w:tc>
          <w:tcPr>
            <w:tcW w:w="1968" w:type="dxa"/>
          </w:tcPr>
          <w:p w14:paraId="706948C8" w14:textId="77777777" w:rsidR="00C15F2E" w:rsidRPr="00D96063" w:rsidRDefault="00C15F2E" w:rsidP="00BA758D">
            <w:pPr>
              <w:jc w:val="left"/>
              <w:rPr>
                <w:sz w:val="15"/>
                <w:szCs w:val="15"/>
              </w:rPr>
            </w:pPr>
            <w:r w:rsidRPr="00D96063">
              <w:rPr>
                <w:sz w:val="15"/>
                <w:szCs w:val="15"/>
              </w:rPr>
              <w:t>n.a.</w:t>
            </w:r>
          </w:p>
        </w:tc>
      </w:tr>
      <w:tr w:rsidR="00C15F2E" w:rsidRPr="00D96063" w14:paraId="40110357" w14:textId="77777777" w:rsidTr="00BA758D">
        <w:trPr>
          <w:cnfStyle w:val="000000010000" w:firstRow="0" w:lastRow="0" w:firstColumn="0" w:lastColumn="0" w:oddVBand="0" w:evenVBand="0" w:oddHBand="0" w:evenHBand="1" w:firstRowFirstColumn="0" w:firstRowLastColumn="0" w:lastRowFirstColumn="0" w:lastRowLastColumn="0"/>
        </w:trPr>
        <w:tc>
          <w:tcPr>
            <w:tcW w:w="3114" w:type="dxa"/>
          </w:tcPr>
          <w:p w14:paraId="0AB41FFD" w14:textId="77777777" w:rsidR="00C15F2E" w:rsidRPr="00D96063" w:rsidRDefault="00C15F2E" w:rsidP="002A3F9E">
            <w:pPr>
              <w:jc w:val="left"/>
              <w:rPr>
                <w:sz w:val="15"/>
                <w:szCs w:val="15"/>
              </w:rPr>
            </w:pPr>
            <w:r w:rsidRPr="00D96063">
              <w:rPr>
                <w:sz w:val="15"/>
                <w:szCs w:val="15"/>
              </w:rPr>
              <w:t>Ratio of tax revenue to GDP</w:t>
            </w:r>
          </w:p>
        </w:tc>
        <w:tc>
          <w:tcPr>
            <w:tcW w:w="1967" w:type="dxa"/>
          </w:tcPr>
          <w:p w14:paraId="3B3BEB67" w14:textId="77777777" w:rsidR="00C15F2E" w:rsidRPr="00D96063" w:rsidRDefault="00C15F2E" w:rsidP="00BA758D">
            <w:pPr>
              <w:jc w:val="left"/>
              <w:rPr>
                <w:sz w:val="15"/>
                <w:szCs w:val="15"/>
              </w:rPr>
            </w:pPr>
            <w:r w:rsidRPr="00D96063">
              <w:rPr>
                <w:sz w:val="15"/>
                <w:szCs w:val="15"/>
              </w:rPr>
              <w:t>n.a.</w:t>
            </w:r>
          </w:p>
        </w:tc>
        <w:tc>
          <w:tcPr>
            <w:tcW w:w="1967" w:type="dxa"/>
          </w:tcPr>
          <w:p w14:paraId="04C294A1" w14:textId="77777777" w:rsidR="00C15F2E" w:rsidRPr="00D96063" w:rsidRDefault="00C15F2E" w:rsidP="00BA758D">
            <w:pPr>
              <w:jc w:val="left"/>
              <w:rPr>
                <w:sz w:val="15"/>
                <w:szCs w:val="15"/>
              </w:rPr>
            </w:pPr>
            <w:r w:rsidRPr="00D96063">
              <w:rPr>
                <w:sz w:val="15"/>
                <w:szCs w:val="15"/>
              </w:rPr>
              <w:t>&gt;20%</w:t>
            </w:r>
          </w:p>
        </w:tc>
        <w:tc>
          <w:tcPr>
            <w:tcW w:w="1968" w:type="dxa"/>
          </w:tcPr>
          <w:p w14:paraId="37CC9F88" w14:textId="77777777" w:rsidR="00C15F2E" w:rsidRPr="00D96063" w:rsidRDefault="00C15F2E" w:rsidP="00BA758D">
            <w:pPr>
              <w:jc w:val="left"/>
              <w:rPr>
                <w:sz w:val="15"/>
                <w:szCs w:val="15"/>
              </w:rPr>
            </w:pPr>
            <w:r w:rsidRPr="00D96063">
              <w:rPr>
                <w:sz w:val="15"/>
                <w:szCs w:val="15"/>
              </w:rPr>
              <w:t>n.a.</w:t>
            </w:r>
          </w:p>
        </w:tc>
      </w:tr>
    </w:tbl>
    <w:p w14:paraId="67B9FFC3" w14:textId="77777777" w:rsidR="00C15F2E" w:rsidRPr="00D96063" w:rsidRDefault="00C15F2E" w:rsidP="00CB59D4">
      <w:pPr>
        <w:pStyle w:val="NoteText"/>
        <w:spacing w:before="120" w:after="120"/>
      </w:pPr>
      <w:r w:rsidRPr="00D96063">
        <w:t>n.a.</w:t>
      </w:r>
      <w:r w:rsidRPr="00D96063">
        <w:tab/>
        <w:t>Not applicable.</w:t>
      </w:r>
    </w:p>
    <w:p w14:paraId="6595CFE7" w14:textId="37608A17" w:rsidR="00C15F2E" w:rsidRPr="00D96063" w:rsidRDefault="00AA5626" w:rsidP="00CB59D4">
      <w:pPr>
        <w:pStyle w:val="NoteText"/>
        <w:spacing w:before="120"/>
      </w:pPr>
      <w:r>
        <w:t>a</w:t>
      </w:r>
      <w:r w:rsidR="00C15F2E" w:rsidRPr="00D96063">
        <w:tab/>
        <w:t>ECOWAS Supplementary Act A/SA.01/12/15 (n 1).</w:t>
      </w:r>
    </w:p>
    <w:p w14:paraId="3F55B89E" w14:textId="0D9E6881" w:rsidR="00C15F2E" w:rsidRPr="00D96063" w:rsidRDefault="00AA5626" w:rsidP="00CB59D4">
      <w:pPr>
        <w:pStyle w:val="NoteText"/>
      </w:pPr>
      <w:r>
        <w:t>b</w:t>
      </w:r>
      <w:r w:rsidR="00C15F2E" w:rsidRPr="00D96063">
        <w:tab/>
        <w:t xml:space="preserve">Additional Act N.01/2015/CCEG/UEMOA (n 67), Articles 6, 7, and 8. Viewed at: </w:t>
      </w:r>
      <w:hyperlink r:id="rId52" w:history="1">
        <w:r w:rsidR="00C15F2E" w:rsidRPr="00D96063">
          <w:rPr>
            <w:rStyle w:val="Hyperlink"/>
          </w:rPr>
          <w:t>http://www.uemoa.int/sites/default/files/bibliotheque/bulletin_officiel_2019_vf.pdf</w:t>
        </w:r>
      </w:hyperlink>
      <w:r w:rsidR="00C15F2E" w:rsidRPr="00D96063">
        <w:rPr>
          <w:rStyle w:val="Hyperlink"/>
        </w:rPr>
        <w:t>.</w:t>
      </w:r>
    </w:p>
    <w:p w14:paraId="56986E39" w14:textId="111BCFAB" w:rsidR="00C15F2E" w:rsidRPr="00D96063" w:rsidRDefault="00AA5626" w:rsidP="00CB59D4">
      <w:pPr>
        <w:pStyle w:val="NoteText"/>
      </w:pPr>
      <w:r>
        <w:t>c</w:t>
      </w:r>
      <w:r w:rsidR="00C15F2E" w:rsidRPr="00D96063">
        <w:tab/>
        <w:t>Accra Declaration (n 53), Articles 3 and 4.</w:t>
      </w:r>
    </w:p>
    <w:p w14:paraId="30C95EF8" w14:textId="77777777" w:rsidR="00C15F2E" w:rsidRPr="00D96063" w:rsidRDefault="00C15F2E" w:rsidP="00CB59D4">
      <w:pPr>
        <w:pStyle w:val="NoteText"/>
        <w:spacing w:before="120" w:after="240"/>
      </w:pPr>
      <w:r w:rsidRPr="00D96063">
        <w:t>Source:</w:t>
      </w:r>
      <w:r w:rsidRPr="00D96063">
        <w:tab/>
        <w:t xml:space="preserve">Okwor, K.O.D. (n.d.), "Legal and Institutional Framework for Monetary Integration in West Africa". Viewed at: </w:t>
      </w:r>
      <w:hyperlink r:id="rId53" w:history="1">
        <w:r w:rsidRPr="00D96063">
          <w:rPr>
            <w:rStyle w:val="Hyperlink"/>
          </w:rPr>
          <w:t>https://scholar.harvard.edu/files/kenneth-okwor/files/legal_and_institutional_framework_for_monetary_integration_in_west_africa.pdf</w:t>
        </w:r>
      </w:hyperlink>
      <w:r w:rsidRPr="007A1409">
        <w:rPr>
          <w:rStyle w:val="Hyperlink"/>
          <w:color w:val="auto"/>
          <w:u w:val="none"/>
        </w:rPr>
        <w:t>.</w:t>
      </w:r>
    </w:p>
    <w:p w14:paraId="384D16E7" w14:textId="77777777" w:rsidR="00C15F2E" w:rsidRPr="00D96063" w:rsidRDefault="00C15F2E" w:rsidP="003758E5">
      <w:pPr>
        <w:pStyle w:val="Heading3"/>
        <w:numPr>
          <w:ilvl w:val="2"/>
          <w:numId w:val="20"/>
        </w:numPr>
      </w:pPr>
      <w:bookmarkStart w:id="52" w:name="_Toc103607651"/>
      <w:r w:rsidRPr="00D96063">
        <w:t>African Union</w:t>
      </w:r>
      <w:bookmarkEnd w:id="52"/>
    </w:p>
    <w:p w14:paraId="00746859" w14:textId="514954A6" w:rsidR="00C15F2E" w:rsidRPr="00D96063" w:rsidRDefault="00C15F2E" w:rsidP="003758E5">
      <w:pPr>
        <w:pStyle w:val="BodyText"/>
        <w:numPr>
          <w:ilvl w:val="6"/>
          <w:numId w:val="16"/>
        </w:numPr>
      </w:pPr>
      <w:r w:rsidRPr="00D96063">
        <w:t>Ghana is a founding member of the African Union (form</w:t>
      </w:r>
      <w:r w:rsidR="00396F7B">
        <w:t>erly</w:t>
      </w:r>
      <w:r w:rsidRPr="00D96063">
        <w:t xml:space="preserve"> Organization of African Unity). The Abuja Treaty entered into force in 1994 and paved the way for the establishment of the African Continental Free Trade Area (AfCFTA), which is among the flagship projects of Agenda 2063 of the African Union. Its objectives are to create a single market for goods and services and lay the foundation for the establishment of a continental customs union at a later stage.</w:t>
      </w:r>
      <w:r w:rsidRPr="00D96063">
        <w:rPr>
          <w:rStyle w:val="FootnoteReference"/>
        </w:rPr>
        <w:footnoteReference w:id="27"/>
      </w:r>
      <w:r w:rsidRPr="00D96063">
        <w:t xml:space="preserve"> On 21 March 2018, the Agreement </w:t>
      </w:r>
      <w:r w:rsidR="00D949B1">
        <w:t>E</w:t>
      </w:r>
      <w:r w:rsidRPr="00D96063">
        <w:t xml:space="preserve">stablishing the AfCFTA was signed in Kigali; Ghana ratified the </w:t>
      </w:r>
      <w:r w:rsidRPr="00D96063">
        <w:lastRenderedPageBreak/>
        <w:t>AfCFTA on 7 May 2018</w:t>
      </w:r>
      <w:r w:rsidRPr="00D96063">
        <w:rPr>
          <w:rStyle w:val="FootnoteReference"/>
        </w:rPr>
        <w:footnoteReference w:id="28"/>
      </w:r>
      <w:r w:rsidRPr="00D96063">
        <w:t>; it entered into force on 30 May 2019, but trading under AfCFTA rules commenced on 1 January 2021. The AfCFTA is yet to be notified to the WTO.</w:t>
      </w:r>
    </w:p>
    <w:p w14:paraId="0CD3DC4D" w14:textId="77777777" w:rsidR="00C15F2E" w:rsidRPr="00D96063" w:rsidRDefault="00C15F2E" w:rsidP="003758E5">
      <w:pPr>
        <w:pStyle w:val="Heading3"/>
        <w:numPr>
          <w:ilvl w:val="2"/>
          <w:numId w:val="20"/>
        </w:numPr>
      </w:pPr>
      <w:bookmarkStart w:id="53" w:name="_Toc103607652"/>
      <w:r w:rsidRPr="00D96063">
        <w:t>Economic Partnership Agreement (EPA) with the European Union</w:t>
      </w:r>
      <w:bookmarkEnd w:id="53"/>
    </w:p>
    <w:p w14:paraId="36B731C4" w14:textId="77777777" w:rsidR="00C15F2E" w:rsidRPr="00D96063" w:rsidRDefault="00C15F2E" w:rsidP="003758E5">
      <w:pPr>
        <w:pStyle w:val="BodyText"/>
        <w:numPr>
          <w:ilvl w:val="6"/>
          <w:numId w:val="16"/>
        </w:numPr>
      </w:pPr>
      <w:r w:rsidRPr="00D96063">
        <w:t>Ghana signed the Stepping Stone EPA with the European Union on 28 July 2016.</w:t>
      </w:r>
      <w:r w:rsidRPr="00D96063">
        <w:rPr>
          <w:rStyle w:val="FootnoteReference"/>
        </w:rPr>
        <w:footnoteReference w:id="29"/>
      </w:r>
      <w:r w:rsidRPr="00D96063">
        <w:t xml:space="preserve"> The EPA entered into force in December 2016 and was notified to the WTO on 3 April 2017 under GATT Article XXIV. Ghana's trade with the European Union is sizeable, as the European Union accounts for close to 19% of Ghana's total imports and 21% of its exports (2019).</w:t>
      </w:r>
      <w:r w:rsidRPr="00D96063">
        <w:rPr>
          <w:rStyle w:val="FootnoteReference"/>
        </w:rPr>
        <w:footnoteReference w:id="30"/>
      </w:r>
      <w:r w:rsidRPr="00D96063">
        <w:t xml:space="preserve"> Under the EPA, the European Union provides duty-free, quota-free access for Ghana's exports to the European Union from the first day of application on all products except for those listed in Annex 1 to the Agreement: arms and ammunition, rice (HS heading 1006), and sugar (HS heading 1701). In addition, tariffs on bananas under HS 08030019 were not liberalized for exports to the outermost regions of the European Union and tariffs on sugar were not eliminated on 1 October 2009 on imports by the French Overseas Departments. These provisions are to remain in force for 10 years and would be extended by another 10 years unless the Parties agreed otherwise.</w:t>
      </w:r>
      <w:r w:rsidRPr="00D96063">
        <w:rPr>
          <w:rStyle w:val="FootnoteReference"/>
        </w:rPr>
        <w:footnoteReference w:id="31"/>
      </w:r>
    </w:p>
    <w:p w14:paraId="2CFD0F99" w14:textId="77777777" w:rsidR="00C15F2E" w:rsidRPr="00D96063" w:rsidRDefault="00C15F2E" w:rsidP="003758E5">
      <w:pPr>
        <w:pStyle w:val="BodyText"/>
        <w:numPr>
          <w:ilvl w:val="6"/>
          <w:numId w:val="16"/>
        </w:numPr>
      </w:pPr>
      <w:bookmarkStart w:id="54" w:name="_Hlk98239483"/>
      <w:r w:rsidRPr="00D96063">
        <w:t>The implementation of Ghana's tariff liberalization under the EPA was delayed and started in July 2021, to be phased in by 2029. Products in Group D (which include cotton, pearls and precious stones, textiles, olive oil and table olives, meat, crustaceans, milk and milk products, coffee, cocoa, tobacco, fruits, cement, beauty and make-up products, rubber and its articles, and automobiles) are excluded from tariff liberalization.</w:t>
      </w:r>
    </w:p>
    <w:bookmarkEnd w:id="54"/>
    <w:p w14:paraId="034C2538" w14:textId="77777777" w:rsidR="00C15F2E" w:rsidRPr="00D96063" w:rsidRDefault="00C15F2E" w:rsidP="003758E5">
      <w:pPr>
        <w:pStyle w:val="BodyText"/>
        <w:numPr>
          <w:ilvl w:val="6"/>
          <w:numId w:val="16"/>
        </w:numPr>
      </w:pPr>
      <w:r w:rsidRPr="00D96063">
        <w:t>The Agreement contains a commitment to continue negotiations (Article 71). Moreover, the Agreement is to be superseded by an EPA concluded at the regional level with the European Union upon the latter's entry into force (Article 75). In fact, on 30 June 2014, the European Union initialled an EPA with the 16 ECOWAS States and Mauritania.</w:t>
      </w:r>
      <w:r w:rsidRPr="00D96063">
        <w:rPr>
          <w:rStyle w:val="FootnoteReference"/>
        </w:rPr>
        <w:footnoteReference w:id="32"/>
      </w:r>
      <w:r w:rsidRPr="00D96063">
        <w:t xml:space="preserve"> The European Union-West Africa EPA is expected to replace the Ghana-EU EPA when it enters into force.</w:t>
      </w:r>
    </w:p>
    <w:p w14:paraId="1B3C9782" w14:textId="77777777" w:rsidR="00C15F2E" w:rsidRPr="00D96063" w:rsidRDefault="00C15F2E" w:rsidP="003758E5">
      <w:pPr>
        <w:pStyle w:val="Heading3"/>
        <w:numPr>
          <w:ilvl w:val="2"/>
          <w:numId w:val="20"/>
        </w:numPr>
      </w:pPr>
      <w:bookmarkStart w:id="55" w:name="_Toc103607653"/>
      <w:r w:rsidRPr="00D96063">
        <w:t>UK</w:t>
      </w:r>
      <w:r w:rsidRPr="00D96063">
        <w:noBreakHyphen/>
        <w:t>Ghana EPA</w:t>
      </w:r>
      <w:bookmarkEnd w:id="55"/>
    </w:p>
    <w:p w14:paraId="7E8D189D" w14:textId="77777777" w:rsidR="00C15F2E" w:rsidRPr="00D96063" w:rsidRDefault="00C15F2E" w:rsidP="003758E5">
      <w:pPr>
        <w:pStyle w:val="BodyText"/>
        <w:numPr>
          <w:ilvl w:val="6"/>
          <w:numId w:val="16"/>
        </w:numPr>
      </w:pPr>
      <w:r w:rsidRPr="00D96063">
        <w:rPr>
          <w:shd w:val="clear" w:color="auto" w:fill="FFFFFF"/>
        </w:rPr>
        <w:t xml:space="preserve">Following the United Kingdom's withdrawal from </w:t>
      </w:r>
      <w:r w:rsidRPr="00D96063">
        <w:t>the European Union</w:t>
      </w:r>
      <w:r w:rsidRPr="00D96063">
        <w:rPr>
          <w:shd w:val="clear" w:color="auto" w:fill="FFFFFF"/>
        </w:rPr>
        <w:t xml:space="preserve">, Ghana signed an Interim EPA with the United Kingdom and Northern Ireland on 2 March 2021, which replicates </w:t>
      </w:r>
      <w:r w:rsidRPr="00D96063">
        <w:t>the European Union</w:t>
      </w:r>
      <w:r w:rsidRPr="00D96063">
        <w:rPr>
          <w:shd w:val="clear" w:color="auto" w:fill="FFFFFF"/>
        </w:rPr>
        <w:t>-Ghana Agreement.</w:t>
      </w:r>
      <w:r w:rsidRPr="00D96063">
        <w:rPr>
          <w:rStyle w:val="FootnoteReference"/>
          <w:szCs w:val="18"/>
          <w:shd w:val="clear" w:color="auto" w:fill="FFFFFF"/>
        </w:rPr>
        <w:footnoteReference w:id="33"/>
      </w:r>
      <w:r w:rsidRPr="00D96063">
        <w:rPr>
          <w:shd w:val="clear" w:color="auto" w:fill="FFFFFF"/>
        </w:rPr>
        <w:t xml:space="preserve"> This new interim EPA was notified to the WTO on 4 March 2021 and entered into force on 5 March 2021.</w:t>
      </w:r>
    </w:p>
    <w:p w14:paraId="05F62D55" w14:textId="77777777" w:rsidR="00C15F2E" w:rsidRPr="00D96063" w:rsidRDefault="00C15F2E" w:rsidP="003758E5">
      <w:pPr>
        <w:pStyle w:val="Heading3"/>
        <w:numPr>
          <w:ilvl w:val="2"/>
          <w:numId w:val="20"/>
        </w:numPr>
      </w:pPr>
      <w:bookmarkStart w:id="56" w:name="_Toc103607654"/>
      <w:r w:rsidRPr="00D96063">
        <w:t>African Growth and Opportunity Act (AGOA)</w:t>
      </w:r>
      <w:bookmarkEnd w:id="56"/>
    </w:p>
    <w:p w14:paraId="5035D7BD" w14:textId="77777777" w:rsidR="00C15F2E" w:rsidRPr="00D96063" w:rsidRDefault="00C15F2E" w:rsidP="003758E5">
      <w:pPr>
        <w:pStyle w:val="BodyText"/>
        <w:numPr>
          <w:ilvl w:val="6"/>
          <w:numId w:val="16"/>
        </w:numPr>
      </w:pPr>
      <w:r w:rsidRPr="00D96063">
        <w:t>Ghana was among the 34 countries initially declared eligible for the programme established by the United States under the AGOA in October 2000. Eligible countries are granted duty- and quota-free access to the US market for a range of goods, including selected agricultural and textile products. The agreement expired on 30 September 2015, and was extended to 30 September 2025, pursuant to the AGOA Extension and Enhancement Act of 2015.</w:t>
      </w:r>
      <w:r w:rsidRPr="00D96063">
        <w:rPr>
          <w:rStyle w:val="FootnoteReference"/>
        </w:rPr>
        <w:footnoteReference w:id="34"/>
      </w:r>
      <w:r w:rsidRPr="00D96063">
        <w:t xml:space="preserve"> The US merchandise imports from Ghana totalled USD 943 million in 2019 and were concentrated on mineral fuels (USD 614 million), </w:t>
      </w:r>
      <w:r w:rsidRPr="00D96063">
        <w:lastRenderedPageBreak/>
        <w:t>cocoa (USD 225 million), rubber (USD 21 million), knit apparel (USD 17 million), and vegetables (cassava) (USD 14 million).</w:t>
      </w:r>
      <w:r w:rsidRPr="00D96063">
        <w:rPr>
          <w:rStyle w:val="FootnoteReference"/>
        </w:rPr>
        <w:footnoteReference w:id="35"/>
      </w:r>
    </w:p>
    <w:p w14:paraId="3CA260E7" w14:textId="77777777" w:rsidR="00C15F2E" w:rsidRPr="00D96063" w:rsidRDefault="00C15F2E" w:rsidP="003758E5">
      <w:pPr>
        <w:pStyle w:val="Heading2"/>
        <w:numPr>
          <w:ilvl w:val="1"/>
          <w:numId w:val="20"/>
        </w:numPr>
      </w:pPr>
      <w:bookmarkStart w:id="57" w:name="_Toc103607655"/>
      <w:r w:rsidRPr="00D96063">
        <w:t>Foreign Investment Regime</w:t>
      </w:r>
      <w:bookmarkEnd w:id="57"/>
    </w:p>
    <w:p w14:paraId="3C6C3F55" w14:textId="77777777" w:rsidR="00C15F2E" w:rsidRPr="00D96063" w:rsidRDefault="00C15F2E" w:rsidP="003758E5">
      <w:pPr>
        <w:pStyle w:val="Heading3"/>
        <w:numPr>
          <w:ilvl w:val="2"/>
          <w:numId w:val="20"/>
        </w:numPr>
      </w:pPr>
      <w:bookmarkStart w:id="58" w:name="_Toc103607656"/>
      <w:r w:rsidRPr="00D96063">
        <w:rPr>
          <w:lang w:eastAsia="en-GB"/>
        </w:rPr>
        <w:t>Overview</w:t>
      </w:r>
      <w:bookmarkEnd w:id="58"/>
    </w:p>
    <w:p w14:paraId="1FC66950" w14:textId="77777777" w:rsidR="00C15F2E" w:rsidRPr="00D96063" w:rsidRDefault="00C15F2E" w:rsidP="003758E5">
      <w:pPr>
        <w:pStyle w:val="BodyText"/>
        <w:numPr>
          <w:ilvl w:val="6"/>
          <w:numId w:val="16"/>
        </w:numPr>
      </w:pPr>
      <w:r w:rsidRPr="00D96063">
        <w:t>Ghana continued to record significant foreign direct investment until 2018 (Section 1.3.3), reflecting mainly investment opportunities in services and manufacturing. Investment promotion is a declared priority of the Government. As noted by UNCTAD in its Investment Policy Review of Ghana in 2003, foreign investors enjoy fundamental rights, guarantees, and protection, and benefit from the rule of law enforced by the judiciary and enshrined in Ghana's Constitution.</w:t>
      </w:r>
      <w:r w:rsidRPr="00D96063">
        <w:rPr>
          <w:rStyle w:val="FootnoteReference"/>
        </w:rPr>
        <w:footnoteReference w:id="36"/>
      </w:r>
    </w:p>
    <w:p w14:paraId="19C2D5D7" w14:textId="352DE749" w:rsidR="00C15F2E" w:rsidRPr="00D96063" w:rsidRDefault="00C15F2E" w:rsidP="003758E5">
      <w:pPr>
        <w:pStyle w:val="BodyText"/>
        <w:numPr>
          <w:ilvl w:val="6"/>
          <w:numId w:val="16"/>
        </w:numPr>
      </w:pPr>
      <w:r w:rsidRPr="00D96063">
        <w:t>The Ghana Investment Promotion Centre (GIPC) Act of 2013 (Act 865) constitutes the framework legislation for domestic and foreign investment in Ghana, together with the Technology Transfer Regulations of 1992 (L.I. 1547), and the Free Zones investment regime described in Section</w:t>
      </w:r>
      <w:r w:rsidR="004E0DF2">
        <w:t> </w:t>
      </w:r>
      <w:r w:rsidRPr="00D96063">
        <w:t>3.2.6.5, as its benefits are in principle conditional on production being exported.</w:t>
      </w:r>
      <w:r w:rsidRPr="00D96063">
        <w:rPr>
          <w:rStyle w:val="FootnoteReference"/>
        </w:rPr>
        <w:footnoteReference w:id="37"/>
      </w:r>
      <w:r w:rsidRPr="00D96063">
        <w:t xml:space="preserve"> The GIPC Act was under review in December 2021 to, </w:t>
      </w:r>
      <w:r w:rsidRPr="00D96063">
        <w:rPr>
          <w:i/>
        </w:rPr>
        <w:t>inter alia,</w:t>
      </w:r>
      <w:r w:rsidRPr="00D96063">
        <w:t xml:space="preserve"> bring it in line with global best practice and with provisions of Ghana's international investment agreements, such as the African Continental Free Trade Agreement. The Board of the GIPC may, in consultation with the appropriate government agencies and with the approval of the President, identify strategic and major investments and grant them benefits and incentives in addition to those incentives available to any enterprise under Ghana's tax, customs, and other laws described below.</w:t>
      </w:r>
    </w:p>
    <w:p w14:paraId="62926049" w14:textId="77777777" w:rsidR="00C15F2E" w:rsidRPr="00D96063" w:rsidRDefault="00C15F2E" w:rsidP="003758E5">
      <w:pPr>
        <w:pStyle w:val="BodyText"/>
        <w:numPr>
          <w:ilvl w:val="6"/>
          <w:numId w:val="16"/>
        </w:numPr>
      </w:pPr>
      <w:r w:rsidRPr="00D96063">
        <w:t>All new companies, whether locally or foreign-owned, must first register with the Registrar General's Department (RGD). All new companies that are not wholly Ghanaian-owned must also register with the GIPC, which takes up to five working days and must be renewed every two years. Investors are also required to register with the District Assembly, where they are to operate (Local Government Act 462, Section 34). The District Assembly delivers a business operating permit, which must be renewed annually.</w:t>
      </w:r>
    </w:p>
    <w:p w14:paraId="2484BFCA" w14:textId="77777777" w:rsidR="00C15F2E" w:rsidRPr="00D96063" w:rsidRDefault="00C15F2E" w:rsidP="003758E5">
      <w:pPr>
        <w:numPr>
          <w:ilvl w:val="6"/>
          <w:numId w:val="18"/>
        </w:numPr>
        <w:spacing w:after="240"/>
      </w:pPr>
      <w:r w:rsidRPr="00D96063">
        <w:t>Technology transfer agreements (TTAs) may be concluded between Ghanaian companies and foreign companies providing services or technology transfer; these TTAs are voluntary agreements concluded for up to 10 years (renewable), and subject to the approval and registration of the GIPC in order to be effective. The following fees are payable by the transferee (Ghanaian company) to the transferor (foreign company):</w:t>
      </w:r>
    </w:p>
    <w:p w14:paraId="13BE781C" w14:textId="77777777" w:rsidR="00C15F2E" w:rsidRPr="00D96063" w:rsidRDefault="00C15F2E" w:rsidP="003758E5">
      <w:pPr>
        <w:pStyle w:val="ListBullet2"/>
        <w:numPr>
          <w:ilvl w:val="1"/>
          <w:numId w:val="9"/>
        </w:numPr>
      </w:pPr>
      <w:r w:rsidRPr="00D96063">
        <w:t>management services fee of at most 2% of before-profit tax; however, the fees must be reduced pro rata if the transferor owns 60% or more of the share capital of the transferee company. Where the transferor company fully (100%) owns the transferee company, no fees will be charged for management services;</w:t>
      </w:r>
    </w:p>
    <w:p w14:paraId="0D1287D7" w14:textId="77777777" w:rsidR="00C15F2E" w:rsidRPr="00D96063" w:rsidRDefault="00C15F2E" w:rsidP="003758E5">
      <w:pPr>
        <w:pStyle w:val="ListBullet2"/>
        <w:numPr>
          <w:ilvl w:val="1"/>
          <w:numId w:val="9"/>
        </w:numPr>
      </w:pPr>
      <w:r w:rsidRPr="00D96063">
        <w:t>royalties – not exceeding 6% of net sales;</w:t>
      </w:r>
    </w:p>
    <w:p w14:paraId="1AF20964" w14:textId="77777777" w:rsidR="00C15F2E" w:rsidRPr="00D96063" w:rsidRDefault="00C15F2E" w:rsidP="003758E5">
      <w:pPr>
        <w:pStyle w:val="ListBullet2"/>
        <w:numPr>
          <w:ilvl w:val="1"/>
          <w:numId w:val="9"/>
        </w:numPr>
      </w:pPr>
      <w:r w:rsidRPr="00D96063">
        <w:t>technical services only – not exceeding 3% of net sales;</w:t>
      </w:r>
    </w:p>
    <w:p w14:paraId="525F0357" w14:textId="77777777" w:rsidR="00C15F2E" w:rsidRPr="00D96063" w:rsidRDefault="00C15F2E" w:rsidP="003758E5">
      <w:pPr>
        <w:pStyle w:val="ListBullet2"/>
        <w:numPr>
          <w:ilvl w:val="1"/>
          <w:numId w:val="9"/>
        </w:numPr>
      </w:pPr>
      <w:r w:rsidRPr="00D96063">
        <w:t>technical services and know-how – not exceeding 5% of net sales; and</w:t>
      </w:r>
    </w:p>
    <w:p w14:paraId="220FFB6C" w14:textId="77777777" w:rsidR="00C15F2E" w:rsidRPr="00D96063" w:rsidRDefault="00C15F2E" w:rsidP="003758E5">
      <w:pPr>
        <w:pStyle w:val="ListBullet2"/>
        <w:numPr>
          <w:ilvl w:val="1"/>
          <w:numId w:val="9"/>
        </w:numPr>
      </w:pPr>
      <w:r w:rsidRPr="00D96063">
        <w:t>technical services, know-how, management services, and royalties together – not exceeding 8% of net sales.</w:t>
      </w:r>
    </w:p>
    <w:p w14:paraId="5A2D1767" w14:textId="77777777" w:rsidR="00C15F2E" w:rsidRPr="00D96063" w:rsidRDefault="00C15F2E" w:rsidP="003758E5">
      <w:pPr>
        <w:pStyle w:val="BodyText"/>
        <w:numPr>
          <w:ilvl w:val="6"/>
          <w:numId w:val="16"/>
        </w:numPr>
      </w:pPr>
      <w:r w:rsidRPr="00D96063">
        <w:lastRenderedPageBreak/>
        <w:t>Foreign firms wishing to invest must register twice in addition to the registration with the District Assembly. Investors must legally register the business entity at the RGD as per the provisions of the Companies Act</w:t>
      </w:r>
      <w:r w:rsidRPr="00D96063">
        <w:rPr>
          <w:rStyle w:val="FootnoteReference"/>
        </w:rPr>
        <w:footnoteReference w:id="38"/>
      </w:r>
      <w:r w:rsidRPr="00D96063">
        <w:t>, and meet the minimum equity requirement described below in line with the GIPC Act 865. Once this is done, the third step is to submit the documentation to the GIPC for investor registration. Registration is compulsory even if no incentives are sought.</w:t>
      </w:r>
    </w:p>
    <w:p w14:paraId="0EE7BAF7" w14:textId="77777777" w:rsidR="00C15F2E" w:rsidRPr="00D96063" w:rsidRDefault="00C15F2E" w:rsidP="003758E5">
      <w:pPr>
        <w:pStyle w:val="Heading3"/>
        <w:numPr>
          <w:ilvl w:val="2"/>
          <w:numId w:val="20"/>
        </w:numPr>
      </w:pPr>
      <w:bookmarkStart w:id="59" w:name="_Toc103607657"/>
      <w:r w:rsidRPr="00D96063">
        <w:t>Foreign investment restrictions</w:t>
      </w:r>
      <w:bookmarkEnd w:id="59"/>
    </w:p>
    <w:p w14:paraId="6AFC4276" w14:textId="77777777" w:rsidR="00C15F2E" w:rsidRPr="00D96063" w:rsidRDefault="00C15F2E" w:rsidP="003758E5">
      <w:pPr>
        <w:pStyle w:val="BodyText"/>
        <w:numPr>
          <w:ilvl w:val="6"/>
          <w:numId w:val="16"/>
        </w:numPr>
        <w:rPr>
          <w:snapToGrid w:val="0"/>
        </w:rPr>
      </w:pPr>
      <w:r w:rsidRPr="00D96063">
        <w:rPr>
          <w:snapToGrid w:val="0"/>
        </w:rPr>
        <w:t xml:space="preserve">The GIPC Act, 2013 reserves the following activities for Ghanaian natural or corporate persons (Section 27): beauty salons and barber shops; sale of goods and services in markets; retail sale of pharmaceutical products; all aspects of pool betting business and lotteries except football; taxi or car hire services with a fleet of less than 25 </w:t>
      </w:r>
      <w:r w:rsidRPr="00D96063">
        <w:t>vehicles</w:t>
      </w:r>
      <w:r w:rsidRPr="00D96063">
        <w:rPr>
          <w:snapToGrid w:val="0"/>
        </w:rPr>
        <w:t>; production of exercise books and basic stationary; vouchers for telecommunications services; and the production, supply, and retail of sachet water.</w:t>
      </w:r>
      <w:r w:rsidRPr="00D96063">
        <w:rPr>
          <w:rStyle w:val="FootnoteReference"/>
          <w:snapToGrid w:val="0"/>
        </w:rPr>
        <w:footnoteReference w:id="39"/>
      </w:r>
      <w:r w:rsidRPr="00D96063">
        <w:rPr>
          <w:snapToGrid w:val="0"/>
        </w:rPr>
        <w:t xml:space="preserve"> Reserved activities under other statutes include small-scale mining, microfinance, and forex bureaux; fishing transport services and </w:t>
      </w:r>
      <w:r w:rsidRPr="00D96063">
        <w:t>cabotage</w:t>
      </w:r>
      <w:r w:rsidRPr="00D96063">
        <w:rPr>
          <w:snapToGrid w:val="0"/>
        </w:rPr>
        <w:t xml:space="preserve"> in maritime transport (S</w:t>
      </w:r>
      <w:r w:rsidRPr="00D96063">
        <w:t>ection</w:t>
      </w:r>
      <w:r w:rsidRPr="00D96063">
        <w:rPr>
          <w:snapToGrid w:val="0"/>
        </w:rPr>
        <w:t xml:space="preserve"> 4.4.2.4); postal services (Section 4.4.3.2);</w:t>
      </w:r>
      <w:r w:rsidRPr="00D96063">
        <w:t xml:space="preserve"> and certain</w:t>
      </w:r>
      <w:r w:rsidRPr="00D96063">
        <w:rPr>
          <w:b/>
        </w:rPr>
        <w:t xml:space="preserve"> </w:t>
      </w:r>
      <w:r w:rsidRPr="00D96063">
        <w:rPr>
          <w:bCs/>
        </w:rPr>
        <w:t>p</w:t>
      </w:r>
      <w:r w:rsidRPr="00D96063">
        <w:rPr>
          <w:bCs/>
          <w:snapToGrid w:val="0"/>
        </w:rPr>
        <w:t>r</w:t>
      </w:r>
      <w:r w:rsidRPr="00D96063">
        <w:rPr>
          <w:snapToGrid w:val="0"/>
        </w:rPr>
        <w:t xml:space="preserve">ofessional services </w:t>
      </w:r>
      <w:r w:rsidRPr="00D96063">
        <w:t>activities (Section 4.4.5). The authorities indicate that restricted activities are reviewed from time to time.</w:t>
      </w:r>
    </w:p>
    <w:p w14:paraId="6A8E9390" w14:textId="78B9ED43" w:rsidR="00C15F2E" w:rsidRPr="00D96063" w:rsidRDefault="00C15F2E" w:rsidP="003758E5">
      <w:pPr>
        <w:numPr>
          <w:ilvl w:val="6"/>
          <w:numId w:val="18"/>
        </w:numPr>
        <w:spacing w:after="240"/>
        <w:rPr>
          <w:snapToGrid w:val="0"/>
        </w:rPr>
      </w:pPr>
      <w:r w:rsidRPr="00D96063">
        <w:rPr>
          <w:snapToGrid w:val="0"/>
        </w:rPr>
        <w:t>Joint ventures by foreign entities with Ghanaian partners are subject to a minimum of 10% Ghanaian equity participation in the venture. Furthermore, Ghana has a new regime on mandatory Ghanaian participation and local content for foreign investment in the energy and mining sectors (Sections 4.2 and 4.3).</w:t>
      </w:r>
    </w:p>
    <w:p w14:paraId="7ABFEE53" w14:textId="77777777" w:rsidR="00C15F2E" w:rsidRPr="00D96063" w:rsidRDefault="00C15F2E" w:rsidP="003758E5">
      <w:pPr>
        <w:numPr>
          <w:ilvl w:val="6"/>
          <w:numId w:val="18"/>
        </w:numPr>
        <w:spacing w:after="240"/>
        <w:rPr>
          <w:snapToGrid w:val="0"/>
        </w:rPr>
      </w:pPr>
      <w:r w:rsidRPr="00D96063">
        <w:rPr>
          <w:snapToGrid w:val="0"/>
        </w:rPr>
        <w:t>Ghana requires foreign investors to invest minimum amounts of foreign capital (Table 2.4) and applies processing fees on foreign investment. These costs may represent an obstacle to doing business in Ghana, particularly for SMEs, and therefore run counter to the GIPC Act's objective to "attract foreign and local investments in advanced technology industries and skill-intensive services which enjoy good export market prospects".</w:t>
      </w:r>
      <w:r w:rsidRPr="00D96063">
        <w:rPr>
          <w:rStyle w:val="FootnoteReference"/>
          <w:snapToGrid w:val="0"/>
        </w:rPr>
        <w:footnoteReference w:id="40"/>
      </w:r>
    </w:p>
    <w:p w14:paraId="3026DF63" w14:textId="61A75A39" w:rsidR="00C15F2E" w:rsidRPr="00D96063" w:rsidRDefault="00C15F2E" w:rsidP="00CB59D4">
      <w:pPr>
        <w:pStyle w:val="Caption"/>
        <w:rPr>
          <w:bCs w:val="0"/>
        </w:rPr>
      </w:pPr>
      <w:bookmarkStart w:id="60" w:name="_Toc103607881"/>
      <w:r w:rsidRPr="00D96063">
        <w:t xml:space="preserve">Table </w:t>
      </w:r>
      <w:fldSimple w:instr=" STYLEREF 1 \s ">
        <w:r w:rsidR="004B63B1">
          <w:rPr>
            <w:noProof/>
          </w:rPr>
          <w:t>2</w:t>
        </w:r>
      </w:fldSimple>
      <w:r w:rsidR="00BF3184">
        <w:t>.</w:t>
      </w:r>
      <w:fldSimple w:instr=" SEQ Table \* ARABIC \s 1 ">
        <w:r w:rsidR="004B63B1">
          <w:rPr>
            <w:noProof/>
          </w:rPr>
          <w:t>4</w:t>
        </w:r>
      </w:fldSimple>
      <w:r w:rsidRPr="00D96063">
        <w:t xml:space="preserve"> Minimum foreign investment requirements, 2022</w:t>
      </w:r>
      <w:bookmarkEnd w:id="60"/>
    </w:p>
    <w:tbl>
      <w:tblPr>
        <w:tblStyle w:val="WTOTable1"/>
        <w:tblW w:w="4871" w:type="pct"/>
        <w:tblLook w:val="04A0" w:firstRow="1" w:lastRow="0" w:firstColumn="1" w:lastColumn="0" w:noHBand="0" w:noVBand="1"/>
      </w:tblPr>
      <w:tblGrid>
        <w:gridCol w:w="6515"/>
        <w:gridCol w:w="2268"/>
      </w:tblGrid>
      <w:tr w:rsidR="00C15F2E" w:rsidRPr="00D96063" w14:paraId="75BB844C" w14:textId="77777777" w:rsidTr="002A3F9E">
        <w:trPr>
          <w:cnfStyle w:val="100000000000" w:firstRow="1" w:lastRow="0" w:firstColumn="0" w:lastColumn="0" w:oddVBand="0" w:evenVBand="0" w:oddHBand="0" w:evenHBand="0" w:firstRowFirstColumn="0" w:firstRowLastColumn="0" w:lastRowFirstColumn="0" w:lastRowLastColumn="0"/>
          <w:tblHeader/>
        </w:trPr>
        <w:tc>
          <w:tcPr>
            <w:tcW w:w="3709" w:type="pct"/>
            <w:tcBorders>
              <w:top w:val="single" w:sz="4" w:space="0" w:color="auto"/>
              <w:left w:val="single" w:sz="4" w:space="0" w:color="auto"/>
              <w:bottom w:val="nil"/>
              <w:right w:val="single" w:sz="4" w:space="0" w:color="auto"/>
            </w:tcBorders>
            <w:hideMark/>
          </w:tcPr>
          <w:p w14:paraId="5E54AEE8" w14:textId="77777777" w:rsidR="00C15F2E" w:rsidRPr="00D96063" w:rsidRDefault="00C15F2E" w:rsidP="00BA758D">
            <w:pPr>
              <w:jc w:val="left"/>
              <w:rPr>
                <w:bCs/>
                <w:color w:val="FFFFFF" w:themeColor="background1"/>
                <w:sz w:val="16"/>
                <w:szCs w:val="16"/>
                <w:lang w:eastAsia="fr-CH"/>
              </w:rPr>
            </w:pPr>
            <w:r w:rsidRPr="00D96063">
              <w:rPr>
                <w:bCs/>
                <w:color w:val="FFFFFF" w:themeColor="background1"/>
                <w:sz w:val="16"/>
                <w:szCs w:val="16"/>
                <w:lang w:eastAsia="fr-CH"/>
              </w:rPr>
              <w:t>Type of foreign company</w:t>
            </w:r>
          </w:p>
        </w:tc>
        <w:tc>
          <w:tcPr>
            <w:tcW w:w="1291" w:type="pct"/>
            <w:tcBorders>
              <w:top w:val="single" w:sz="4" w:space="0" w:color="auto"/>
              <w:left w:val="single" w:sz="4" w:space="0" w:color="auto"/>
              <w:bottom w:val="nil"/>
              <w:right w:val="single" w:sz="4" w:space="0" w:color="auto"/>
            </w:tcBorders>
            <w:hideMark/>
          </w:tcPr>
          <w:p w14:paraId="71C6E13B" w14:textId="77777777" w:rsidR="00C15F2E" w:rsidRPr="00D96063" w:rsidRDefault="00C15F2E" w:rsidP="00BA758D">
            <w:pPr>
              <w:jc w:val="left"/>
              <w:rPr>
                <w:bCs/>
                <w:color w:val="FFFFFF" w:themeColor="background1"/>
                <w:sz w:val="16"/>
                <w:szCs w:val="16"/>
                <w:lang w:eastAsia="fr-CH"/>
              </w:rPr>
            </w:pPr>
            <w:r w:rsidRPr="00D96063">
              <w:rPr>
                <w:bCs/>
                <w:color w:val="FFFFFF" w:themeColor="background1"/>
                <w:sz w:val="16"/>
                <w:szCs w:val="16"/>
                <w:lang w:eastAsia="fr-CH"/>
              </w:rPr>
              <w:t>Minimum financial contribution/equity</w:t>
            </w:r>
          </w:p>
        </w:tc>
      </w:tr>
      <w:tr w:rsidR="00C15F2E" w:rsidRPr="00D96063" w14:paraId="749C7857" w14:textId="77777777" w:rsidTr="002A3F9E">
        <w:tc>
          <w:tcPr>
            <w:tcW w:w="3709" w:type="pct"/>
            <w:tcBorders>
              <w:top w:val="nil"/>
              <w:left w:val="single" w:sz="4" w:space="0" w:color="auto"/>
              <w:bottom w:val="nil"/>
              <w:right w:val="single" w:sz="4" w:space="0" w:color="auto"/>
            </w:tcBorders>
            <w:hideMark/>
          </w:tcPr>
          <w:p w14:paraId="35CF5F28" w14:textId="77777777" w:rsidR="00C15F2E" w:rsidRPr="00D96063" w:rsidRDefault="00C15F2E" w:rsidP="00BA758D">
            <w:pPr>
              <w:jc w:val="left"/>
              <w:rPr>
                <w:sz w:val="16"/>
                <w:szCs w:val="16"/>
              </w:rPr>
            </w:pPr>
            <w:r w:rsidRPr="00D96063">
              <w:rPr>
                <w:sz w:val="16"/>
                <w:szCs w:val="16"/>
              </w:rPr>
              <w:t>General trading enterprise (fully foreign-owned or joint venture with a Ghanaian partner)</w:t>
            </w:r>
          </w:p>
        </w:tc>
        <w:tc>
          <w:tcPr>
            <w:tcW w:w="1291" w:type="pct"/>
            <w:tcBorders>
              <w:top w:val="nil"/>
              <w:left w:val="single" w:sz="4" w:space="0" w:color="auto"/>
              <w:bottom w:val="nil"/>
              <w:right w:val="single" w:sz="4" w:space="0" w:color="auto"/>
            </w:tcBorders>
            <w:hideMark/>
          </w:tcPr>
          <w:p w14:paraId="6F824BA2" w14:textId="77777777" w:rsidR="00C15F2E" w:rsidRPr="00D96063" w:rsidRDefault="00C15F2E" w:rsidP="00BA758D">
            <w:pPr>
              <w:rPr>
                <w:sz w:val="16"/>
                <w:szCs w:val="16"/>
                <w:lang w:eastAsia="fr-CH"/>
              </w:rPr>
            </w:pPr>
            <w:r w:rsidRPr="00D96063">
              <w:rPr>
                <w:sz w:val="16"/>
                <w:szCs w:val="16"/>
              </w:rPr>
              <w:t xml:space="preserve">USD 1,000,000 </w:t>
            </w:r>
          </w:p>
        </w:tc>
      </w:tr>
      <w:tr w:rsidR="00C15F2E" w:rsidRPr="00D96063" w14:paraId="2FF654A4" w14:textId="77777777" w:rsidTr="002A3F9E">
        <w:trPr>
          <w:cnfStyle w:val="000000010000" w:firstRow="0" w:lastRow="0" w:firstColumn="0" w:lastColumn="0" w:oddVBand="0" w:evenVBand="0" w:oddHBand="0" w:evenHBand="1" w:firstRowFirstColumn="0" w:firstRowLastColumn="0" w:lastRowFirstColumn="0" w:lastRowLastColumn="0"/>
        </w:trPr>
        <w:tc>
          <w:tcPr>
            <w:tcW w:w="3709" w:type="pct"/>
            <w:tcBorders>
              <w:top w:val="nil"/>
              <w:left w:val="single" w:sz="4" w:space="0" w:color="auto"/>
              <w:bottom w:val="nil"/>
              <w:right w:val="single" w:sz="4" w:space="0" w:color="auto"/>
            </w:tcBorders>
            <w:hideMark/>
          </w:tcPr>
          <w:p w14:paraId="31C1906D" w14:textId="77777777" w:rsidR="00C15F2E" w:rsidRPr="00D96063" w:rsidRDefault="00C15F2E" w:rsidP="00BA758D">
            <w:pPr>
              <w:jc w:val="left"/>
              <w:rPr>
                <w:sz w:val="16"/>
                <w:szCs w:val="16"/>
                <w:lang w:eastAsia="fr-CH"/>
              </w:rPr>
            </w:pPr>
            <w:r w:rsidRPr="00D96063">
              <w:rPr>
                <w:sz w:val="16"/>
                <w:szCs w:val="16"/>
              </w:rPr>
              <w:t>Wholly foreign-owned enterprise (other than trading)</w:t>
            </w:r>
          </w:p>
        </w:tc>
        <w:tc>
          <w:tcPr>
            <w:tcW w:w="1291" w:type="pct"/>
            <w:tcBorders>
              <w:top w:val="nil"/>
              <w:left w:val="single" w:sz="4" w:space="0" w:color="auto"/>
              <w:bottom w:val="nil"/>
              <w:right w:val="single" w:sz="4" w:space="0" w:color="auto"/>
            </w:tcBorders>
            <w:hideMark/>
          </w:tcPr>
          <w:p w14:paraId="69CE71F3" w14:textId="77777777" w:rsidR="00C15F2E" w:rsidRPr="00D96063" w:rsidRDefault="00C15F2E" w:rsidP="00BA758D">
            <w:pPr>
              <w:rPr>
                <w:sz w:val="16"/>
                <w:szCs w:val="16"/>
                <w:lang w:eastAsia="fr-CH"/>
              </w:rPr>
            </w:pPr>
            <w:r w:rsidRPr="00D96063">
              <w:rPr>
                <w:sz w:val="16"/>
                <w:szCs w:val="16"/>
              </w:rPr>
              <w:t>USD 500,000</w:t>
            </w:r>
          </w:p>
        </w:tc>
      </w:tr>
      <w:tr w:rsidR="00C15F2E" w:rsidRPr="00D96063" w14:paraId="1418FAB8" w14:textId="77777777" w:rsidTr="002A3F9E">
        <w:trPr>
          <w:trHeight w:val="202"/>
        </w:trPr>
        <w:tc>
          <w:tcPr>
            <w:tcW w:w="3709" w:type="pct"/>
            <w:tcBorders>
              <w:top w:val="nil"/>
              <w:left w:val="single" w:sz="4" w:space="0" w:color="auto"/>
              <w:bottom w:val="nil"/>
              <w:right w:val="single" w:sz="4" w:space="0" w:color="auto"/>
            </w:tcBorders>
            <w:hideMark/>
          </w:tcPr>
          <w:p w14:paraId="1819D77F" w14:textId="77777777" w:rsidR="00C15F2E" w:rsidRPr="00D96063" w:rsidRDefault="00C15F2E" w:rsidP="00BA758D">
            <w:pPr>
              <w:jc w:val="left"/>
              <w:rPr>
                <w:sz w:val="16"/>
                <w:szCs w:val="16"/>
                <w:lang w:eastAsia="fr-CH"/>
              </w:rPr>
            </w:pPr>
            <w:r w:rsidRPr="00D96063">
              <w:rPr>
                <w:sz w:val="16"/>
                <w:szCs w:val="16"/>
              </w:rPr>
              <w:t>Manufacturing, export trading enterprise, portfolio investment</w:t>
            </w:r>
          </w:p>
        </w:tc>
        <w:tc>
          <w:tcPr>
            <w:tcW w:w="1291" w:type="pct"/>
            <w:tcBorders>
              <w:top w:val="nil"/>
              <w:left w:val="single" w:sz="4" w:space="0" w:color="auto"/>
              <w:bottom w:val="nil"/>
              <w:right w:val="single" w:sz="4" w:space="0" w:color="auto"/>
            </w:tcBorders>
            <w:hideMark/>
          </w:tcPr>
          <w:p w14:paraId="326CD44A" w14:textId="77777777" w:rsidR="00C15F2E" w:rsidRPr="00D96063" w:rsidRDefault="00C15F2E" w:rsidP="00BA758D">
            <w:pPr>
              <w:rPr>
                <w:sz w:val="16"/>
                <w:szCs w:val="16"/>
              </w:rPr>
            </w:pPr>
            <w:r w:rsidRPr="00D96063">
              <w:rPr>
                <w:sz w:val="16"/>
                <w:szCs w:val="16"/>
              </w:rPr>
              <w:t>No minimum capital</w:t>
            </w:r>
          </w:p>
        </w:tc>
      </w:tr>
      <w:tr w:rsidR="00C15F2E" w:rsidRPr="00D96063" w14:paraId="222E9B70" w14:textId="77777777" w:rsidTr="002A3F9E">
        <w:trPr>
          <w:cnfStyle w:val="000000010000" w:firstRow="0" w:lastRow="0" w:firstColumn="0" w:lastColumn="0" w:oddVBand="0" w:evenVBand="0" w:oddHBand="0" w:evenHBand="1" w:firstRowFirstColumn="0" w:firstRowLastColumn="0" w:lastRowFirstColumn="0" w:lastRowLastColumn="0"/>
          <w:trHeight w:val="202"/>
        </w:trPr>
        <w:tc>
          <w:tcPr>
            <w:tcW w:w="3709" w:type="pct"/>
            <w:tcBorders>
              <w:top w:val="nil"/>
              <w:left w:val="single" w:sz="4" w:space="0" w:color="auto"/>
              <w:bottom w:val="single" w:sz="4" w:space="0" w:color="auto"/>
              <w:right w:val="single" w:sz="4" w:space="0" w:color="auto"/>
            </w:tcBorders>
            <w:hideMark/>
          </w:tcPr>
          <w:p w14:paraId="1D572489" w14:textId="77777777" w:rsidR="00C15F2E" w:rsidRPr="00D96063" w:rsidRDefault="00C15F2E" w:rsidP="00BA758D">
            <w:pPr>
              <w:jc w:val="left"/>
              <w:rPr>
                <w:sz w:val="16"/>
                <w:szCs w:val="16"/>
              </w:rPr>
            </w:pPr>
            <w:r w:rsidRPr="00D96063">
              <w:rPr>
                <w:sz w:val="16"/>
                <w:szCs w:val="16"/>
              </w:rPr>
              <w:t>Joint venture enterprise (all other activities)</w:t>
            </w:r>
          </w:p>
        </w:tc>
        <w:tc>
          <w:tcPr>
            <w:tcW w:w="1291" w:type="pct"/>
            <w:tcBorders>
              <w:top w:val="nil"/>
              <w:left w:val="single" w:sz="4" w:space="0" w:color="auto"/>
              <w:bottom w:val="single" w:sz="4" w:space="0" w:color="auto"/>
              <w:right w:val="single" w:sz="4" w:space="0" w:color="auto"/>
            </w:tcBorders>
            <w:hideMark/>
          </w:tcPr>
          <w:p w14:paraId="33215E62" w14:textId="77777777" w:rsidR="00C15F2E" w:rsidRPr="00D96063" w:rsidRDefault="00C15F2E" w:rsidP="00BA758D">
            <w:pPr>
              <w:rPr>
                <w:b/>
                <w:bCs/>
                <w:sz w:val="16"/>
                <w:szCs w:val="16"/>
              </w:rPr>
            </w:pPr>
            <w:r w:rsidRPr="00D96063">
              <w:rPr>
                <w:sz w:val="16"/>
                <w:szCs w:val="16"/>
              </w:rPr>
              <w:t>USD 200,000</w:t>
            </w:r>
          </w:p>
        </w:tc>
      </w:tr>
    </w:tbl>
    <w:p w14:paraId="710DD640" w14:textId="47A55F64" w:rsidR="00C15F2E" w:rsidRPr="00D96063" w:rsidRDefault="00C15F2E" w:rsidP="00CB59D4">
      <w:pPr>
        <w:pStyle w:val="NoteText"/>
        <w:spacing w:before="120" w:after="240"/>
        <w:rPr>
          <w:lang w:eastAsia="fr-CH"/>
        </w:rPr>
      </w:pPr>
      <w:r w:rsidRPr="00D96063">
        <w:rPr>
          <w:lang w:eastAsia="fr-CH"/>
        </w:rPr>
        <w:t>Source:</w:t>
      </w:r>
      <w:r w:rsidRPr="00D96063">
        <w:rPr>
          <w:lang w:eastAsia="fr-CH"/>
        </w:rPr>
        <w:tab/>
        <w:t xml:space="preserve">Registrar General's Department. Viewed at: </w:t>
      </w:r>
      <w:hyperlink r:id="rId54" w:history="1">
        <w:r w:rsidRPr="007A1409">
          <w:rPr>
            <w:rStyle w:val="Hyperlink"/>
          </w:rPr>
          <w:t>http://rgd.gov.gh/</w:t>
        </w:r>
      </w:hyperlink>
      <w:r w:rsidRPr="00D96063">
        <w:rPr>
          <w:lang w:eastAsia="fr-CH"/>
        </w:rPr>
        <w:t>; and G</w:t>
      </w:r>
      <w:r w:rsidR="00073FB7">
        <w:rPr>
          <w:lang w:eastAsia="fr-CH"/>
        </w:rPr>
        <w:t>IPC</w:t>
      </w:r>
      <w:r w:rsidRPr="00D96063">
        <w:rPr>
          <w:lang w:eastAsia="fr-CH"/>
        </w:rPr>
        <w:t xml:space="preserve">. Viewed at: </w:t>
      </w:r>
      <w:hyperlink r:id="rId55" w:history="1">
        <w:r w:rsidR="00242C10">
          <w:rPr>
            <w:rStyle w:val="Hyperlink"/>
          </w:rPr>
          <w:t>https://ppa.gov.gh/</w:t>
        </w:r>
      </w:hyperlink>
      <w:r w:rsidRPr="007A1409">
        <w:rPr>
          <w:lang w:eastAsia="fr-CH"/>
        </w:rPr>
        <w:t>.</w:t>
      </w:r>
    </w:p>
    <w:p w14:paraId="3AE148CA" w14:textId="77777777" w:rsidR="00C15F2E" w:rsidRPr="00D96063" w:rsidRDefault="00C15F2E" w:rsidP="003758E5">
      <w:pPr>
        <w:pStyle w:val="BodyText"/>
        <w:numPr>
          <w:ilvl w:val="6"/>
          <w:numId w:val="16"/>
        </w:numPr>
        <w:rPr>
          <w:snapToGrid w:val="0"/>
        </w:rPr>
      </w:pPr>
      <w:r w:rsidRPr="00D96063">
        <w:rPr>
          <w:snapToGrid w:val="0"/>
        </w:rPr>
        <w:t xml:space="preserve">Under Section 28 of the GIPC Act, a </w:t>
      </w:r>
      <w:r w:rsidRPr="00D96063">
        <w:t>foreign</w:t>
      </w:r>
      <w:r w:rsidRPr="00D96063">
        <w:rPr>
          <w:snapToGrid w:val="0"/>
        </w:rPr>
        <w:t xml:space="preserve"> enterprise (except in free zones) must employ at least 20 skilled Ghanaians.</w:t>
      </w:r>
    </w:p>
    <w:p w14:paraId="6FB24AD1" w14:textId="77777777" w:rsidR="00C15F2E" w:rsidRPr="00D96063" w:rsidRDefault="00C15F2E" w:rsidP="003758E5">
      <w:pPr>
        <w:pStyle w:val="BodyText"/>
        <w:numPr>
          <w:ilvl w:val="6"/>
          <w:numId w:val="16"/>
        </w:numPr>
      </w:pPr>
      <w:r w:rsidRPr="00D96063">
        <w:t xml:space="preserve">All foreigners except </w:t>
      </w:r>
      <w:bookmarkStart w:id="61" w:name="_Hlk86991985"/>
      <w:r w:rsidRPr="00D96063">
        <w:t xml:space="preserve">ECOWAS nationals </w:t>
      </w:r>
      <w:bookmarkEnd w:id="61"/>
      <w:r w:rsidRPr="00D96063">
        <w:t>need an entry visa for Ghana. Foreign nationals wishing to work in Ghana require a residency permit granted by the Ghana Immigration Service (GIS) and a work permit. GIPC-registered foreign companies are granted an "automatic immigrant quota" (work and residence permit) for one to four expatriates depending on the company's foreign capital contribution.</w:t>
      </w:r>
      <w:r w:rsidRPr="00D96063">
        <w:rPr>
          <w:rStyle w:val="FootnoteReference"/>
        </w:rPr>
        <w:footnoteReference w:id="41"/>
      </w:r>
      <w:r w:rsidRPr="00D96063">
        <w:t xml:space="preserve"> The fee for a one-year work permit is USD 1,000 (renewable annually). For ECOWAS nationals, the cost is </w:t>
      </w:r>
      <w:r w:rsidRPr="00D96063">
        <w:rPr>
          <w:snapToGrid w:val="0"/>
        </w:rPr>
        <w:t>USD</w:t>
      </w:r>
      <w:r w:rsidRPr="00D96063">
        <w:t> 500 for a one-year work permit (renewable annually) and USD 300 for persons on GIPC automatic quota. Work permits may also be obtained through the GIS based on a recommendation by industry-specific government regulatory bodies and non</w:t>
      </w:r>
      <w:r w:rsidRPr="00D96063">
        <w:noBreakHyphen/>
        <w:t xml:space="preserve">governmental organizations. In addition, foreigners must establish a Non-Citizen Identity Card </w:t>
      </w:r>
      <w:r w:rsidRPr="00D96063">
        <w:lastRenderedPageBreak/>
        <w:t>(USD 120) and pass a medical test (USD 200), renewable annually at USD 60 and USD 110, respectively.</w:t>
      </w:r>
    </w:p>
    <w:p w14:paraId="25ED212C" w14:textId="77777777" w:rsidR="00C15F2E" w:rsidRPr="00D96063" w:rsidRDefault="00C15F2E" w:rsidP="003758E5">
      <w:pPr>
        <w:pStyle w:val="BodyText"/>
        <w:numPr>
          <w:ilvl w:val="6"/>
          <w:numId w:val="16"/>
        </w:numPr>
      </w:pPr>
      <w:r w:rsidRPr="00D96063">
        <w:t xml:space="preserve">Under Ghana's Constitution and a new Land Act, 2020 (Act 1036), foreign land ownership is restricted to leases of up to 50 years. The </w:t>
      </w:r>
      <w:r w:rsidRPr="00D96063">
        <w:rPr>
          <w:snapToGrid w:val="0"/>
        </w:rPr>
        <w:t>varying</w:t>
      </w:r>
      <w:r w:rsidRPr="00D96063">
        <w:t xml:space="preserve"> and often conflicting interests in land management are regulated by the Lands Commission.</w:t>
      </w:r>
      <w:r w:rsidRPr="00D96063">
        <w:rPr>
          <w:rStyle w:val="FootnoteReference"/>
        </w:rPr>
        <w:footnoteReference w:id="42"/>
      </w:r>
      <w:r w:rsidRPr="00D96063">
        <w:t xml:space="preserve"> In 2015, the Client Service Access Unit was established to streamline and computerize service delivery at the Lands Commission. A new Enterprise Land Information System has been deployed in the Greater Accra region, providing services such as plan approval, searches, registration, assessment, and payment of stamp duty.</w:t>
      </w:r>
    </w:p>
    <w:p w14:paraId="151E6888" w14:textId="77777777" w:rsidR="00C15F2E" w:rsidRPr="00D96063" w:rsidRDefault="00C15F2E" w:rsidP="003758E5">
      <w:pPr>
        <w:pStyle w:val="Heading3"/>
        <w:numPr>
          <w:ilvl w:val="2"/>
          <w:numId w:val="20"/>
        </w:numPr>
      </w:pPr>
      <w:bookmarkStart w:id="62" w:name="_Toc103607658"/>
      <w:r w:rsidRPr="00D96063">
        <w:t>Investment for infrastructure development</w:t>
      </w:r>
      <w:bookmarkEnd w:id="62"/>
    </w:p>
    <w:p w14:paraId="4A9CF130" w14:textId="77777777" w:rsidR="00C15F2E" w:rsidRPr="00D96063" w:rsidRDefault="00C15F2E" w:rsidP="003758E5">
      <w:pPr>
        <w:pStyle w:val="BodyText"/>
        <w:numPr>
          <w:ilvl w:val="6"/>
          <w:numId w:val="16"/>
        </w:numPr>
      </w:pPr>
      <w:r w:rsidRPr="00D96063">
        <w:t>In a partnership since 2008 with the World Economic Forum (WEF), the authorities have identified inadequate infrastructure as one of the biggest challenges faced by businesses operating in Ghana, along with access to finance, bureaucracy, work ethics, and corruption.</w:t>
      </w:r>
      <w:r w:rsidRPr="00D96063">
        <w:rPr>
          <w:rStyle w:val="FootnoteReference"/>
        </w:rPr>
        <w:footnoteReference w:id="43"/>
      </w:r>
      <w:r w:rsidRPr="00D96063">
        <w:t xml:space="preserve"> The year 2020 was coined by Ghana's President as the first "Year of Roads", as it saw a major focus on, and improvement of, the road networks.</w:t>
      </w:r>
      <w:r w:rsidRPr="00D96063">
        <w:rPr>
          <w:rStyle w:val="FootnoteReference"/>
        </w:rPr>
        <w:footnoteReference w:id="44"/>
      </w:r>
      <w:r w:rsidRPr="00D96063">
        <w:t xml:space="preserve"> In 2021, the Government and the WEF elaborated a strategy to drive investment in infrastructure, notably in the power, transport (roads and rail), water, and information and communication technology (ICT) sectors through public-private partnerships in trade and investment. It also aims to facilitate access to land with the digitization of its records and creation of banks to facilitate access to land for investment, and a continuation of Ghana's "One District One Factory" flagship policy to encourage locally produced goods (Section 4.4).</w:t>
      </w:r>
      <w:bookmarkStart w:id="63" w:name="_Hlk87264673"/>
    </w:p>
    <w:bookmarkEnd w:id="63"/>
    <w:p w14:paraId="01DD98BB" w14:textId="77777777" w:rsidR="00C15F2E" w:rsidRPr="00D96063" w:rsidRDefault="00C15F2E" w:rsidP="003758E5">
      <w:pPr>
        <w:pStyle w:val="BodyText"/>
        <w:numPr>
          <w:ilvl w:val="6"/>
          <w:numId w:val="16"/>
        </w:numPr>
      </w:pPr>
      <w:r w:rsidRPr="00D96063">
        <w:t>Also to address Ghana's infrastructure development needs, the Government set up the Ghana Infrastructure Investment Fund (GIIF), a wholly state-owned capital investment vehicle that was established pursuant to the Ghana Infrastructure Investment Fund Act, 2014 (Act 877).</w:t>
      </w:r>
      <w:r w:rsidRPr="00D96063">
        <w:rPr>
          <w:rStyle w:val="FootnoteReference"/>
        </w:rPr>
        <w:footnoteReference w:id="45"/>
      </w:r>
      <w:r w:rsidRPr="00D96063">
        <w:t xml:space="preserve"> The GIIF is capitalized at USD 325 million, with a mandate to identify, develop, and manage investments in a diversified portfolio of infrastructure assets in Ghana for national development in a profitable and sustainable way; it therefore constitutes another conduit for foreign investment in Ghana. Since it started operations in 2015, the GIIF has invested USD 280 million in 12 infrastructure projects in 6 sectors across Ghana. Recent investments involving the GIIF include the development of a new international terminal at Kotoka International Airport in collaboration with the Ghana Airports Company, the Takoradi Port expansion (improved container and process handling), the Western Corridor Fibre project (communications network infrastructure), and the Atuabo power plant (electricity generation from natural gas).</w:t>
      </w:r>
    </w:p>
    <w:p w14:paraId="2D38ECB1" w14:textId="77777777" w:rsidR="00C15F2E" w:rsidRPr="00D96063" w:rsidRDefault="00C15F2E" w:rsidP="003758E5">
      <w:pPr>
        <w:pStyle w:val="Heading3"/>
        <w:numPr>
          <w:ilvl w:val="2"/>
          <w:numId w:val="20"/>
        </w:numPr>
      </w:pPr>
      <w:bookmarkStart w:id="64" w:name="_Toc103607659"/>
      <w:r w:rsidRPr="00D96063">
        <w:t>Investment agreements</w:t>
      </w:r>
      <w:bookmarkEnd w:id="64"/>
    </w:p>
    <w:p w14:paraId="690934AB" w14:textId="4C5338FC" w:rsidR="00BE59B7" w:rsidRDefault="00C15F2E" w:rsidP="00804893">
      <w:pPr>
        <w:pStyle w:val="BodyText"/>
        <w:numPr>
          <w:ilvl w:val="6"/>
          <w:numId w:val="16"/>
        </w:numPr>
      </w:pPr>
      <w:r w:rsidRPr="00D96063">
        <w:t>Ghana has ratified seven bilateral investment treaties (BITs) between 1989 and 1995 (and none since) with Burkina Faso, China, Denmark, Germany, Malaysia, the Netherlands, Serbia, Switzerland, and the United Kingdom.</w:t>
      </w:r>
      <w:r w:rsidRPr="00D96063">
        <w:rPr>
          <w:rStyle w:val="FootnoteReference"/>
        </w:rPr>
        <w:footnoteReference w:id="46"/>
      </w:r>
      <w:r w:rsidRPr="00D96063">
        <w:t xml:space="preserve"> BITs have been signed since the previous Review with Turkey (March 2016) and Qatar (December 2017), which have yet to be ratified.</w:t>
      </w:r>
      <w:bookmarkEnd w:id="38"/>
    </w:p>
    <w:p w14:paraId="2FBE0379" w14:textId="77777777" w:rsidR="007A1409" w:rsidRPr="00D96063" w:rsidRDefault="007A1409" w:rsidP="004E0DF2">
      <w:pPr>
        <w:pStyle w:val="BodyText"/>
        <w:numPr>
          <w:ilvl w:val="0"/>
          <w:numId w:val="0"/>
        </w:numPr>
      </w:pPr>
    </w:p>
    <w:p w14:paraId="11AB0D40" w14:textId="5097C263" w:rsidR="002F7281" w:rsidRPr="00D96063" w:rsidRDefault="002F7281" w:rsidP="00804893">
      <w:pPr>
        <w:pStyle w:val="BodyText"/>
        <w:numPr>
          <w:ilvl w:val="6"/>
          <w:numId w:val="16"/>
        </w:numPr>
        <w:sectPr w:rsidR="002F7281" w:rsidRPr="00D96063" w:rsidSect="00804893">
          <w:footerReference w:type="even" r:id="rId56"/>
          <w:footerReference w:type="default" r:id="rId57"/>
          <w:headerReference w:type="first" r:id="rId58"/>
          <w:footerReference w:type="first" r:id="rId59"/>
          <w:footnotePr>
            <w:numRestart w:val="eachSect"/>
          </w:footnotePr>
          <w:pgSz w:w="11906" w:h="16838" w:code="9"/>
          <w:pgMar w:top="1701" w:right="1440" w:bottom="1440" w:left="1440" w:header="720" w:footer="720" w:gutter="0"/>
          <w:cols w:space="708"/>
          <w:docGrid w:linePitch="360"/>
        </w:sectPr>
      </w:pPr>
    </w:p>
    <w:p w14:paraId="1E283841" w14:textId="77777777" w:rsidR="00C15F2E" w:rsidRPr="00D96063" w:rsidRDefault="00C15F2E" w:rsidP="00352F58">
      <w:pPr>
        <w:sectPr w:rsidR="00C15F2E" w:rsidRPr="00D96063" w:rsidSect="00352F58">
          <w:footerReference w:type="even" r:id="rId60"/>
          <w:footerReference w:type="default" r:id="rId61"/>
          <w:headerReference w:type="first" r:id="rId62"/>
          <w:footerReference w:type="first" r:id="rId63"/>
          <w:type w:val="continuous"/>
          <w:pgSz w:w="11906" w:h="16838" w:code="9"/>
          <w:pgMar w:top="1701" w:right="1440" w:bottom="1440" w:left="1440" w:header="720" w:footer="720" w:gutter="0"/>
          <w:cols w:space="708"/>
          <w:titlePg/>
          <w:docGrid w:linePitch="360"/>
        </w:sectPr>
      </w:pPr>
    </w:p>
    <w:p w14:paraId="0802E783" w14:textId="77777777" w:rsidR="00C15F2E" w:rsidRPr="00D96063" w:rsidRDefault="00C15F2E" w:rsidP="008E272F">
      <w:pPr>
        <w:pStyle w:val="Heading1"/>
      </w:pPr>
      <w:bookmarkStart w:id="65" w:name="_Toc103607660"/>
      <w:r w:rsidRPr="00D96063">
        <w:lastRenderedPageBreak/>
        <w:t>TRADE POLICIES AND PRACTICES BY MEASURE</w:t>
      </w:r>
      <w:bookmarkEnd w:id="65"/>
    </w:p>
    <w:p w14:paraId="72785485" w14:textId="77777777" w:rsidR="00C15F2E" w:rsidRPr="00D96063" w:rsidRDefault="00C15F2E" w:rsidP="00E101A6">
      <w:pPr>
        <w:pStyle w:val="Heading2"/>
        <w:numPr>
          <w:ilvl w:val="1"/>
          <w:numId w:val="16"/>
        </w:numPr>
      </w:pPr>
      <w:bookmarkStart w:id="66" w:name="_Toc103607661"/>
      <w:r w:rsidRPr="00D96063">
        <w:t>Measures Directly Affecting Imports</w:t>
      </w:r>
      <w:bookmarkEnd w:id="66"/>
    </w:p>
    <w:p w14:paraId="0D4F5A8C" w14:textId="77777777" w:rsidR="00C15F2E" w:rsidRPr="00D96063" w:rsidRDefault="00C15F2E" w:rsidP="00E101A6">
      <w:pPr>
        <w:pStyle w:val="Heading3"/>
        <w:numPr>
          <w:ilvl w:val="2"/>
          <w:numId w:val="16"/>
        </w:numPr>
      </w:pPr>
      <w:bookmarkStart w:id="67" w:name="_Toc103607662"/>
      <w:r w:rsidRPr="00D96063">
        <w:t>Customs procedures and valuation</w:t>
      </w:r>
      <w:bookmarkEnd w:id="67"/>
    </w:p>
    <w:p w14:paraId="38515373" w14:textId="77777777" w:rsidR="00C15F2E" w:rsidRPr="00D96063" w:rsidRDefault="00C15F2E" w:rsidP="00E101A6">
      <w:pPr>
        <w:pStyle w:val="Heading4"/>
        <w:numPr>
          <w:ilvl w:val="3"/>
          <w:numId w:val="16"/>
        </w:numPr>
      </w:pPr>
      <w:bookmarkStart w:id="68" w:name="_Toc103607663"/>
      <w:bookmarkStart w:id="69" w:name="_Hlk85193152"/>
      <w:r w:rsidRPr="00D96063">
        <w:t>Overview</w:t>
      </w:r>
      <w:bookmarkEnd w:id="68"/>
    </w:p>
    <w:p w14:paraId="22FB2B29" w14:textId="0FD009B2" w:rsidR="00C15F2E" w:rsidRPr="00D96063" w:rsidRDefault="00C15F2E" w:rsidP="00E101A6">
      <w:pPr>
        <w:pStyle w:val="BodyText"/>
        <w:numPr>
          <w:ilvl w:val="6"/>
          <w:numId w:val="16"/>
        </w:numPr>
      </w:pPr>
      <w:bookmarkStart w:id="70" w:name="_Hlk95312633"/>
      <w:bookmarkEnd w:id="69"/>
      <w:r w:rsidRPr="00D96063">
        <w:t xml:space="preserve"> The Government is seeking to facilitate merchandise imports (as well as exports), as they feed into essential inputs driving the economy, such as transhipment and transit trade, and business services. After having ratified the WTO Agreement on Trade Facilitation (TFA) in 2017, Ghana notified all of its TFA commitments to the WTO (Table 3.1) and has </w:t>
      </w:r>
      <w:r w:rsidRPr="00D96063">
        <w:rPr>
          <w:rFonts w:cs="Arial"/>
          <w:shd w:val="clear" w:color="auto" w:fill="FFFFFF"/>
        </w:rPr>
        <w:t xml:space="preserve">requested assistance and support for capacity-building in order to implement </w:t>
      </w:r>
      <w:r w:rsidRPr="00D96063">
        <w:rPr>
          <w:shd w:val="clear" w:color="auto" w:fill="FFFFFF"/>
        </w:rPr>
        <w:t>23 </w:t>
      </w:r>
      <w:r w:rsidRPr="00D96063">
        <w:rPr>
          <w:rFonts w:cs="Arial"/>
          <w:shd w:val="clear" w:color="auto" w:fill="FFFFFF"/>
        </w:rPr>
        <w:t>of the TFA's 36 provisions that were classified as C measures</w:t>
      </w:r>
      <w:r w:rsidRPr="00D96063">
        <w:t>. Ghana has already notified the definitive dates for the implementation of categories B and C commitments; 18 provisions are due for implementation in the 2022-23 period.</w:t>
      </w:r>
    </w:p>
    <w:p w14:paraId="18B38935" w14:textId="41AAB33E" w:rsidR="00C15F2E" w:rsidRPr="00D96063" w:rsidRDefault="008C5CD0" w:rsidP="008C5CD0">
      <w:pPr>
        <w:pStyle w:val="Caption"/>
      </w:pPr>
      <w:bookmarkStart w:id="71" w:name="_Toc103607882"/>
      <w:bookmarkEnd w:id="70"/>
      <w:r w:rsidRPr="00D96063">
        <w:t xml:space="preserve">Table </w:t>
      </w:r>
      <w:fldSimple w:instr=" STYLEREF 1 \s ">
        <w:r w:rsidR="004B63B1">
          <w:rPr>
            <w:noProof/>
          </w:rPr>
          <w:t>3</w:t>
        </w:r>
      </w:fldSimple>
      <w:r w:rsidR="00BF3184">
        <w:t>.</w:t>
      </w:r>
      <w:fldSimple w:instr=" SEQ Table \* ARABIC \s 1 ">
        <w:r w:rsidR="004B63B1">
          <w:rPr>
            <w:noProof/>
          </w:rPr>
          <w:t>1</w:t>
        </w:r>
      </w:fldSimple>
      <w:r w:rsidRPr="00D96063">
        <w:t xml:space="preserve"> Notification status of TFA measures, March 2022</w:t>
      </w:r>
      <w:bookmarkEnd w:id="71"/>
    </w:p>
    <w:tbl>
      <w:tblPr>
        <w:tblW w:w="0" w:type="auto"/>
        <w:tblBorders>
          <w:top w:val="single" w:sz="4" w:space="0" w:color="auto"/>
          <w:left w:val="single" w:sz="4" w:space="0" w:color="auto"/>
          <w:right w:val="single" w:sz="4" w:space="0" w:color="auto"/>
          <w:insideV w:val="single" w:sz="4" w:space="0" w:color="auto"/>
        </w:tblBorders>
        <w:tblLook w:val="05E0" w:firstRow="1" w:lastRow="1" w:firstColumn="1" w:lastColumn="1" w:noHBand="0" w:noVBand="1"/>
      </w:tblPr>
      <w:tblGrid>
        <w:gridCol w:w="704"/>
        <w:gridCol w:w="1276"/>
        <w:gridCol w:w="7036"/>
      </w:tblGrid>
      <w:tr w:rsidR="00C15F2E" w:rsidRPr="00D96063" w14:paraId="2CC83614" w14:textId="77777777" w:rsidTr="00997D10">
        <w:trPr>
          <w:tblHeader/>
        </w:trPr>
        <w:tc>
          <w:tcPr>
            <w:tcW w:w="704" w:type="dxa"/>
            <w:shd w:val="clear" w:color="auto" w:fill="006283"/>
            <w:vAlign w:val="center"/>
            <w:hideMark/>
          </w:tcPr>
          <w:p w14:paraId="3AA36A68" w14:textId="77777777" w:rsidR="00C15F2E" w:rsidRPr="00D96063" w:rsidRDefault="00C15F2E" w:rsidP="00997D10">
            <w:pPr>
              <w:spacing w:line="276" w:lineRule="auto"/>
              <w:rPr>
                <w:b/>
                <w:color w:val="FFFFFF" w:themeColor="background1"/>
                <w:sz w:val="16"/>
              </w:rPr>
            </w:pPr>
            <w:r w:rsidRPr="00D96063">
              <w:rPr>
                <w:b/>
                <w:color w:val="FFFFFF" w:themeColor="background1"/>
                <w:sz w:val="16"/>
              </w:rPr>
              <w:t>Art.</w:t>
            </w:r>
          </w:p>
        </w:tc>
        <w:tc>
          <w:tcPr>
            <w:tcW w:w="1276" w:type="dxa"/>
            <w:shd w:val="clear" w:color="auto" w:fill="006283"/>
            <w:vAlign w:val="center"/>
            <w:hideMark/>
          </w:tcPr>
          <w:p w14:paraId="2A35DB71" w14:textId="77777777" w:rsidR="00C15F2E" w:rsidRPr="00D96063" w:rsidRDefault="00C15F2E" w:rsidP="00997D10">
            <w:pPr>
              <w:spacing w:line="276" w:lineRule="auto"/>
              <w:jc w:val="left"/>
              <w:rPr>
                <w:b/>
                <w:color w:val="FFFFFF" w:themeColor="background1"/>
                <w:sz w:val="16"/>
              </w:rPr>
            </w:pPr>
            <w:r w:rsidRPr="00D96063">
              <w:rPr>
                <w:b/>
                <w:color w:val="FFFFFF" w:themeColor="background1"/>
                <w:sz w:val="16"/>
              </w:rPr>
              <w:t>Notification</w:t>
            </w:r>
          </w:p>
        </w:tc>
        <w:tc>
          <w:tcPr>
            <w:tcW w:w="7036" w:type="dxa"/>
            <w:shd w:val="clear" w:color="auto" w:fill="006283"/>
            <w:vAlign w:val="center"/>
            <w:hideMark/>
          </w:tcPr>
          <w:p w14:paraId="6F3058B6" w14:textId="77777777" w:rsidR="00C15F2E" w:rsidRPr="00D96063" w:rsidRDefault="00C15F2E" w:rsidP="00997D10">
            <w:pPr>
              <w:spacing w:line="276" w:lineRule="auto"/>
              <w:jc w:val="center"/>
              <w:rPr>
                <w:b/>
                <w:color w:val="FFFFFF" w:themeColor="background1"/>
                <w:sz w:val="16"/>
              </w:rPr>
            </w:pPr>
            <w:r w:rsidRPr="00D96063">
              <w:rPr>
                <w:b/>
                <w:color w:val="FFFFFF" w:themeColor="background1"/>
                <w:sz w:val="16"/>
              </w:rPr>
              <w:t>Measure/description</w:t>
            </w:r>
          </w:p>
        </w:tc>
      </w:tr>
      <w:tr w:rsidR="00C15F2E" w:rsidRPr="00D96063" w14:paraId="0E51F342" w14:textId="77777777" w:rsidTr="00997D10">
        <w:tc>
          <w:tcPr>
            <w:tcW w:w="704" w:type="dxa"/>
            <w:hideMark/>
          </w:tcPr>
          <w:p w14:paraId="17CF6FC4" w14:textId="77777777" w:rsidR="00C15F2E" w:rsidRPr="00D96063" w:rsidRDefault="00C15F2E" w:rsidP="00997D10">
            <w:pPr>
              <w:spacing w:line="276" w:lineRule="auto"/>
              <w:jc w:val="left"/>
              <w:rPr>
                <w:sz w:val="16"/>
                <w:szCs w:val="16"/>
              </w:rPr>
            </w:pPr>
            <w:r w:rsidRPr="00D96063">
              <w:rPr>
                <w:sz w:val="16"/>
                <w:szCs w:val="16"/>
              </w:rPr>
              <w:t>1.1</w:t>
            </w:r>
          </w:p>
        </w:tc>
        <w:tc>
          <w:tcPr>
            <w:tcW w:w="1276" w:type="dxa"/>
            <w:hideMark/>
          </w:tcPr>
          <w:p w14:paraId="0BFF6528"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hideMark/>
          </w:tcPr>
          <w:p w14:paraId="5FD876C9" w14:textId="77777777" w:rsidR="00C15F2E" w:rsidRPr="00D96063" w:rsidRDefault="00C15F2E" w:rsidP="00997D10">
            <w:pPr>
              <w:spacing w:line="276" w:lineRule="auto"/>
              <w:jc w:val="left"/>
              <w:rPr>
                <w:sz w:val="16"/>
                <w:szCs w:val="16"/>
              </w:rPr>
            </w:pPr>
            <w:r w:rsidRPr="00D96063">
              <w:rPr>
                <w:sz w:val="16"/>
                <w:szCs w:val="16"/>
              </w:rPr>
              <w:t>Publication</w:t>
            </w:r>
          </w:p>
        </w:tc>
      </w:tr>
      <w:tr w:rsidR="00C15F2E" w:rsidRPr="00D96063" w14:paraId="78361527" w14:textId="77777777" w:rsidTr="00997D10">
        <w:tc>
          <w:tcPr>
            <w:tcW w:w="704" w:type="dxa"/>
            <w:shd w:val="clear" w:color="auto" w:fill="C9DED4"/>
            <w:hideMark/>
          </w:tcPr>
          <w:p w14:paraId="78EDF693" w14:textId="77777777" w:rsidR="00C15F2E" w:rsidRPr="00D96063" w:rsidRDefault="00C15F2E" w:rsidP="00997D10">
            <w:pPr>
              <w:spacing w:line="276" w:lineRule="auto"/>
              <w:jc w:val="left"/>
              <w:rPr>
                <w:sz w:val="16"/>
                <w:szCs w:val="16"/>
              </w:rPr>
            </w:pPr>
            <w:r w:rsidRPr="00D96063">
              <w:rPr>
                <w:sz w:val="16"/>
                <w:szCs w:val="16"/>
              </w:rPr>
              <w:t>1.2</w:t>
            </w:r>
          </w:p>
        </w:tc>
        <w:tc>
          <w:tcPr>
            <w:tcW w:w="1276" w:type="dxa"/>
            <w:shd w:val="clear" w:color="auto" w:fill="C9DED4"/>
            <w:hideMark/>
          </w:tcPr>
          <w:p w14:paraId="5C19702B"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shd w:val="clear" w:color="auto" w:fill="C9DED4"/>
            <w:hideMark/>
          </w:tcPr>
          <w:p w14:paraId="56F10ABF" w14:textId="77777777" w:rsidR="00C15F2E" w:rsidRPr="00D96063" w:rsidRDefault="00C15F2E" w:rsidP="00997D10">
            <w:pPr>
              <w:spacing w:line="276" w:lineRule="auto"/>
              <w:jc w:val="left"/>
              <w:rPr>
                <w:sz w:val="16"/>
                <w:szCs w:val="16"/>
              </w:rPr>
            </w:pPr>
            <w:r w:rsidRPr="00D96063">
              <w:rPr>
                <w:sz w:val="16"/>
                <w:szCs w:val="16"/>
              </w:rPr>
              <w:t>Information Available through the Internet</w:t>
            </w:r>
          </w:p>
        </w:tc>
      </w:tr>
      <w:tr w:rsidR="00C15F2E" w:rsidRPr="00D96063" w14:paraId="5317240D" w14:textId="77777777" w:rsidTr="00997D10">
        <w:tc>
          <w:tcPr>
            <w:tcW w:w="704" w:type="dxa"/>
            <w:hideMark/>
          </w:tcPr>
          <w:p w14:paraId="4DD67C38" w14:textId="77777777" w:rsidR="00C15F2E" w:rsidRPr="00D96063" w:rsidRDefault="00C15F2E" w:rsidP="00997D10">
            <w:pPr>
              <w:spacing w:line="276" w:lineRule="auto"/>
              <w:jc w:val="left"/>
              <w:rPr>
                <w:sz w:val="16"/>
                <w:szCs w:val="16"/>
              </w:rPr>
            </w:pPr>
            <w:r w:rsidRPr="00D96063">
              <w:rPr>
                <w:sz w:val="16"/>
                <w:szCs w:val="16"/>
              </w:rPr>
              <w:t>1.3</w:t>
            </w:r>
          </w:p>
        </w:tc>
        <w:tc>
          <w:tcPr>
            <w:tcW w:w="1276" w:type="dxa"/>
            <w:hideMark/>
          </w:tcPr>
          <w:p w14:paraId="38683E58"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hideMark/>
          </w:tcPr>
          <w:p w14:paraId="122C932F" w14:textId="77777777" w:rsidR="00C15F2E" w:rsidRPr="00D96063" w:rsidRDefault="00C15F2E" w:rsidP="00997D10">
            <w:pPr>
              <w:spacing w:line="276" w:lineRule="auto"/>
              <w:jc w:val="left"/>
              <w:rPr>
                <w:sz w:val="16"/>
                <w:szCs w:val="16"/>
              </w:rPr>
            </w:pPr>
            <w:r w:rsidRPr="00D96063">
              <w:rPr>
                <w:sz w:val="16"/>
                <w:szCs w:val="16"/>
              </w:rPr>
              <w:t>Enquiry Points</w:t>
            </w:r>
          </w:p>
        </w:tc>
      </w:tr>
      <w:tr w:rsidR="00C15F2E" w:rsidRPr="00D96063" w14:paraId="71E4DE6E" w14:textId="77777777" w:rsidTr="00997D10">
        <w:tc>
          <w:tcPr>
            <w:tcW w:w="704" w:type="dxa"/>
            <w:tcBorders>
              <w:bottom w:val="nil"/>
            </w:tcBorders>
            <w:shd w:val="clear" w:color="auto" w:fill="C9DED4"/>
            <w:hideMark/>
          </w:tcPr>
          <w:p w14:paraId="39CEE67B" w14:textId="77777777" w:rsidR="00C15F2E" w:rsidRPr="00D96063" w:rsidRDefault="00C15F2E" w:rsidP="00997D10">
            <w:pPr>
              <w:spacing w:line="276" w:lineRule="auto"/>
              <w:jc w:val="left"/>
              <w:rPr>
                <w:sz w:val="16"/>
                <w:szCs w:val="16"/>
              </w:rPr>
            </w:pPr>
            <w:r w:rsidRPr="00D96063">
              <w:rPr>
                <w:sz w:val="16"/>
                <w:szCs w:val="16"/>
              </w:rPr>
              <w:t>1.4</w:t>
            </w:r>
          </w:p>
        </w:tc>
        <w:tc>
          <w:tcPr>
            <w:tcW w:w="1276" w:type="dxa"/>
            <w:tcBorders>
              <w:bottom w:val="nil"/>
            </w:tcBorders>
            <w:shd w:val="clear" w:color="auto" w:fill="C9DED4"/>
            <w:hideMark/>
          </w:tcPr>
          <w:p w14:paraId="516CDBC4"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tcBorders>
              <w:bottom w:val="nil"/>
            </w:tcBorders>
            <w:shd w:val="clear" w:color="auto" w:fill="C9DED4"/>
            <w:hideMark/>
          </w:tcPr>
          <w:p w14:paraId="5837DB4C" w14:textId="77777777" w:rsidR="00C15F2E" w:rsidRPr="00D96063" w:rsidRDefault="00C15F2E" w:rsidP="00997D10">
            <w:pPr>
              <w:spacing w:line="276" w:lineRule="auto"/>
              <w:jc w:val="left"/>
              <w:rPr>
                <w:sz w:val="16"/>
                <w:szCs w:val="16"/>
              </w:rPr>
            </w:pPr>
            <w:r w:rsidRPr="00D96063">
              <w:rPr>
                <w:sz w:val="16"/>
                <w:szCs w:val="16"/>
              </w:rPr>
              <w:t>Notification</w:t>
            </w:r>
          </w:p>
        </w:tc>
      </w:tr>
      <w:tr w:rsidR="00C15F2E" w:rsidRPr="00D96063" w14:paraId="4D9B19CC" w14:textId="77777777" w:rsidTr="00997D10">
        <w:tc>
          <w:tcPr>
            <w:tcW w:w="704" w:type="dxa"/>
            <w:tcBorders>
              <w:top w:val="nil"/>
              <w:bottom w:val="nil"/>
            </w:tcBorders>
            <w:hideMark/>
          </w:tcPr>
          <w:p w14:paraId="74360A68" w14:textId="77777777" w:rsidR="00C15F2E" w:rsidRPr="00D96063" w:rsidRDefault="00C15F2E" w:rsidP="00997D10">
            <w:pPr>
              <w:spacing w:line="276" w:lineRule="auto"/>
              <w:jc w:val="left"/>
              <w:rPr>
                <w:sz w:val="16"/>
                <w:szCs w:val="16"/>
              </w:rPr>
            </w:pPr>
            <w:r w:rsidRPr="00D96063">
              <w:rPr>
                <w:sz w:val="16"/>
                <w:szCs w:val="16"/>
              </w:rPr>
              <w:t>2.1</w:t>
            </w:r>
          </w:p>
        </w:tc>
        <w:tc>
          <w:tcPr>
            <w:tcW w:w="1276" w:type="dxa"/>
            <w:tcBorders>
              <w:top w:val="nil"/>
              <w:bottom w:val="nil"/>
            </w:tcBorders>
            <w:hideMark/>
          </w:tcPr>
          <w:p w14:paraId="583A4013"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tcBorders>
              <w:top w:val="nil"/>
              <w:bottom w:val="nil"/>
            </w:tcBorders>
            <w:hideMark/>
          </w:tcPr>
          <w:p w14:paraId="4DB90253" w14:textId="77777777" w:rsidR="00C15F2E" w:rsidRPr="00D96063" w:rsidRDefault="00C15F2E" w:rsidP="00997D10">
            <w:pPr>
              <w:spacing w:line="276" w:lineRule="auto"/>
              <w:jc w:val="left"/>
              <w:rPr>
                <w:sz w:val="16"/>
                <w:szCs w:val="16"/>
              </w:rPr>
            </w:pPr>
            <w:r w:rsidRPr="00D96063">
              <w:rPr>
                <w:sz w:val="16"/>
                <w:szCs w:val="16"/>
              </w:rPr>
              <w:t>Opportunity to Comment and Information before Entry into Force</w:t>
            </w:r>
          </w:p>
        </w:tc>
      </w:tr>
      <w:tr w:rsidR="00C15F2E" w:rsidRPr="00D96063" w14:paraId="32129372" w14:textId="77777777" w:rsidTr="00997D10">
        <w:tc>
          <w:tcPr>
            <w:tcW w:w="704" w:type="dxa"/>
            <w:tcBorders>
              <w:top w:val="nil"/>
              <w:bottom w:val="nil"/>
            </w:tcBorders>
            <w:shd w:val="clear" w:color="auto" w:fill="C9DED4"/>
            <w:hideMark/>
          </w:tcPr>
          <w:p w14:paraId="52397350" w14:textId="77777777" w:rsidR="00C15F2E" w:rsidRPr="00D96063" w:rsidRDefault="00C15F2E" w:rsidP="00997D10">
            <w:pPr>
              <w:spacing w:line="276" w:lineRule="auto"/>
              <w:jc w:val="left"/>
              <w:rPr>
                <w:sz w:val="16"/>
                <w:szCs w:val="16"/>
              </w:rPr>
            </w:pPr>
            <w:r w:rsidRPr="00D96063">
              <w:rPr>
                <w:sz w:val="16"/>
                <w:szCs w:val="16"/>
              </w:rPr>
              <w:t>2.2</w:t>
            </w:r>
          </w:p>
        </w:tc>
        <w:tc>
          <w:tcPr>
            <w:tcW w:w="1276" w:type="dxa"/>
            <w:tcBorders>
              <w:top w:val="nil"/>
              <w:bottom w:val="nil"/>
            </w:tcBorders>
            <w:shd w:val="clear" w:color="auto" w:fill="C9DED4"/>
            <w:hideMark/>
          </w:tcPr>
          <w:p w14:paraId="0109937E"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tcBorders>
              <w:top w:val="nil"/>
              <w:bottom w:val="nil"/>
            </w:tcBorders>
            <w:shd w:val="clear" w:color="auto" w:fill="C9DED4"/>
            <w:hideMark/>
          </w:tcPr>
          <w:p w14:paraId="676BEA90" w14:textId="77777777" w:rsidR="00C15F2E" w:rsidRPr="00D96063" w:rsidRDefault="00C15F2E" w:rsidP="00997D10">
            <w:pPr>
              <w:spacing w:line="276" w:lineRule="auto"/>
              <w:jc w:val="left"/>
              <w:rPr>
                <w:sz w:val="16"/>
                <w:szCs w:val="16"/>
              </w:rPr>
            </w:pPr>
            <w:r w:rsidRPr="00D96063">
              <w:rPr>
                <w:sz w:val="16"/>
                <w:szCs w:val="16"/>
              </w:rPr>
              <w:t>Consultations</w:t>
            </w:r>
          </w:p>
        </w:tc>
      </w:tr>
      <w:tr w:rsidR="00C15F2E" w:rsidRPr="00D96063" w14:paraId="5769BD5B" w14:textId="77777777" w:rsidTr="00997D10">
        <w:tc>
          <w:tcPr>
            <w:tcW w:w="704" w:type="dxa"/>
            <w:tcBorders>
              <w:top w:val="nil"/>
              <w:bottom w:val="nil"/>
            </w:tcBorders>
            <w:hideMark/>
          </w:tcPr>
          <w:p w14:paraId="0DAF4865" w14:textId="77777777" w:rsidR="00C15F2E" w:rsidRPr="00D96063" w:rsidRDefault="00C15F2E" w:rsidP="00997D10">
            <w:pPr>
              <w:spacing w:line="276" w:lineRule="auto"/>
              <w:jc w:val="left"/>
              <w:rPr>
                <w:sz w:val="16"/>
                <w:szCs w:val="16"/>
              </w:rPr>
            </w:pPr>
            <w:r w:rsidRPr="00D96063">
              <w:rPr>
                <w:sz w:val="16"/>
                <w:szCs w:val="16"/>
              </w:rPr>
              <w:t>3</w:t>
            </w:r>
          </w:p>
        </w:tc>
        <w:tc>
          <w:tcPr>
            <w:tcW w:w="1276" w:type="dxa"/>
            <w:tcBorders>
              <w:top w:val="nil"/>
              <w:bottom w:val="nil"/>
            </w:tcBorders>
            <w:hideMark/>
          </w:tcPr>
          <w:p w14:paraId="18790537"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tcBorders>
              <w:top w:val="nil"/>
              <w:bottom w:val="nil"/>
            </w:tcBorders>
            <w:hideMark/>
          </w:tcPr>
          <w:p w14:paraId="75C9BD22" w14:textId="77777777" w:rsidR="00C15F2E" w:rsidRPr="00D96063" w:rsidRDefault="00C15F2E" w:rsidP="00997D10">
            <w:pPr>
              <w:spacing w:line="276" w:lineRule="auto"/>
              <w:jc w:val="left"/>
              <w:rPr>
                <w:sz w:val="16"/>
                <w:szCs w:val="16"/>
              </w:rPr>
            </w:pPr>
            <w:r w:rsidRPr="00D96063">
              <w:rPr>
                <w:sz w:val="16"/>
                <w:szCs w:val="16"/>
              </w:rPr>
              <w:t>Advance Rulings</w:t>
            </w:r>
          </w:p>
        </w:tc>
      </w:tr>
      <w:tr w:rsidR="00C15F2E" w:rsidRPr="00D96063" w14:paraId="6368A92A" w14:textId="77777777" w:rsidTr="00997D10">
        <w:tc>
          <w:tcPr>
            <w:tcW w:w="704" w:type="dxa"/>
            <w:tcBorders>
              <w:top w:val="nil"/>
              <w:bottom w:val="nil"/>
            </w:tcBorders>
            <w:shd w:val="clear" w:color="auto" w:fill="C9DED4"/>
            <w:hideMark/>
          </w:tcPr>
          <w:p w14:paraId="0E923D94" w14:textId="77777777" w:rsidR="00C15F2E" w:rsidRPr="00D96063" w:rsidRDefault="00C15F2E" w:rsidP="00997D10">
            <w:pPr>
              <w:spacing w:line="276" w:lineRule="auto"/>
              <w:jc w:val="left"/>
              <w:rPr>
                <w:sz w:val="16"/>
                <w:szCs w:val="16"/>
              </w:rPr>
            </w:pPr>
            <w:r w:rsidRPr="00D96063">
              <w:rPr>
                <w:sz w:val="16"/>
                <w:szCs w:val="16"/>
              </w:rPr>
              <w:t>4</w:t>
            </w:r>
          </w:p>
        </w:tc>
        <w:tc>
          <w:tcPr>
            <w:tcW w:w="1276" w:type="dxa"/>
            <w:tcBorders>
              <w:top w:val="nil"/>
              <w:bottom w:val="nil"/>
            </w:tcBorders>
            <w:shd w:val="clear" w:color="auto" w:fill="C9DED4"/>
            <w:hideMark/>
          </w:tcPr>
          <w:p w14:paraId="1B51115D"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tcBorders>
              <w:top w:val="nil"/>
              <w:bottom w:val="nil"/>
            </w:tcBorders>
            <w:shd w:val="clear" w:color="auto" w:fill="C9DED4"/>
            <w:hideMark/>
          </w:tcPr>
          <w:p w14:paraId="1013D1EA" w14:textId="77777777" w:rsidR="00C15F2E" w:rsidRPr="00D96063" w:rsidRDefault="00C15F2E" w:rsidP="00997D10">
            <w:pPr>
              <w:spacing w:line="276" w:lineRule="auto"/>
              <w:jc w:val="left"/>
              <w:rPr>
                <w:sz w:val="16"/>
                <w:szCs w:val="16"/>
              </w:rPr>
            </w:pPr>
            <w:r w:rsidRPr="00D96063">
              <w:rPr>
                <w:sz w:val="16"/>
                <w:szCs w:val="16"/>
              </w:rPr>
              <w:t>Procedures for Appeal or Review</w:t>
            </w:r>
          </w:p>
        </w:tc>
      </w:tr>
      <w:tr w:rsidR="00C15F2E" w:rsidRPr="00D96063" w14:paraId="15F8B6FA" w14:textId="77777777" w:rsidTr="00997D10">
        <w:tc>
          <w:tcPr>
            <w:tcW w:w="704" w:type="dxa"/>
            <w:tcBorders>
              <w:top w:val="nil"/>
            </w:tcBorders>
            <w:hideMark/>
          </w:tcPr>
          <w:p w14:paraId="412EA213" w14:textId="77777777" w:rsidR="00C15F2E" w:rsidRPr="00D96063" w:rsidRDefault="00C15F2E" w:rsidP="00997D10">
            <w:pPr>
              <w:spacing w:line="276" w:lineRule="auto"/>
              <w:jc w:val="left"/>
              <w:rPr>
                <w:sz w:val="16"/>
                <w:szCs w:val="16"/>
              </w:rPr>
            </w:pPr>
            <w:r w:rsidRPr="00D96063">
              <w:rPr>
                <w:sz w:val="16"/>
                <w:szCs w:val="16"/>
              </w:rPr>
              <w:t>5.1</w:t>
            </w:r>
          </w:p>
        </w:tc>
        <w:tc>
          <w:tcPr>
            <w:tcW w:w="1276" w:type="dxa"/>
            <w:tcBorders>
              <w:top w:val="nil"/>
            </w:tcBorders>
            <w:hideMark/>
          </w:tcPr>
          <w:p w14:paraId="350C895F"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tcBorders>
              <w:top w:val="nil"/>
            </w:tcBorders>
            <w:hideMark/>
          </w:tcPr>
          <w:p w14:paraId="3CFECC84" w14:textId="77777777" w:rsidR="00C15F2E" w:rsidRPr="00D96063" w:rsidRDefault="00C15F2E" w:rsidP="00997D10">
            <w:pPr>
              <w:spacing w:line="276" w:lineRule="auto"/>
              <w:jc w:val="left"/>
              <w:rPr>
                <w:sz w:val="16"/>
                <w:szCs w:val="16"/>
              </w:rPr>
            </w:pPr>
            <w:r w:rsidRPr="00D96063">
              <w:rPr>
                <w:sz w:val="16"/>
                <w:szCs w:val="16"/>
              </w:rPr>
              <w:t>Notifications for Enhanced Controls or Inspections</w:t>
            </w:r>
          </w:p>
        </w:tc>
      </w:tr>
      <w:tr w:rsidR="00C15F2E" w:rsidRPr="00D96063" w14:paraId="70776B59" w14:textId="77777777" w:rsidTr="00997D10">
        <w:tc>
          <w:tcPr>
            <w:tcW w:w="704" w:type="dxa"/>
            <w:shd w:val="clear" w:color="auto" w:fill="C9DED4"/>
            <w:hideMark/>
          </w:tcPr>
          <w:p w14:paraId="01905231" w14:textId="77777777" w:rsidR="00C15F2E" w:rsidRPr="00D96063" w:rsidRDefault="00C15F2E" w:rsidP="00997D10">
            <w:pPr>
              <w:spacing w:line="276" w:lineRule="auto"/>
              <w:jc w:val="left"/>
              <w:rPr>
                <w:sz w:val="16"/>
                <w:szCs w:val="16"/>
              </w:rPr>
            </w:pPr>
            <w:r w:rsidRPr="00D96063">
              <w:rPr>
                <w:sz w:val="16"/>
                <w:szCs w:val="16"/>
              </w:rPr>
              <w:t>5.2</w:t>
            </w:r>
          </w:p>
        </w:tc>
        <w:tc>
          <w:tcPr>
            <w:tcW w:w="1276" w:type="dxa"/>
            <w:shd w:val="clear" w:color="auto" w:fill="C9DED4"/>
            <w:hideMark/>
          </w:tcPr>
          <w:p w14:paraId="18ADCC37" w14:textId="77777777" w:rsidR="00C15F2E" w:rsidRPr="00D96063" w:rsidRDefault="00C15F2E" w:rsidP="00997D10">
            <w:pPr>
              <w:spacing w:line="276" w:lineRule="auto"/>
              <w:jc w:val="left"/>
              <w:rPr>
                <w:sz w:val="16"/>
                <w:szCs w:val="16"/>
              </w:rPr>
            </w:pPr>
            <w:r w:rsidRPr="00D96063">
              <w:rPr>
                <w:sz w:val="16"/>
                <w:szCs w:val="16"/>
              </w:rPr>
              <w:t>Category B</w:t>
            </w:r>
          </w:p>
        </w:tc>
        <w:tc>
          <w:tcPr>
            <w:tcW w:w="7036" w:type="dxa"/>
            <w:shd w:val="clear" w:color="auto" w:fill="C9DED4"/>
            <w:hideMark/>
          </w:tcPr>
          <w:p w14:paraId="5E80061D" w14:textId="77777777" w:rsidR="00C15F2E" w:rsidRPr="00D96063" w:rsidRDefault="00C15F2E" w:rsidP="00997D10">
            <w:pPr>
              <w:spacing w:line="276" w:lineRule="auto"/>
              <w:jc w:val="left"/>
              <w:rPr>
                <w:sz w:val="16"/>
                <w:szCs w:val="16"/>
              </w:rPr>
            </w:pPr>
            <w:r w:rsidRPr="00D96063">
              <w:rPr>
                <w:sz w:val="16"/>
                <w:szCs w:val="16"/>
              </w:rPr>
              <w:t>Detention</w:t>
            </w:r>
          </w:p>
        </w:tc>
      </w:tr>
      <w:tr w:rsidR="00C15F2E" w:rsidRPr="00D96063" w14:paraId="1B828850" w14:textId="77777777" w:rsidTr="00997D10">
        <w:tc>
          <w:tcPr>
            <w:tcW w:w="704" w:type="dxa"/>
            <w:hideMark/>
          </w:tcPr>
          <w:p w14:paraId="305E3190" w14:textId="77777777" w:rsidR="00C15F2E" w:rsidRPr="00D96063" w:rsidRDefault="00C15F2E" w:rsidP="00997D10">
            <w:pPr>
              <w:spacing w:line="276" w:lineRule="auto"/>
              <w:jc w:val="left"/>
              <w:rPr>
                <w:sz w:val="16"/>
                <w:szCs w:val="16"/>
              </w:rPr>
            </w:pPr>
            <w:r w:rsidRPr="00D96063">
              <w:rPr>
                <w:sz w:val="16"/>
                <w:szCs w:val="16"/>
              </w:rPr>
              <w:t>5.3</w:t>
            </w:r>
          </w:p>
        </w:tc>
        <w:tc>
          <w:tcPr>
            <w:tcW w:w="1276" w:type="dxa"/>
            <w:hideMark/>
          </w:tcPr>
          <w:p w14:paraId="28A04172"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hideMark/>
          </w:tcPr>
          <w:p w14:paraId="26FB8DFA" w14:textId="77777777" w:rsidR="00C15F2E" w:rsidRPr="00D96063" w:rsidRDefault="00C15F2E" w:rsidP="00997D10">
            <w:pPr>
              <w:spacing w:line="276" w:lineRule="auto"/>
              <w:jc w:val="left"/>
              <w:rPr>
                <w:sz w:val="16"/>
                <w:szCs w:val="16"/>
              </w:rPr>
            </w:pPr>
            <w:r w:rsidRPr="00D96063">
              <w:rPr>
                <w:sz w:val="16"/>
                <w:szCs w:val="16"/>
              </w:rPr>
              <w:t>Test Procedures</w:t>
            </w:r>
          </w:p>
        </w:tc>
      </w:tr>
      <w:tr w:rsidR="00C15F2E" w:rsidRPr="00D96063" w14:paraId="059D6BE7" w14:textId="77777777" w:rsidTr="00997D10">
        <w:tc>
          <w:tcPr>
            <w:tcW w:w="704" w:type="dxa"/>
            <w:shd w:val="clear" w:color="auto" w:fill="C9DED4"/>
            <w:hideMark/>
          </w:tcPr>
          <w:p w14:paraId="79B42C64" w14:textId="77777777" w:rsidR="00C15F2E" w:rsidRPr="00D96063" w:rsidRDefault="00C15F2E" w:rsidP="00997D10">
            <w:pPr>
              <w:spacing w:line="276" w:lineRule="auto"/>
              <w:jc w:val="left"/>
              <w:rPr>
                <w:sz w:val="16"/>
                <w:szCs w:val="16"/>
              </w:rPr>
            </w:pPr>
            <w:r w:rsidRPr="00D96063">
              <w:rPr>
                <w:sz w:val="16"/>
                <w:szCs w:val="16"/>
              </w:rPr>
              <w:t>6.1</w:t>
            </w:r>
          </w:p>
        </w:tc>
        <w:tc>
          <w:tcPr>
            <w:tcW w:w="1276" w:type="dxa"/>
            <w:shd w:val="clear" w:color="auto" w:fill="C9DED4"/>
            <w:hideMark/>
          </w:tcPr>
          <w:p w14:paraId="1017F589" w14:textId="77777777" w:rsidR="00C15F2E" w:rsidRPr="00D96063" w:rsidRDefault="00C15F2E" w:rsidP="00997D10">
            <w:pPr>
              <w:spacing w:line="276" w:lineRule="auto"/>
              <w:jc w:val="left"/>
              <w:rPr>
                <w:sz w:val="16"/>
                <w:szCs w:val="16"/>
              </w:rPr>
            </w:pPr>
            <w:r w:rsidRPr="00D96063">
              <w:rPr>
                <w:sz w:val="16"/>
                <w:szCs w:val="16"/>
              </w:rPr>
              <w:t xml:space="preserve">Category C </w:t>
            </w:r>
          </w:p>
        </w:tc>
        <w:tc>
          <w:tcPr>
            <w:tcW w:w="7036" w:type="dxa"/>
            <w:shd w:val="clear" w:color="auto" w:fill="C9DED4"/>
            <w:hideMark/>
          </w:tcPr>
          <w:p w14:paraId="02335055" w14:textId="77777777" w:rsidR="00C15F2E" w:rsidRPr="00D96063" w:rsidRDefault="00C15F2E" w:rsidP="00997D10">
            <w:pPr>
              <w:spacing w:line="276" w:lineRule="auto"/>
              <w:jc w:val="left"/>
              <w:rPr>
                <w:sz w:val="16"/>
                <w:szCs w:val="16"/>
              </w:rPr>
            </w:pPr>
            <w:r w:rsidRPr="00D96063">
              <w:rPr>
                <w:sz w:val="16"/>
                <w:szCs w:val="16"/>
              </w:rPr>
              <w:t>General Disciplines on Fees and Charges Imposed on Importation and Exportation</w:t>
            </w:r>
          </w:p>
        </w:tc>
      </w:tr>
      <w:tr w:rsidR="00C15F2E" w:rsidRPr="00D96063" w14:paraId="74915076" w14:textId="77777777" w:rsidTr="00997D10">
        <w:tc>
          <w:tcPr>
            <w:tcW w:w="704" w:type="dxa"/>
            <w:hideMark/>
          </w:tcPr>
          <w:p w14:paraId="0341380B" w14:textId="77777777" w:rsidR="00C15F2E" w:rsidRPr="00D96063" w:rsidRDefault="00C15F2E" w:rsidP="00997D10">
            <w:pPr>
              <w:spacing w:line="276" w:lineRule="auto"/>
              <w:jc w:val="left"/>
              <w:rPr>
                <w:sz w:val="16"/>
                <w:szCs w:val="16"/>
              </w:rPr>
            </w:pPr>
            <w:r w:rsidRPr="00D96063">
              <w:rPr>
                <w:sz w:val="16"/>
                <w:szCs w:val="16"/>
              </w:rPr>
              <w:t>6.2</w:t>
            </w:r>
          </w:p>
        </w:tc>
        <w:tc>
          <w:tcPr>
            <w:tcW w:w="1276" w:type="dxa"/>
            <w:hideMark/>
          </w:tcPr>
          <w:p w14:paraId="780FAE2A" w14:textId="77777777" w:rsidR="00C15F2E" w:rsidRPr="00D96063" w:rsidRDefault="00C15F2E" w:rsidP="00997D10">
            <w:pPr>
              <w:spacing w:line="276" w:lineRule="auto"/>
              <w:jc w:val="left"/>
              <w:rPr>
                <w:sz w:val="16"/>
                <w:szCs w:val="16"/>
              </w:rPr>
            </w:pPr>
            <w:r w:rsidRPr="00D96063">
              <w:rPr>
                <w:sz w:val="16"/>
                <w:szCs w:val="16"/>
              </w:rPr>
              <w:t xml:space="preserve">Category C </w:t>
            </w:r>
          </w:p>
        </w:tc>
        <w:tc>
          <w:tcPr>
            <w:tcW w:w="7036" w:type="dxa"/>
            <w:hideMark/>
          </w:tcPr>
          <w:p w14:paraId="0C996A57" w14:textId="77777777" w:rsidR="00C15F2E" w:rsidRPr="00D96063" w:rsidRDefault="00C15F2E" w:rsidP="00997D10">
            <w:pPr>
              <w:spacing w:line="276" w:lineRule="auto"/>
              <w:jc w:val="left"/>
              <w:rPr>
                <w:sz w:val="16"/>
                <w:szCs w:val="16"/>
              </w:rPr>
            </w:pPr>
            <w:r w:rsidRPr="00D96063">
              <w:rPr>
                <w:sz w:val="16"/>
                <w:szCs w:val="16"/>
              </w:rPr>
              <w:t xml:space="preserve">Specific Disciplines on Fees and Charges for Customs Processing </w:t>
            </w:r>
          </w:p>
        </w:tc>
      </w:tr>
      <w:tr w:rsidR="00C15F2E" w:rsidRPr="00D96063" w14:paraId="7EBA433A" w14:textId="77777777" w:rsidTr="00997D10">
        <w:tc>
          <w:tcPr>
            <w:tcW w:w="704" w:type="dxa"/>
            <w:shd w:val="clear" w:color="auto" w:fill="C9DED4"/>
            <w:hideMark/>
          </w:tcPr>
          <w:p w14:paraId="05C8BC4D" w14:textId="77777777" w:rsidR="00C15F2E" w:rsidRPr="00D96063" w:rsidRDefault="00C15F2E" w:rsidP="00997D10">
            <w:pPr>
              <w:spacing w:line="276" w:lineRule="auto"/>
              <w:jc w:val="left"/>
              <w:rPr>
                <w:sz w:val="16"/>
                <w:szCs w:val="16"/>
              </w:rPr>
            </w:pPr>
            <w:r w:rsidRPr="00D96063">
              <w:rPr>
                <w:sz w:val="16"/>
                <w:szCs w:val="16"/>
              </w:rPr>
              <w:t>6.3</w:t>
            </w:r>
          </w:p>
        </w:tc>
        <w:tc>
          <w:tcPr>
            <w:tcW w:w="1276" w:type="dxa"/>
            <w:shd w:val="clear" w:color="auto" w:fill="C9DED4"/>
            <w:hideMark/>
          </w:tcPr>
          <w:p w14:paraId="00EC8C26" w14:textId="77777777" w:rsidR="00C15F2E" w:rsidRPr="00D96063" w:rsidRDefault="00C15F2E" w:rsidP="00997D10">
            <w:pPr>
              <w:spacing w:line="276" w:lineRule="auto"/>
              <w:jc w:val="left"/>
              <w:rPr>
                <w:sz w:val="16"/>
                <w:szCs w:val="16"/>
              </w:rPr>
            </w:pPr>
            <w:r w:rsidRPr="00D96063">
              <w:rPr>
                <w:sz w:val="16"/>
                <w:szCs w:val="16"/>
              </w:rPr>
              <w:t>Category A</w:t>
            </w:r>
          </w:p>
        </w:tc>
        <w:tc>
          <w:tcPr>
            <w:tcW w:w="7036" w:type="dxa"/>
            <w:shd w:val="clear" w:color="auto" w:fill="C9DED4"/>
            <w:hideMark/>
          </w:tcPr>
          <w:p w14:paraId="0DC94DCC" w14:textId="77777777" w:rsidR="00C15F2E" w:rsidRPr="00D96063" w:rsidRDefault="00C15F2E" w:rsidP="00997D10">
            <w:pPr>
              <w:spacing w:line="276" w:lineRule="auto"/>
              <w:jc w:val="left"/>
              <w:rPr>
                <w:sz w:val="16"/>
                <w:szCs w:val="16"/>
              </w:rPr>
            </w:pPr>
            <w:r w:rsidRPr="00D96063">
              <w:rPr>
                <w:sz w:val="16"/>
                <w:szCs w:val="16"/>
              </w:rPr>
              <w:t>Penalty Disciplines</w:t>
            </w:r>
          </w:p>
        </w:tc>
      </w:tr>
      <w:tr w:rsidR="00C15F2E" w:rsidRPr="00D96063" w14:paraId="3FA9361B" w14:textId="77777777" w:rsidTr="00997D10">
        <w:tc>
          <w:tcPr>
            <w:tcW w:w="704" w:type="dxa"/>
            <w:hideMark/>
          </w:tcPr>
          <w:p w14:paraId="4AB215A6" w14:textId="77777777" w:rsidR="00C15F2E" w:rsidRPr="00D96063" w:rsidRDefault="00C15F2E" w:rsidP="00997D10">
            <w:pPr>
              <w:spacing w:line="276" w:lineRule="auto"/>
              <w:jc w:val="left"/>
              <w:rPr>
                <w:sz w:val="16"/>
                <w:szCs w:val="16"/>
              </w:rPr>
            </w:pPr>
            <w:r w:rsidRPr="00D96063">
              <w:rPr>
                <w:sz w:val="16"/>
                <w:szCs w:val="16"/>
              </w:rPr>
              <w:t>7.1</w:t>
            </w:r>
          </w:p>
        </w:tc>
        <w:tc>
          <w:tcPr>
            <w:tcW w:w="1276" w:type="dxa"/>
            <w:hideMark/>
          </w:tcPr>
          <w:p w14:paraId="2CF5500E"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hideMark/>
          </w:tcPr>
          <w:p w14:paraId="5A0CFF41" w14:textId="77777777" w:rsidR="00C15F2E" w:rsidRPr="00D96063" w:rsidRDefault="00C15F2E" w:rsidP="00997D10">
            <w:pPr>
              <w:spacing w:line="276" w:lineRule="auto"/>
              <w:jc w:val="left"/>
              <w:rPr>
                <w:sz w:val="16"/>
                <w:szCs w:val="16"/>
              </w:rPr>
            </w:pPr>
            <w:r w:rsidRPr="00D96063">
              <w:rPr>
                <w:sz w:val="16"/>
                <w:szCs w:val="16"/>
              </w:rPr>
              <w:t>Pre-arrival Processing</w:t>
            </w:r>
          </w:p>
        </w:tc>
      </w:tr>
      <w:tr w:rsidR="00C15F2E" w:rsidRPr="00D96063" w14:paraId="1810E801" w14:textId="77777777" w:rsidTr="00997D10">
        <w:tc>
          <w:tcPr>
            <w:tcW w:w="704" w:type="dxa"/>
            <w:shd w:val="clear" w:color="auto" w:fill="C9DED4"/>
            <w:hideMark/>
          </w:tcPr>
          <w:p w14:paraId="598D8D50" w14:textId="77777777" w:rsidR="00C15F2E" w:rsidRPr="00D96063" w:rsidRDefault="00C15F2E" w:rsidP="00997D10">
            <w:pPr>
              <w:spacing w:line="276" w:lineRule="auto"/>
              <w:jc w:val="left"/>
              <w:rPr>
                <w:sz w:val="16"/>
                <w:szCs w:val="16"/>
              </w:rPr>
            </w:pPr>
            <w:r w:rsidRPr="00D96063">
              <w:rPr>
                <w:sz w:val="16"/>
                <w:szCs w:val="16"/>
              </w:rPr>
              <w:t>7.2</w:t>
            </w:r>
          </w:p>
        </w:tc>
        <w:tc>
          <w:tcPr>
            <w:tcW w:w="1276" w:type="dxa"/>
            <w:shd w:val="clear" w:color="auto" w:fill="C9DED4"/>
            <w:hideMark/>
          </w:tcPr>
          <w:p w14:paraId="2673184C"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shd w:val="clear" w:color="auto" w:fill="C9DED4"/>
            <w:hideMark/>
          </w:tcPr>
          <w:p w14:paraId="2877D41B" w14:textId="77777777" w:rsidR="00C15F2E" w:rsidRPr="00D96063" w:rsidRDefault="00C15F2E" w:rsidP="00997D10">
            <w:pPr>
              <w:spacing w:line="276" w:lineRule="auto"/>
              <w:jc w:val="left"/>
              <w:rPr>
                <w:sz w:val="16"/>
                <w:szCs w:val="16"/>
              </w:rPr>
            </w:pPr>
            <w:r w:rsidRPr="00D96063">
              <w:rPr>
                <w:sz w:val="16"/>
                <w:szCs w:val="16"/>
              </w:rPr>
              <w:t>Electronic Payment</w:t>
            </w:r>
          </w:p>
        </w:tc>
      </w:tr>
      <w:tr w:rsidR="00C15F2E" w:rsidRPr="00D96063" w14:paraId="1A12571B" w14:textId="77777777" w:rsidTr="00997D10">
        <w:tc>
          <w:tcPr>
            <w:tcW w:w="704" w:type="dxa"/>
            <w:hideMark/>
          </w:tcPr>
          <w:p w14:paraId="5BA119D2" w14:textId="77777777" w:rsidR="00C15F2E" w:rsidRPr="00D96063" w:rsidRDefault="00C15F2E" w:rsidP="00997D10">
            <w:pPr>
              <w:spacing w:line="276" w:lineRule="auto"/>
              <w:jc w:val="left"/>
              <w:rPr>
                <w:sz w:val="16"/>
                <w:szCs w:val="16"/>
              </w:rPr>
            </w:pPr>
            <w:r w:rsidRPr="00D96063">
              <w:rPr>
                <w:sz w:val="16"/>
                <w:szCs w:val="16"/>
              </w:rPr>
              <w:t>7.3</w:t>
            </w:r>
          </w:p>
        </w:tc>
        <w:tc>
          <w:tcPr>
            <w:tcW w:w="1276" w:type="dxa"/>
            <w:hideMark/>
          </w:tcPr>
          <w:p w14:paraId="4E68749D" w14:textId="77777777" w:rsidR="00C15F2E" w:rsidRPr="00D96063" w:rsidRDefault="00C15F2E" w:rsidP="00997D10">
            <w:pPr>
              <w:spacing w:line="276" w:lineRule="auto"/>
              <w:jc w:val="left"/>
              <w:rPr>
                <w:sz w:val="16"/>
                <w:szCs w:val="16"/>
              </w:rPr>
            </w:pPr>
            <w:r w:rsidRPr="00D96063">
              <w:rPr>
                <w:sz w:val="16"/>
                <w:szCs w:val="16"/>
              </w:rPr>
              <w:t xml:space="preserve">Category B </w:t>
            </w:r>
          </w:p>
        </w:tc>
        <w:tc>
          <w:tcPr>
            <w:tcW w:w="7036" w:type="dxa"/>
            <w:hideMark/>
          </w:tcPr>
          <w:p w14:paraId="184E9762" w14:textId="77777777" w:rsidR="00C15F2E" w:rsidRPr="00D96063" w:rsidRDefault="00C15F2E" w:rsidP="00997D10">
            <w:pPr>
              <w:spacing w:line="276" w:lineRule="auto"/>
              <w:jc w:val="left"/>
              <w:rPr>
                <w:sz w:val="16"/>
                <w:szCs w:val="16"/>
              </w:rPr>
            </w:pPr>
            <w:r w:rsidRPr="00D96063">
              <w:rPr>
                <w:sz w:val="16"/>
                <w:szCs w:val="16"/>
              </w:rPr>
              <w:t xml:space="preserve">Separation of Release from Final Determination of Customs Duties, Taxes, Fees </w:t>
            </w:r>
          </w:p>
        </w:tc>
      </w:tr>
      <w:tr w:rsidR="00C15F2E" w:rsidRPr="00D96063" w14:paraId="128C0646" w14:textId="77777777" w:rsidTr="00997D10">
        <w:tc>
          <w:tcPr>
            <w:tcW w:w="704" w:type="dxa"/>
            <w:shd w:val="clear" w:color="auto" w:fill="C9DED4"/>
            <w:hideMark/>
          </w:tcPr>
          <w:p w14:paraId="4CA46BBE" w14:textId="77777777" w:rsidR="00C15F2E" w:rsidRPr="00D96063" w:rsidRDefault="00C15F2E" w:rsidP="00997D10">
            <w:pPr>
              <w:spacing w:line="276" w:lineRule="auto"/>
              <w:jc w:val="left"/>
              <w:rPr>
                <w:sz w:val="16"/>
                <w:szCs w:val="16"/>
              </w:rPr>
            </w:pPr>
            <w:r w:rsidRPr="00D96063">
              <w:rPr>
                <w:sz w:val="16"/>
                <w:szCs w:val="16"/>
              </w:rPr>
              <w:t>7.4</w:t>
            </w:r>
          </w:p>
        </w:tc>
        <w:tc>
          <w:tcPr>
            <w:tcW w:w="1276" w:type="dxa"/>
            <w:shd w:val="clear" w:color="auto" w:fill="C9DED4"/>
            <w:hideMark/>
          </w:tcPr>
          <w:p w14:paraId="5AC6360F"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shd w:val="clear" w:color="auto" w:fill="C9DED4"/>
            <w:hideMark/>
          </w:tcPr>
          <w:p w14:paraId="0114B5B8" w14:textId="77777777" w:rsidR="00C15F2E" w:rsidRPr="00D96063" w:rsidRDefault="00C15F2E" w:rsidP="00997D10">
            <w:pPr>
              <w:spacing w:line="276" w:lineRule="auto"/>
              <w:jc w:val="left"/>
              <w:rPr>
                <w:sz w:val="16"/>
                <w:szCs w:val="16"/>
              </w:rPr>
            </w:pPr>
            <w:r w:rsidRPr="00D96063">
              <w:rPr>
                <w:sz w:val="16"/>
                <w:szCs w:val="16"/>
              </w:rPr>
              <w:t>Risk Management</w:t>
            </w:r>
          </w:p>
        </w:tc>
      </w:tr>
      <w:tr w:rsidR="00C15F2E" w:rsidRPr="00D96063" w14:paraId="2144FDA9" w14:textId="77777777" w:rsidTr="00997D10">
        <w:tc>
          <w:tcPr>
            <w:tcW w:w="704" w:type="dxa"/>
            <w:hideMark/>
          </w:tcPr>
          <w:p w14:paraId="20D96846" w14:textId="77777777" w:rsidR="00C15F2E" w:rsidRPr="00D96063" w:rsidRDefault="00C15F2E" w:rsidP="00997D10">
            <w:pPr>
              <w:spacing w:line="276" w:lineRule="auto"/>
              <w:jc w:val="left"/>
              <w:rPr>
                <w:sz w:val="16"/>
                <w:szCs w:val="16"/>
              </w:rPr>
            </w:pPr>
            <w:r w:rsidRPr="00D96063">
              <w:rPr>
                <w:sz w:val="16"/>
                <w:szCs w:val="16"/>
              </w:rPr>
              <w:t>7.5</w:t>
            </w:r>
          </w:p>
        </w:tc>
        <w:tc>
          <w:tcPr>
            <w:tcW w:w="1276" w:type="dxa"/>
            <w:hideMark/>
          </w:tcPr>
          <w:p w14:paraId="4F82174A"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hideMark/>
          </w:tcPr>
          <w:p w14:paraId="4CC44983" w14:textId="77777777" w:rsidR="00C15F2E" w:rsidRPr="00D96063" w:rsidRDefault="00C15F2E" w:rsidP="00997D10">
            <w:pPr>
              <w:spacing w:line="276" w:lineRule="auto"/>
              <w:jc w:val="left"/>
              <w:rPr>
                <w:sz w:val="16"/>
                <w:szCs w:val="16"/>
              </w:rPr>
            </w:pPr>
            <w:r w:rsidRPr="00D96063">
              <w:rPr>
                <w:sz w:val="16"/>
                <w:szCs w:val="16"/>
              </w:rPr>
              <w:t>Post-Clearance Audit</w:t>
            </w:r>
          </w:p>
        </w:tc>
      </w:tr>
      <w:tr w:rsidR="00C15F2E" w:rsidRPr="00D96063" w14:paraId="2C56C9ED" w14:textId="77777777" w:rsidTr="00997D10">
        <w:tc>
          <w:tcPr>
            <w:tcW w:w="704" w:type="dxa"/>
            <w:shd w:val="clear" w:color="auto" w:fill="C9DED4"/>
            <w:hideMark/>
          </w:tcPr>
          <w:p w14:paraId="6EC3F26A" w14:textId="77777777" w:rsidR="00C15F2E" w:rsidRPr="00D96063" w:rsidRDefault="00C15F2E" w:rsidP="00997D10">
            <w:pPr>
              <w:spacing w:line="276" w:lineRule="auto"/>
              <w:jc w:val="left"/>
              <w:rPr>
                <w:sz w:val="16"/>
                <w:szCs w:val="16"/>
              </w:rPr>
            </w:pPr>
            <w:r w:rsidRPr="00D96063">
              <w:rPr>
                <w:sz w:val="16"/>
                <w:szCs w:val="16"/>
              </w:rPr>
              <w:t>7.6</w:t>
            </w:r>
          </w:p>
        </w:tc>
        <w:tc>
          <w:tcPr>
            <w:tcW w:w="1276" w:type="dxa"/>
            <w:shd w:val="clear" w:color="auto" w:fill="C9DED4"/>
            <w:hideMark/>
          </w:tcPr>
          <w:p w14:paraId="6E37CB49"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shd w:val="clear" w:color="auto" w:fill="C9DED4"/>
            <w:hideMark/>
          </w:tcPr>
          <w:p w14:paraId="6D7E963E" w14:textId="77777777" w:rsidR="00C15F2E" w:rsidRPr="00D96063" w:rsidRDefault="00C15F2E" w:rsidP="00997D10">
            <w:pPr>
              <w:spacing w:line="276" w:lineRule="auto"/>
              <w:jc w:val="left"/>
              <w:rPr>
                <w:sz w:val="16"/>
                <w:szCs w:val="16"/>
              </w:rPr>
            </w:pPr>
            <w:r w:rsidRPr="00D96063">
              <w:rPr>
                <w:sz w:val="16"/>
                <w:szCs w:val="16"/>
              </w:rPr>
              <w:t>Establishment and Publication of Average Release Times</w:t>
            </w:r>
          </w:p>
        </w:tc>
      </w:tr>
      <w:tr w:rsidR="00C15F2E" w:rsidRPr="00D96063" w14:paraId="0F8ACAA9" w14:textId="77777777" w:rsidTr="00997D10">
        <w:tc>
          <w:tcPr>
            <w:tcW w:w="704" w:type="dxa"/>
            <w:hideMark/>
          </w:tcPr>
          <w:p w14:paraId="188D5740" w14:textId="77777777" w:rsidR="00C15F2E" w:rsidRPr="00D96063" w:rsidRDefault="00C15F2E" w:rsidP="00997D10">
            <w:pPr>
              <w:spacing w:line="276" w:lineRule="auto"/>
              <w:jc w:val="left"/>
              <w:rPr>
                <w:sz w:val="16"/>
                <w:szCs w:val="16"/>
              </w:rPr>
            </w:pPr>
            <w:r w:rsidRPr="00D96063">
              <w:rPr>
                <w:sz w:val="16"/>
                <w:szCs w:val="16"/>
              </w:rPr>
              <w:t>7.7</w:t>
            </w:r>
          </w:p>
        </w:tc>
        <w:tc>
          <w:tcPr>
            <w:tcW w:w="1276" w:type="dxa"/>
            <w:hideMark/>
          </w:tcPr>
          <w:p w14:paraId="0158F70A"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hideMark/>
          </w:tcPr>
          <w:p w14:paraId="4D09E45E" w14:textId="77777777" w:rsidR="00C15F2E" w:rsidRPr="00D96063" w:rsidRDefault="00C15F2E" w:rsidP="00997D10">
            <w:pPr>
              <w:spacing w:line="276" w:lineRule="auto"/>
              <w:jc w:val="left"/>
              <w:rPr>
                <w:sz w:val="16"/>
                <w:szCs w:val="16"/>
              </w:rPr>
            </w:pPr>
            <w:r w:rsidRPr="00D96063">
              <w:rPr>
                <w:sz w:val="16"/>
                <w:szCs w:val="16"/>
              </w:rPr>
              <w:t>Trade Facilitation Measures for Authorized Operators</w:t>
            </w:r>
          </w:p>
        </w:tc>
      </w:tr>
      <w:tr w:rsidR="00C15F2E" w:rsidRPr="00D96063" w14:paraId="221FEA44" w14:textId="77777777" w:rsidTr="00997D10">
        <w:tc>
          <w:tcPr>
            <w:tcW w:w="704" w:type="dxa"/>
            <w:shd w:val="clear" w:color="auto" w:fill="C9DED4"/>
            <w:hideMark/>
          </w:tcPr>
          <w:p w14:paraId="5A8D7289" w14:textId="77777777" w:rsidR="00C15F2E" w:rsidRPr="00D96063" w:rsidRDefault="00C15F2E" w:rsidP="00997D10">
            <w:pPr>
              <w:spacing w:line="276" w:lineRule="auto"/>
              <w:jc w:val="left"/>
              <w:rPr>
                <w:sz w:val="16"/>
                <w:szCs w:val="16"/>
              </w:rPr>
            </w:pPr>
            <w:r w:rsidRPr="00D96063">
              <w:rPr>
                <w:sz w:val="16"/>
                <w:szCs w:val="16"/>
              </w:rPr>
              <w:t>7.8</w:t>
            </w:r>
          </w:p>
        </w:tc>
        <w:tc>
          <w:tcPr>
            <w:tcW w:w="1276" w:type="dxa"/>
            <w:shd w:val="clear" w:color="auto" w:fill="C9DED4"/>
            <w:hideMark/>
          </w:tcPr>
          <w:p w14:paraId="7F6FD3FF"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shd w:val="clear" w:color="auto" w:fill="C9DED4"/>
            <w:hideMark/>
          </w:tcPr>
          <w:p w14:paraId="0024E2DD" w14:textId="77777777" w:rsidR="00C15F2E" w:rsidRPr="00D96063" w:rsidRDefault="00C15F2E" w:rsidP="00997D10">
            <w:pPr>
              <w:spacing w:line="276" w:lineRule="auto"/>
              <w:jc w:val="left"/>
              <w:rPr>
                <w:sz w:val="16"/>
                <w:szCs w:val="16"/>
              </w:rPr>
            </w:pPr>
            <w:r w:rsidRPr="00D96063">
              <w:rPr>
                <w:sz w:val="16"/>
                <w:szCs w:val="16"/>
              </w:rPr>
              <w:t>Expedited Shipments</w:t>
            </w:r>
          </w:p>
        </w:tc>
      </w:tr>
      <w:tr w:rsidR="00C15F2E" w:rsidRPr="00D96063" w14:paraId="265DD587" w14:textId="77777777" w:rsidTr="00997D10">
        <w:tc>
          <w:tcPr>
            <w:tcW w:w="704" w:type="dxa"/>
            <w:hideMark/>
          </w:tcPr>
          <w:p w14:paraId="3D6AEC1A" w14:textId="77777777" w:rsidR="00C15F2E" w:rsidRPr="00D96063" w:rsidRDefault="00C15F2E" w:rsidP="00997D10">
            <w:pPr>
              <w:spacing w:line="276" w:lineRule="auto"/>
              <w:jc w:val="left"/>
              <w:rPr>
                <w:sz w:val="16"/>
                <w:szCs w:val="16"/>
              </w:rPr>
            </w:pPr>
            <w:r w:rsidRPr="00D96063">
              <w:rPr>
                <w:sz w:val="16"/>
                <w:szCs w:val="16"/>
              </w:rPr>
              <w:t>7.9</w:t>
            </w:r>
          </w:p>
        </w:tc>
        <w:tc>
          <w:tcPr>
            <w:tcW w:w="1276" w:type="dxa"/>
            <w:hideMark/>
          </w:tcPr>
          <w:p w14:paraId="49F0688D"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hideMark/>
          </w:tcPr>
          <w:p w14:paraId="26E7D186" w14:textId="77777777" w:rsidR="00C15F2E" w:rsidRPr="00D96063" w:rsidRDefault="00C15F2E" w:rsidP="00997D10">
            <w:pPr>
              <w:spacing w:line="276" w:lineRule="auto"/>
              <w:jc w:val="left"/>
              <w:rPr>
                <w:sz w:val="16"/>
                <w:szCs w:val="16"/>
              </w:rPr>
            </w:pPr>
            <w:r w:rsidRPr="00D96063">
              <w:rPr>
                <w:sz w:val="16"/>
                <w:szCs w:val="16"/>
              </w:rPr>
              <w:t>Perishable Goods</w:t>
            </w:r>
          </w:p>
        </w:tc>
      </w:tr>
      <w:tr w:rsidR="00C15F2E" w:rsidRPr="00D96063" w14:paraId="4F269BA1" w14:textId="77777777" w:rsidTr="00997D10">
        <w:tc>
          <w:tcPr>
            <w:tcW w:w="704" w:type="dxa"/>
            <w:shd w:val="clear" w:color="auto" w:fill="C9DED4"/>
            <w:hideMark/>
          </w:tcPr>
          <w:p w14:paraId="78D55955" w14:textId="77777777" w:rsidR="00C15F2E" w:rsidRPr="00D96063" w:rsidRDefault="00C15F2E" w:rsidP="00997D10">
            <w:pPr>
              <w:spacing w:line="276" w:lineRule="auto"/>
              <w:jc w:val="left"/>
              <w:rPr>
                <w:sz w:val="16"/>
                <w:szCs w:val="16"/>
              </w:rPr>
            </w:pPr>
            <w:r w:rsidRPr="00D96063">
              <w:rPr>
                <w:sz w:val="16"/>
                <w:szCs w:val="16"/>
              </w:rPr>
              <w:t>8</w:t>
            </w:r>
          </w:p>
        </w:tc>
        <w:tc>
          <w:tcPr>
            <w:tcW w:w="1276" w:type="dxa"/>
            <w:shd w:val="clear" w:color="auto" w:fill="C9DED4"/>
            <w:hideMark/>
          </w:tcPr>
          <w:p w14:paraId="2BD1020C" w14:textId="77777777" w:rsidR="00C15F2E" w:rsidRPr="00D96063" w:rsidRDefault="00C15F2E" w:rsidP="00997D10">
            <w:pPr>
              <w:spacing w:line="276" w:lineRule="auto"/>
              <w:jc w:val="left"/>
              <w:rPr>
                <w:sz w:val="16"/>
                <w:szCs w:val="16"/>
                <w:vertAlign w:val="superscript"/>
              </w:rPr>
            </w:pPr>
            <w:r w:rsidRPr="00D96063">
              <w:rPr>
                <w:sz w:val="16"/>
                <w:szCs w:val="16"/>
              </w:rPr>
              <w:t>Category C</w:t>
            </w:r>
          </w:p>
        </w:tc>
        <w:tc>
          <w:tcPr>
            <w:tcW w:w="7036" w:type="dxa"/>
            <w:shd w:val="clear" w:color="auto" w:fill="C9DED4"/>
            <w:hideMark/>
          </w:tcPr>
          <w:p w14:paraId="0C485D0E" w14:textId="77777777" w:rsidR="00C15F2E" w:rsidRPr="00D96063" w:rsidRDefault="00C15F2E" w:rsidP="00997D10">
            <w:pPr>
              <w:spacing w:line="276" w:lineRule="auto"/>
              <w:jc w:val="left"/>
              <w:rPr>
                <w:sz w:val="16"/>
                <w:szCs w:val="16"/>
              </w:rPr>
            </w:pPr>
            <w:r w:rsidRPr="00D96063">
              <w:rPr>
                <w:sz w:val="16"/>
                <w:szCs w:val="16"/>
              </w:rPr>
              <w:t>Border Agency Cooperation</w:t>
            </w:r>
          </w:p>
        </w:tc>
      </w:tr>
      <w:tr w:rsidR="00C15F2E" w:rsidRPr="00D96063" w14:paraId="57E57E26" w14:textId="77777777" w:rsidTr="00997D10">
        <w:tc>
          <w:tcPr>
            <w:tcW w:w="704" w:type="dxa"/>
            <w:hideMark/>
          </w:tcPr>
          <w:p w14:paraId="172D5C83" w14:textId="77777777" w:rsidR="00C15F2E" w:rsidRPr="00D96063" w:rsidRDefault="00C15F2E" w:rsidP="00997D10">
            <w:pPr>
              <w:spacing w:line="276" w:lineRule="auto"/>
              <w:jc w:val="left"/>
              <w:rPr>
                <w:sz w:val="16"/>
                <w:szCs w:val="16"/>
              </w:rPr>
            </w:pPr>
            <w:r w:rsidRPr="00D96063">
              <w:rPr>
                <w:sz w:val="16"/>
                <w:szCs w:val="16"/>
              </w:rPr>
              <w:t>9</w:t>
            </w:r>
          </w:p>
        </w:tc>
        <w:tc>
          <w:tcPr>
            <w:tcW w:w="1276" w:type="dxa"/>
            <w:hideMark/>
          </w:tcPr>
          <w:p w14:paraId="4242CC15" w14:textId="77777777" w:rsidR="00C15F2E" w:rsidRPr="00D96063" w:rsidRDefault="00C15F2E" w:rsidP="00997D10">
            <w:pPr>
              <w:spacing w:line="276" w:lineRule="auto"/>
              <w:jc w:val="left"/>
              <w:rPr>
                <w:sz w:val="16"/>
                <w:szCs w:val="16"/>
              </w:rPr>
            </w:pPr>
            <w:r w:rsidRPr="00D96063">
              <w:rPr>
                <w:sz w:val="16"/>
                <w:szCs w:val="16"/>
              </w:rPr>
              <w:t xml:space="preserve">Category A </w:t>
            </w:r>
          </w:p>
        </w:tc>
        <w:tc>
          <w:tcPr>
            <w:tcW w:w="7036" w:type="dxa"/>
            <w:hideMark/>
          </w:tcPr>
          <w:p w14:paraId="179C07D7" w14:textId="77777777" w:rsidR="00C15F2E" w:rsidRPr="00D96063" w:rsidRDefault="00C15F2E" w:rsidP="00997D10">
            <w:pPr>
              <w:spacing w:line="276" w:lineRule="auto"/>
              <w:jc w:val="left"/>
              <w:rPr>
                <w:sz w:val="16"/>
                <w:szCs w:val="16"/>
              </w:rPr>
            </w:pPr>
            <w:r w:rsidRPr="00D96063">
              <w:rPr>
                <w:sz w:val="16"/>
                <w:szCs w:val="16"/>
              </w:rPr>
              <w:t>Movement of Goods Intended for Import under Customs Control</w:t>
            </w:r>
          </w:p>
        </w:tc>
      </w:tr>
      <w:tr w:rsidR="00C15F2E" w:rsidRPr="00D96063" w14:paraId="67F5099C" w14:textId="77777777" w:rsidTr="00997D10">
        <w:tc>
          <w:tcPr>
            <w:tcW w:w="704" w:type="dxa"/>
            <w:shd w:val="clear" w:color="auto" w:fill="C9DED4"/>
            <w:hideMark/>
          </w:tcPr>
          <w:p w14:paraId="1A2556BE" w14:textId="77777777" w:rsidR="00C15F2E" w:rsidRPr="00D96063" w:rsidRDefault="00C15F2E" w:rsidP="00997D10">
            <w:pPr>
              <w:spacing w:line="276" w:lineRule="auto"/>
              <w:jc w:val="left"/>
              <w:rPr>
                <w:sz w:val="16"/>
                <w:szCs w:val="16"/>
              </w:rPr>
            </w:pPr>
            <w:r w:rsidRPr="00D96063">
              <w:rPr>
                <w:sz w:val="16"/>
                <w:szCs w:val="16"/>
              </w:rPr>
              <w:t>10.1</w:t>
            </w:r>
          </w:p>
        </w:tc>
        <w:tc>
          <w:tcPr>
            <w:tcW w:w="1276" w:type="dxa"/>
            <w:shd w:val="clear" w:color="auto" w:fill="C9DED4"/>
            <w:hideMark/>
          </w:tcPr>
          <w:p w14:paraId="257D6FD2" w14:textId="77777777" w:rsidR="00C15F2E" w:rsidRPr="00D96063" w:rsidRDefault="00C15F2E" w:rsidP="00997D10">
            <w:pPr>
              <w:spacing w:line="276" w:lineRule="auto"/>
              <w:jc w:val="left"/>
              <w:rPr>
                <w:sz w:val="16"/>
                <w:szCs w:val="16"/>
              </w:rPr>
            </w:pPr>
            <w:r w:rsidRPr="00D96063">
              <w:rPr>
                <w:sz w:val="16"/>
                <w:szCs w:val="16"/>
              </w:rPr>
              <w:t>Category C</w:t>
            </w:r>
          </w:p>
        </w:tc>
        <w:tc>
          <w:tcPr>
            <w:tcW w:w="7036" w:type="dxa"/>
            <w:shd w:val="clear" w:color="auto" w:fill="C9DED4"/>
            <w:hideMark/>
          </w:tcPr>
          <w:p w14:paraId="583798FD" w14:textId="77777777" w:rsidR="00C15F2E" w:rsidRPr="00D96063" w:rsidRDefault="00C15F2E" w:rsidP="00997D10">
            <w:pPr>
              <w:spacing w:line="276" w:lineRule="auto"/>
              <w:jc w:val="left"/>
              <w:rPr>
                <w:sz w:val="16"/>
                <w:szCs w:val="16"/>
              </w:rPr>
            </w:pPr>
            <w:r w:rsidRPr="00D96063">
              <w:rPr>
                <w:sz w:val="16"/>
                <w:szCs w:val="16"/>
              </w:rPr>
              <w:t>Formalities and Documentation Requirements</w:t>
            </w:r>
          </w:p>
        </w:tc>
      </w:tr>
      <w:tr w:rsidR="00C15F2E" w:rsidRPr="00D96063" w14:paraId="32DBB9B7" w14:textId="77777777" w:rsidTr="00997D10">
        <w:tc>
          <w:tcPr>
            <w:tcW w:w="704" w:type="dxa"/>
            <w:hideMark/>
          </w:tcPr>
          <w:p w14:paraId="3E7E8E7F" w14:textId="77777777" w:rsidR="00C15F2E" w:rsidRPr="00D96063" w:rsidRDefault="00C15F2E" w:rsidP="00997D10">
            <w:pPr>
              <w:spacing w:line="276" w:lineRule="auto"/>
              <w:jc w:val="left"/>
              <w:rPr>
                <w:sz w:val="16"/>
                <w:szCs w:val="16"/>
              </w:rPr>
            </w:pPr>
            <w:r w:rsidRPr="00D96063">
              <w:rPr>
                <w:sz w:val="16"/>
                <w:szCs w:val="16"/>
              </w:rPr>
              <w:t>10.2</w:t>
            </w:r>
          </w:p>
        </w:tc>
        <w:tc>
          <w:tcPr>
            <w:tcW w:w="1276" w:type="dxa"/>
            <w:hideMark/>
          </w:tcPr>
          <w:p w14:paraId="182D7C66" w14:textId="77777777" w:rsidR="00C15F2E" w:rsidRPr="00D96063" w:rsidRDefault="00C15F2E" w:rsidP="00997D10">
            <w:pPr>
              <w:spacing w:line="276" w:lineRule="auto"/>
              <w:jc w:val="left"/>
              <w:rPr>
                <w:sz w:val="16"/>
                <w:szCs w:val="16"/>
              </w:rPr>
            </w:pPr>
            <w:r w:rsidRPr="00D96063">
              <w:rPr>
                <w:sz w:val="16"/>
                <w:szCs w:val="16"/>
              </w:rPr>
              <w:t>Category B</w:t>
            </w:r>
          </w:p>
        </w:tc>
        <w:tc>
          <w:tcPr>
            <w:tcW w:w="7036" w:type="dxa"/>
            <w:hideMark/>
          </w:tcPr>
          <w:p w14:paraId="240A1BDD" w14:textId="77777777" w:rsidR="00C15F2E" w:rsidRPr="00D96063" w:rsidRDefault="00C15F2E" w:rsidP="00997D10">
            <w:pPr>
              <w:spacing w:line="276" w:lineRule="auto"/>
              <w:jc w:val="left"/>
              <w:rPr>
                <w:sz w:val="16"/>
                <w:szCs w:val="16"/>
              </w:rPr>
            </w:pPr>
            <w:r w:rsidRPr="00D96063">
              <w:rPr>
                <w:sz w:val="16"/>
                <w:szCs w:val="16"/>
              </w:rPr>
              <w:t>Acceptance of Copies</w:t>
            </w:r>
          </w:p>
        </w:tc>
      </w:tr>
      <w:tr w:rsidR="00C15F2E" w:rsidRPr="00D96063" w14:paraId="646928C5" w14:textId="77777777" w:rsidTr="00997D10">
        <w:tc>
          <w:tcPr>
            <w:tcW w:w="704" w:type="dxa"/>
            <w:shd w:val="clear" w:color="auto" w:fill="C9DED4"/>
            <w:hideMark/>
          </w:tcPr>
          <w:p w14:paraId="32705F73" w14:textId="77777777" w:rsidR="00C15F2E" w:rsidRPr="00D96063" w:rsidRDefault="00C15F2E" w:rsidP="00997D10">
            <w:pPr>
              <w:spacing w:line="276" w:lineRule="auto"/>
              <w:jc w:val="left"/>
              <w:rPr>
                <w:sz w:val="16"/>
                <w:szCs w:val="16"/>
              </w:rPr>
            </w:pPr>
            <w:r w:rsidRPr="00D96063">
              <w:rPr>
                <w:sz w:val="16"/>
                <w:szCs w:val="16"/>
              </w:rPr>
              <w:t>10.3</w:t>
            </w:r>
          </w:p>
        </w:tc>
        <w:tc>
          <w:tcPr>
            <w:tcW w:w="1276" w:type="dxa"/>
            <w:shd w:val="clear" w:color="auto" w:fill="C9DED4"/>
            <w:hideMark/>
          </w:tcPr>
          <w:p w14:paraId="1C0A7A93" w14:textId="77777777" w:rsidR="00C15F2E" w:rsidRPr="00D96063" w:rsidRDefault="00C15F2E" w:rsidP="00997D10">
            <w:pPr>
              <w:spacing w:line="276" w:lineRule="auto"/>
              <w:jc w:val="left"/>
              <w:rPr>
                <w:sz w:val="16"/>
                <w:szCs w:val="16"/>
              </w:rPr>
            </w:pPr>
            <w:r w:rsidRPr="00D96063">
              <w:rPr>
                <w:sz w:val="16"/>
                <w:szCs w:val="16"/>
              </w:rPr>
              <w:t xml:space="preserve">Category B </w:t>
            </w:r>
          </w:p>
        </w:tc>
        <w:tc>
          <w:tcPr>
            <w:tcW w:w="7036" w:type="dxa"/>
            <w:shd w:val="clear" w:color="auto" w:fill="C9DED4"/>
            <w:hideMark/>
          </w:tcPr>
          <w:p w14:paraId="590D0AEE" w14:textId="77777777" w:rsidR="00C15F2E" w:rsidRPr="00D96063" w:rsidRDefault="00C15F2E" w:rsidP="00997D10">
            <w:pPr>
              <w:spacing w:line="276" w:lineRule="auto"/>
              <w:jc w:val="left"/>
              <w:rPr>
                <w:sz w:val="16"/>
                <w:szCs w:val="16"/>
              </w:rPr>
            </w:pPr>
            <w:r w:rsidRPr="00D96063">
              <w:rPr>
                <w:sz w:val="16"/>
                <w:szCs w:val="16"/>
              </w:rPr>
              <w:t>Use of International Standards</w:t>
            </w:r>
          </w:p>
        </w:tc>
      </w:tr>
      <w:tr w:rsidR="00C15F2E" w:rsidRPr="00D96063" w14:paraId="6B7151BC" w14:textId="77777777" w:rsidTr="00997D10">
        <w:tc>
          <w:tcPr>
            <w:tcW w:w="704" w:type="dxa"/>
            <w:hideMark/>
          </w:tcPr>
          <w:p w14:paraId="314E0561" w14:textId="77777777" w:rsidR="00C15F2E" w:rsidRPr="00D96063" w:rsidRDefault="00C15F2E" w:rsidP="00997D10">
            <w:pPr>
              <w:spacing w:line="276" w:lineRule="auto"/>
              <w:jc w:val="left"/>
              <w:rPr>
                <w:sz w:val="16"/>
                <w:szCs w:val="16"/>
              </w:rPr>
            </w:pPr>
            <w:r w:rsidRPr="00D96063">
              <w:rPr>
                <w:sz w:val="16"/>
                <w:szCs w:val="16"/>
              </w:rPr>
              <w:t>10.4</w:t>
            </w:r>
          </w:p>
        </w:tc>
        <w:tc>
          <w:tcPr>
            <w:tcW w:w="1276" w:type="dxa"/>
            <w:hideMark/>
          </w:tcPr>
          <w:p w14:paraId="19311EBA" w14:textId="77777777" w:rsidR="00C15F2E" w:rsidRPr="00D96063" w:rsidRDefault="00C15F2E" w:rsidP="00997D10">
            <w:pPr>
              <w:spacing w:line="276" w:lineRule="auto"/>
              <w:jc w:val="left"/>
              <w:rPr>
                <w:sz w:val="16"/>
                <w:szCs w:val="16"/>
              </w:rPr>
            </w:pPr>
            <w:r w:rsidRPr="00D96063">
              <w:rPr>
                <w:sz w:val="16"/>
                <w:szCs w:val="16"/>
              </w:rPr>
              <w:t>Category B</w:t>
            </w:r>
          </w:p>
        </w:tc>
        <w:tc>
          <w:tcPr>
            <w:tcW w:w="7036" w:type="dxa"/>
            <w:hideMark/>
          </w:tcPr>
          <w:p w14:paraId="0C7479CC" w14:textId="77777777" w:rsidR="00C15F2E" w:rsidRPr="00D96063" w:rsidRDefault="00C15F2E" w:rsidP="00997D10">
            <w:pPr>
              <w:spacing w:line="276" w:lineRule="auto"/>
              <w:jc w:val="left"/>
              <w:rPr>
                <w:sz w:val="16"/>
                <w:szCs w:val="16"/>
              </w:rPr>
            </w:pPr>
            <w:r w:rsidRPr="00D96063">
              <w:rPr>
                <w:sz w:val="16"/>
                <w:szCs w:val="16"/>
              </w:rPr>
              <w:t>Single Window</w:t>
            </w:r>
          </w:p>
        </w:tc>
      </w:tr>
      <w:tr w:rsidR="00C15F2E" w:rsidRPr="00D96063" w14:paraId="0284BBF2" w14:textId="77777777" w:rsidTr="00997D10">
        <w:tc>
          <w:tcPr>
            <w:tcW w:w="704" w:type="dxa"/>
            <w:shd w:val="clear" w:color="auto" w:fill="C9DED4"/>
            <w:hideMark/>
          </w:tcPr>
          <w:p w14:paraId="75599633" w14:textId="77777777" w:rsidR="00C15F2E" w:rsidRPr="00D96063" w:rsidRDefault="00C15F2E" w:rsidP="00997D10">
            <w:pPr>
              <w:spacing w:line="276" w:lineRule="auto"/>
              <w:jc w:val="left"/>
              <w:rPr>
                <w:sz w:val="16"/>
                <w:szCs w:val="16"/>
              </w:rPr>
            </w:pPr>
            <w:r w:rsidRPr="00D96063">
              <w:rPr>
                <w:sz w:val="16"/>
                <w:szCs w:val="16"/>
              </w:rPr>
              <w:t>10.5</w:t>
            </w:r>
          </w:p>
        </w:tc>
        <w:tc>
          <w:tcPr>
            <w:tcW w:w="1276" w:type="dxa"/>
            <w:shd w:val="clear" w:color="auto" w:fill="C9DED4"/>
            <w:hideMark/>
          </w:tcPr>
          <w:p w14:paraId="08E41AF1" w14:textId="77777777" w:rsidR="00C15F2E" w:rsidRPr="00D96063" w:rsidRDefault="00C15F2E" w:rsidP="00997D10">
            <w:pPr>
              <w:spacing w:line="276" w:lineRule="auto"/>
              <w:jc w:val="left"/>
              <w:rPr>
                <w:sz w:val="16"/>
                <w:szCs w:val="16"/>
              </w:rPr>
            </w:pPr>
            <w:r w:rsidRPr="00D96063">
              <w:rPr>
                <w:sz w:val="16"/>
                <w:szCs w:val="16"/>
              </w:rPr>
              <w:t xml:space="preserve">Category A </w:t>
            </w:r>
          </w:p>
        </w:tc>
        <w:tc>
          <w:tcPr>
            <w:tcW w:w="7036" w:type="dxa"/>
            <w:shd w:val="clear" w:color="auto" w:fill="C9DED4"/>
            <w:hideMark/>
          </w:tcPr>
          <w:p w14:paraId="31EA3F22" w14:textId="77777777" w:rsidR="00C15F2E" w:rsidRPr="00D96063" w:rsidRDefault="00C15F2E" w:rsidP="00997D10">
            <w:pPr>
              <w:spacing w:line="276" w:lineRule="auto"/>
              <w:jc w:val="left"/>
              <w:rPr>
                <w:sz w:val="16"/>
                <w:szCs w:val="16"/>
              </w:rPr>
            </w:pPr>
            <w:r w:rsidRPr="00D96063">
              <w:rPr>
                <w:sz w:val="16"/>
                <w:szCs w:val="16"/>
              </w:rPr>
              <w:t>Pre-Shipment Inspection</w:t>
            </w:r>
          </w:p>
        </w:tc>
      </w:tr>
      <w:tr w:rsidR="00C15F2E" w:rsidRPr="00D96063" w14:paraId="40E407A6" w14:textId="77777777" w:rsidTr="00997D10">
        <w:tc>
          <w:tcPr>
            <w:tcW w:w="704" w:type="dxa"/>
            <w:hideMark/>
          </w:tcPr>
          <w:p w14:paraId="392AD60E" w14:textId="77777777" w:rsidR="00C15F2E" w:rsidRPr="00D96063" w:rsidRDefault="00C15F2E" w:rsidP="00997D10">
            <w:pPr>
              <w:spacing w:line="276" w:lineRule="auto"/>
              <w:jc w:val="left"/>
              <w:rPr>
                <w:sz w:val="16"/>
                <w:szCs w:val="16"/>
              </w:rPr>
            </w:pPr>
            <w:r w:rsidRPr="00D96063">
              <w:rPr>
                <w:sz w:val="16"/>
                <w:szCs w:val="16"/>
              </w:rPr>
              <w:t>10.6</w:t>
            </w:r>
          </w:p>
        </w:tc>
        <w:tc>
          <w:tcPr>
            <w:tcW w:w="1276" w:type="dxa"/>
            <w:hideMark/>
          </w:tcPr>
          <w:p w14:paraId="3B62B832" w14:textId="77777777" w:rsidR="00C15F2E" w:rsidRPr="00D96063" w:rsidRDefault="00C15F2E" w:rsidP="00997D10">
            <w:pPr>
              <w:spacing w:line="276" w:lineRule="auto"/>
              <w:jc w:val="left"/>
              <w:rPr>
                <w:sz w:val="16"/>
                <w:szCs w:val="16"/>
              </w:rPr>
            </w:pPr>
            <w:r w:rsidRPr="00D96063">
              <w:rPr>
                <w:sz w:val="16"/>
                <w:szCs w:val="16"/>
              </w:rPr>
              <w:t xml:space="preserve">Category B </w:t>
            </w:r>
          </w:p>
        </w:tc>
        <w:tc>
          <w:tcPr>
            <w:tcW w:w="7036" w:type="dxa"/>
            <w:hideMark/>
          </w:tcPr>
          <w:p w14:paraId="5541303A" w14:textId="77777777" w:rsidR="00C15F2E" w:rsidRPr="00D96063" w:rsidRDefault="00C15F2E" w:rsidP="00997D10">
            <w:pPr>
              <w:spacing w:line="276" w:lineRule="auto"/>
              <w:jc w:val="left"/>
              <w:rPr>
                <w:sz w:val="16"/>
                <w:szCs w:val="16"/>
              </w:rPr>
            </w:pPr>
            <w:r w:rsidRPr="00D96063">
              <w:rPr>
                <w:sz w:val="16"/>
                <w:szCs w:val="16"/>
              </w:rPr>
              <w:t>Use of Customs Brokers</w:t>
            </w:r>
          </w:p>
        </w:tc>
      </w:tr>
      <w:tr w:rsidR="00C15F2E" w:rsidRPr="00D96063" w14:paraId="64D6EAA6" w14:textId="77777777" w:rsidTr="00997D10">
        <w:tc>
          <w:tcPr>
            <w:tcW w:w="704" w:type="dxa"/>
            <w:shd w:val="clear" w:color="auto" w:fill="C9DED4"/>
            <w:hideMark/>
          </w:tcPr>
          <w:p w14:paraId="07063856" w14:textId="77777777" w:rsidR="00C15F2E" w:rsidRPr="00D96063" w:rsidRDefault="00C15F2E" w:rsidP="00997D10">
            <w:pPr>
              <w:spacing w:line="276" w:lineRule="auto"/>
              <w:jc w:val="left"/>
              <w:rPr>
                <w:sz w:val="16"/>
                <w:szCs w:val="16"/>
              </w:rPr>
            </w:pPr>
            <w:r w:rsidRPr="00D96063">
              <w:rPr>
                <w:sz w:val="16"/>
                <w:szCs w:val="16"/>
              </w:rPr>
              <w:t>10.7</w:t>
            </w:r>
          </w:p>
        </w:tc>
        <w:tc>
          <w:tcPr>
            <w:tcW w:w="1276" w:type="dxa"/>
            <w:shd w:val="clear" w:color="auto" w:fill="C9DED4"/>
            <w:hideMark/>
          </w:tcPr>
          <w:p w14:paraId="14ABE43B" w14:textId="77777777" w:rsidR="00C15F2E" w:rsidRPr="00D96063" w:rsidRDefault="00C15F2E" w:rsidP="00997D10">
            <w:pPr>
              <w:spacing w:line="276" w:lineRule="auto"/>
              <w:jc w:val="left"/>
              <w:rPr>
                <w:sz w:val="16"/>
                <w:szCs w:val="16"/>
              </w:rPr>
            </w:pPr>
            <w:r w:rsidRPr="00D96063">
              <w:rPr>
                <w:sz w:val="16"/>
                <w:szCs w:val="16"/>
              </w:rPr>
              <w:t xml:space="preserve">Category A </w:t>
            </w:r>
          </w:p>
        </w:tc>
        <w:tc>
          <w:tcPr>
            <w:tcW w:w="7036" w:type="dxa"/>
            <w:shd w:val="clear" w:color="auto" w:fill="C9DED4"/>
            <w:hideMark/>
          </w:tcPr>
          <w:p w14:paraId="215F6CA0" w14:textId="77777777" w:rsidR="00C15F2E" w:rsidRPr="00D96063" w:rsidRDefault="00C15F2E" w:rsidP="00997D10">
            <w:pPr>
              <w:spacing w:line="276" w:lineRule="auto"/>
              <w:jc w:val="left"/>
              <w:rPr>
                <w:sz w:val="16"/>
                <w:szCs w:val="16"/>
              </w:rPr>
            </w:pPr>
            <w:r w:rsidRPr="00D96063">
              <w:rPr>
                <w:sz w:val="16"/>
                <w:szCs w:val="16"/>
              </w:rPr>
              <w:t>Common Border Procedures and Uniform Documentation Requirements</w:t>
            </w:r>
          </w:p>
        </w:tc>
      </w:tr>
      <w:tr w:rsidR="00C15F2E" w:rsidRPr="00D96063" w14:paraId="38D1C298" w14:textId="77777777" w:rsidTr="00997D10">
        <w:tc>
          <w:tcPr>
            <w:tcW w:w="704" w:type="dxa"/>
            <w:hideMark/>
          </w:tcPr>
          <w:p w14:paraId="23F4C8CF" w14:textId="77777777" w:rsidR="00C15F2E" w:rsidRPr="00D96063" w:rsidRDefault="00C15F2E" w:rsidP="00997D10">
            <w:pPr>
              <w:spacing w:line="276" w:lineRule="auto"/>
              <w:jc w:val="left"/>
              <w:rPr>
                <w:sz w:val="16"/>
                <w:szCs w:val="16"/>
              </w:rPr>
            </w:pPr>
            <w:r w:rsidRPr="00D96063">
              <w:rPr>
                <w:sz w:val="16"/>
                <w:szCs w:val="16"/>
              </w:rPr>
              <w:t>10.8</w:t>
            </w:r>
          </w:p>
        </w:tc>
        <w:tc>
          <w:tcPr>
            <w:tcW w:w="1276" w:type="dxa"/>
            <w:hideMark/>
          </w:tcPr>
          <w:p w14:paraId="00C87343" w14:textId="77777777" w:rsidR="00C15F2E" w:rsidRPr="00D96063" w:rsidRDefault="00C15F2E" w:rsidP="00997D10">
            <w:pPr>
              <w:spacing w:line="276" w:lineRule="auto"/>
              <w:jc w:val="left"/>
              <w:rPr>
                <w:sz w:val="16"/>
                <w:szCs w:val="16"/>
              </w:rPr>
            </w:pPr>
            <w:r w:rsidRPr="00D96063">
              <w:rPr>
                <w:sz w:val="16"/>
                <w:szCs w:val="16"/>
              </w:rPr>
              <w:t xml:space="preserve">Category A </w:t>
            </w:r>
          </w:p>
        </w:tc>
        <w:tc>
          <w:tcPr>
            <w:tcW w:w="7036" w:type="dxa"/>
            <w:hideMark/>
          </w:tcPr>
          <w:p w14:paraId="24FA7E73" w14:textId="77777777" w:rsidR="00C15F2E" w:rsidRPr="00D96063" w:rsidRDefault="00C15F2E" w:rsidP="00997D10">
            <w:pPr>
              <w:spacing w:line="276" w:lineRule="auto"/>
              <w:jc w:val="left"/>
              <w:rPr>
                <w:sz w:val="16"/>
                <w:szCs w:val="16"/>
              </w:rPr>
            </w:pPr>
            <w:r w:rsidRPr="00D96063">
              <w:rPr>
                <w:sz w:val="16"/>
                <w:szCs w:val="16"/>
              </w:rPr>
              <w:t>Rejected Goods</w:t>
            </w:r>
          </w:p>
        </w:tc>
      </w:tr>
      <w:tr w:rsidR="00C15F2E" w:rsidRPr="00D96063" w14:paraId="630B11B3" w14:textId="77777777" w:rsidTr="00997D10">
        <w:tc>
          <w:tcPr>
            <w:tcW w:w="704" w:type="dxa"/>
            <w:shd w:val="clear" w:color="auto" w:fill="C9DED4"/>
            <w:hideMark/>
          </w:tcPr>
          <w:p w14:paraId="622304C4" w14:textId="77777777" w:rsidR="00C15F2E" w:rsidRPr="00D96063" w:rsidRDefault="00C15F2E" w:rsidP="00997D10">
            <w:pPr>
              <w:spacing w:line="276" w:lineRule="auto"/>
              <w:jc w:val="left"/>
              <w:rPr>
                <w:sz w:val="16"/>
                <w:szCs w:val="16"/>
              </w:rPr>
            </w:pPr>
            <w:r w:rsidRPr="00D96063">
              <w:rPr>
                <w:sz w:val="16"/>
                <w:szCs w:val="16"/>
              </w:rPr>
              <w:t>10.9</w:t>
            </w:r>
          </w:p>
        </w:tc>
        <w:tc>
          <w:tcPr>
            <w:tcW w:w="1276" w:type="dxa"/>
            <w:shd w:val="clear" w:color="auto" w:fill="C9DED4"/>
            <w:hideMark/>
          </w:tcPr>
          <w:p w14:paraId="747AB68E" w14:textId="77777777" w:rsidR="00C15F2E" w:rsidRPr="00D96063" w:rsidRDefault="00C15F2E" w:rsidP="00997D10">
            <w:pPr>
              <w:spacing w:line="276" w:lineRule="auto"/>
              <w:jc w:val="left"/>
              <w:rPr>
                <w:sz w:val="16"/>
                <w:szCs w:val="16"/>
              </w:rPr>
            </w:pPr>
            <w:r w:rsidRPr="00D96063">
              <w:rPr>
                <w:sz w:val="16"/>
                <w:szCs w:val="16"/>
              </w:rPr>
              <w:t xml:space="preserve">Category A </w:t>
            </w:r>
          </w:p>
        </w:tc>
        <w:tc>
          <w:tcPr>
            <w:tcW w:w="7036" w:type="dxa"/>
            <w:shd w:val="clear" w:color="auto" w:fill="C9DED4"/>
            <w:hideMark/>
          </w:tcPr>
          <w:p w14:paraId="22BA603F" w14:textId="77777777" w:rsidR="00C15F2E" w:rsidRPr="00D96063" w:rsidRDefault="00C15F2E" w:rsidP="00997D10">
            <w:pPr>
              <w:spacing w:line="276" w:lineRule="auto"/>
              <w:jc w:val="left"/>
              <w:rPr>
                <w:sz w:val="16"/>
                <w:szCs w:val="16"/>
              </w:rPr>
            </w:pPr>
            <w:r w:rsidRPr="00D96063">
              <w:rPr>
                <w:sz w:val="16"/>
                <w:szCs w:val="16"/>
              </w:rPr>
              <w:t>Temporary Admission of Goods and Inward and Outward Processing</w:t>
            </w:r>
          </w:p>
        </w:tc>
      </w:tr>
      <w:tr w:rsidR="00C15F2E" w:rsidRPr="00D96063" w14:paraId="790A0974" w14:textId="77777777" w:rsidTr="00997D10">
        <w:tc>
          <w:tcPr>
            <w:tcW w:w="704" w:type="dxa"/>
            <w:tcBorders>
              <w:bottom w:val="nil"/>
            </w:tcBorders>
            <w:hideMark/>
          </w:tcPr>
          <w:p w14:paraId="3AB2DE70" w14:textId="77777777" w:rsidR="00C15F2E" w:rsidRPr="00D96063" w:rsidRDefault="00C15F2E" w:rsidP="00997D10">
            <w:pPr>
              <w:spacing w:line="276" w:lineRule="auto"/>
              <w:jc w:val="left"/>
              <w:rPr>
                <w:sz w:val="16"/>
                <w:szCs w:val="16"/>
              </w:rPr>
            </w:pPr>
            <w:r w:rsidRPr="00D96063">
              <w:rPr>
                <w:sz w:val="16"/>
                <w:szCs w:val="16"/>
              </w:rPr>
              <w:t>11</w:t>
            </w:r>
          </w:p>
        </w:tc>
        <w:tc>
          <w:tcPr>
            <w:tcW w:w="1276" w:type="dxa"/>
            <w:tcBorders>
              <w:bottom w:val="nil"/>
            </w:tcBorders>
            <w:hideMark/>
          </w:tcPr>
          <w:p w14:paraId="7B0C436E" w14:textId="77777777" w:rsidR="00C15F2E" w:rsidRPr="00D96063" w:rsidRDefault="00C15F2E" w:rsidP="00997D10">
            <w:pPr>
              <w:spacing w:line="276" w:lineRule="auto"/>
              <w:jc w:val="left"/>
              <w:rPr>
                <w:sz w:val="16"/>
                <w:szCs w:val="16"/>
              </w:rPr>
            </w:pPr>
            <w:r w:rsidRPr="00D96063">
              <w:rPr>
                <w:sz w:val="16"/>
                <w:szCs w:val="16"/>
              </w:rPr>
              <w:t>Category B</w:t>
            </w:r>
          </w:p>
        </w:tc>
        <w:tc>
          <w:tcPr>
            <w:tcW w:w="7036" w:type="dxa"/>
            <w:tcBorders>
              <w:bottom w:val="nil"/>
            </w:tcBorders>
            <w:hideMark/>
          </w:tcPr>
          <w:p w14:paraId="2083BD83" w14:textId="77777777" w:rsidR="00C15F2E" w:rsidRPr="00D96063" w:rsidRDefault="00C15F2E" w:rsidP="00997D10">
            <w:pPr>
              <w:spacing w:line="276" w:lineRule="auto"/>
              <w:jc w:val="left"/>
              <w:rPr>
                <w:sz w:val="16"/>
                <w:szCs w:val="16"/>
              </w:rPr>
            </w:pPr>
            <w:r w:rsidRPr="00D96063">
              <w:rPr>
                <w:sz w:val="16"/>
                <w:szCs w:val="16"/>
              </w:rPr>
              <w:t>Freedom of Transit</w:t>
            </w:r>
          </w:p>
        </w:tc>
      </w:tr>
      <w:tr w:rsidR="00C15F2E" w:rsidRPr="00D96063" w14:paraId="25624573" w14:textId="77777777" w:rsidTr="00997D10">
        <w:tc>
          <w:tcPr>
            <w:tcW w:w="704" w:type="dxa"/>
            <w:tcBorders>
              <w:top w:val="nil"/>
              <w:bottom w:val="single" w:sz="4" w:space="0" w:color="auto"/>
            </w:tcBorders>
            <w:shd w:val="clear" w:color="auto" w:fill="C9DED4"/>
            <w:hideMark/>
          </w:tcPr>
          <w:p w14:paraId="11199031" w14:textId="77777777" w:rsidR="00C15F2E" w:rsidRPr="00D96063" w:rsidRDefault="00C15F2E" w:rsidP="00997D10">
            <w:pPr>
              <w:spacing w:line="276" w:lineRule="auto"/>
              <w:jc w:val="left"/>
              <w:rPr>
                <w:sz w:val="16"/>
              </w:rPr>
            </w:pPr>
            <w:r w:rsidRPr="00D96063">
              <w:rPr>
                <w:sz w:val="16"/>
              </w:rPr>
              <w:t>12</w:t>
            </w:r>
          </w:p>
        </w:tc>
        <w:tc>
          <w:tcPr>
            <w:tcW w:w="1276" w:type="dxa"/>
            <w:tcBorders>
              <w:top w:val="nil"/>
              <w:bottom w:val="single" w:sz="4" w:space="0" w:color="auto"/>
            </w:tcBorders>
            <w:shd w:val="clear" w:color="auto" w:fill="C9DED4"/>
            <w:hideMark/>
          </w:tcPr>
          <w:p w14:paraId="1CBD74C1" w14:textId="77777777" w:rsidR="00C15F2E" w:rsidRPr="00D96063" w:rsidRDefault="00C15F2E" w:rsidP="00997D10">
            <w:pPr>
              <w:spacing w:line="276" w:lineRule="auto"/>
              <w:jc w:val="left"/>
              <w:rPr>
                <w:sz w:val="16"/>
              </w:rPr>
            </w:pPr>
            <w:r w:rsidRPr="00D96063">
              <w:rPr>
                <w:sz w:val="16"/>
              </w:rPr>
              <w:t xml:space="preserve">Category C </w:t>
            </w:r>
          </w:p>
        </w:tc>
        <w:tc>
          <w:tcPr>
            <w:tcW w:w="7036" w:type="dxa"/>
            <w:tcBorders>
              <w:top w:val="nil"/>
              <w:bottom w:val="single" w:sz="4" w:space="0" w:color="auto"/>
            </w:tcBorders>
            <w:shd w:val="clear" w:color="auto" w:fill="C9DED4"/>
            <w:hideMark/>
          </w:tcPr>
          <w:p w14:paraId="2B34D87F" w14:textId="77777777" w:rsidR="00C15F2E" w:rsidRPr="00D96063" w:rsidRDefault="00C15F2E" w:rsidP="00997D10">
            <w:pPr>
              <w:spacing w:line="276" w:lineRule="auto"/>
              <w:jc w:val="left"/>
              <w:rPr>
                <w:sz w:val="16"/>
              </w:rPr>
            </w:pPr>
            <w:r w:rsidRPr="00D96063">
              <w:rPr>
                <w:sz w:val="16"/>
              </w:rPr>
              <w:t>Customs Cooperation</w:t>
            </w:r>
          </w:p>
        </w:tc>
      </w:tr>
    </w:tbl>
    <w:p w14:paraId="460F00ED" w14:textId="77777777" w:rsidR="00C15F2E" w:rsidRPr="00D96063" w:rsidRDefault="00C15F2E" w:rsidP="00E101A6">
      <w:pPr>
        <w:pStyle w:val="NoteText"/>
        <w:spacing w:before="120" w:after="240"/>
      </w:pPr>
      <w:r w:rsidRPr="00D96063">
        <w:t>Source:</w:t>
      </w:r>
      <w:r w:rsidRPr="00D96063">
        <w:tab/>
        <w:t xml:space="preserve">WTO TFA database, </w:t>
      </w:r>
      <w:r w:rsidRPr="00D96063">
        <w:rPr>
          <w:i/>
        </w:rPr>
        <w:t>Status of Implementation Commitments</w:t>
      </w:r>
      <w:r w:rsidRPr="00D96063">
        <w:t xml:space="preserve">. Viewed at: </w:t>
      </w:r>
      <w:hyperlink r:id="rId64" w:history="1">
        <w:r w:rsidRPr="00D96063">
          <w:rPr>
            <w:rStyle w:val="Hyperlink"/>
            <w:szCs w:val="16"/>
          </w:rPr>
          <w:t>https://tfadatabase.org/members/ghana</w:t>
        </w:r>
      </w:hyperlink>
      <w:r w:rsidRPr="00D96063">
        <w:t>.</w:t>
      </w:r>
    </w:p>
    <w:p w14:paraId="48A36E1F" w14:textId="4B12B96D" w:rsidR="00C15F2E" w:rsidRPr="00D96063" w:rsidRDefault="00C15F2E" w:rsidP="00E101A6">
      <w:pPr>
        <w:pStyle w:val="BodyText"/>
        <w:numPr>
          <w:ilvl w:val="6"/>
          <w:numId w:val="16"/>
        </w:numPr>
      </w:pPr>
      <w:bookmarkStart w:id="72" w:name="_Hlk95314727"/>
      <w:bookmarkStart w:id="73" w:name="_Hlk85196711"/>
      <w:r w:rsidRPr="00D96063">
        <w:t xml:space="preserve">Several improvements have been made since the previous Review in 2014 to simplify and accelerate procedures, limit face-to-face interactions in order to reduce corruption, and diminish the costs of trade. Prior to 2017, a container may have remained at Ghana's ports for several days for </w:t>
      </w:r>
      <w:r w:rsidRPr="00D96063">
        <w:lastRenderedPageBreak/>
        <w:t>the various agencies to conduct the necessary inspections.</w:t>
      </w:r>
      <w:r w:rsidRPr="00D96063">
        <w:rPr>
          <w:rStyle w:val="FootnoteReference"/>
        </w:rPr>
        <w:footnoteReference w:id="47"/>
      </w:r>
      <w:r w:rsidRPr="00D96063">
        <w:t xml:space="preserve"> In 2017, the Government introduced a new single window, and reduced to three the number of institutions that conduct inspections at the ports on products imported into the country (Ghana Revenue Authority – Customs (GRA Customs), Ghana Standards Authority (GSA), and Food and Drugs Authority (FDA)). An overview of procedures to import goods into Ghana is provided in Box 3.1.</w:t>
      </w:r>
    </w:p>
    <w:p w14:paraId="40C475ED" w14:textId="77777777" w:rsidR="00C15F2E" w:rsidRPr="00D96063" w:rsidRDefault="00C15F2E" w:rsidP="00E101A6">
      <w:pPr>
        <w:pStyle w:val="BodyText"/>
        <w:numPr>
          <w:ilvl w:val="6"/>
          <w:numId w:val="16"/>
        </w:numPr>
      </w:pPr>
      <w:r w:rsidRPr="00D96063">
        <w:t>Nevertheless, the country's high, albeit decreasing, reliance on import duties and levies for budgetary revenue (Sections 3.1.2 and 3.1.3) is a challenge for trade facilitation</w:t>
      </w:r>
      <w:bookmarkEnd w:id="72"/>
      <w:r w:rsidRPr="00D96063">
        <w:t xml:space="preserve">. Also, the authorities have confirmed that none of the common regulations on customs procedures under the </w:t>
      </w:r>
      <w:r w:rsidRPr="00D96063">
        <w:rPr>
          <w:lang w:eastAsia="en-GB"/>
        </w:rPr>
        <w:t>Economic Community of West African States (</w:t>
      </w:r>
      <w:r w:rsidRPr="00D96063">
        <w:t>ECOWAS) Customs Code are currently implemented by Ghana.</w:t>
      </w:r>
    </w:p>
    <w:p w14:paraId="76354756" w14:textId="2B19BA91" w:rsidR="00C15F2E" w:rsidRPr="00D96063" w:rsidRDefault="00C15F2E" w:rsidP="00E101A6">
      <w:pPr>
        <w:pStyle w:val="Caption"/>
      </w:pPr>
      <w:bookmarkStart w:id="74" w:name="_Toc103607969"/>
      <w:r w:rsidRPr="00D96063">
        <w:t xml:space="preserve">Box </w:t>
      </w:r>
      <w:fldSimple w:instr=" STYLEREF 1 \s ">
        <w:r w:rsidR="004B63B1">
          <w:rPr>
            <w:noProof/>
          </w:rPr>
          <w:t>3</w:t>
        </w:r>
      </w:fldSimple>
      <w:r w:rsidR="00952BFE" w:rsidRPr="00D96063">
        <w:t>.</w:t>
      </w:r>
      <w:fldSimple w:instr=" SEQ Box \* ARABIC \s 1 ">
        <w:r w:rsidR="004B63B1">
          <w:rPr>
            <w:noProof/>
          </w:rPr>
          <w:t>1</w:t>
        </w:r>
      </w:fldSimple>
      <w:r w:rsidRPr="00D96063">
        <w:t xml:space="preserve"> Procedures to import goods into Ghana</w:t>
      </w:r>
      <w:bookmarkEnd w:id="74"/>
    </w:p>
    <w:tbl>
      <w:tblPr>
        <w:tblStyle w:val="WTOBox1"/>
        <w:tblW w:w="5000" w:type="pct"/>
        <w:tblLook w:val="04A0" w:firstRow="1" w:lastRow="0" w:firstColumn="1" w:lastColumn="0" w:noHBand="0" w:noVBand="1"/>
      </w:tblPr>
      <w:tblGrid>
        <w:gridCol w:w="9026"/>
      </w:tblGrid>
      <w:tr w:rsidR="00C15F2E" w:rsidRPr="00D96063" w14:paraId="674C5632" w14:textId="77777777" w:rsidTr="00997D10">
        <w:tc>
          <w:tcPr>
            <w:tcW w:w="5000" w:type="pct"/>
          </w:tcPr>
          <w:p w14:paraId="74FE9FFB" w14:textId="77777777" w:rsidR="00C15F2E" w:rsidRPr="00D96063" w:rsidRDefault="00C15F2E" w:rsidP="00997D10">
            <w:pPr>
              <w:rPr>
                <w:sz w:val="16"/>
                <w:szCs w:val="18"/>
              </w:rPr>
            </w:pPr>
            <w:r w:rsidRPr="00D96063">
              <w:rPr>
                <w:sz w:val="16"/>
                <w:szCs w:val="18"/>
              </w:rPr>
              <w:t xml:space="preserve">Step 1: Obtain registration certificate from the Registrar General's Department. </w:t>
            </w:r>
          </w:p>
        </w:tc>
      </w:tr>
      <w:tr w:rsidR="00C15F2E" w:rsidRPr="00D96063" w14:paraId="176CF059" w14:textId="77777777" w:rsidTr="00997D10">
        <w:tc>
          <w:tcPr>
            <w:tcW w:w="5000" w:type="pct"/>
          </w:tcPr>
          <w:p w14:paraId="7693994C" w14:textId="77777777" w:rsidR="00C15F2E" w:rsidRPr="00D96063" w:rsidRDefault="00C15F2E" w:rsidP="00997D10">
            <w:pPr>
              <w:rPr>
                <w:sz w:val="16"/>
                <w:szCs w:val="18"/>
              </w:rPr>
            </w:pPr>
            <w:r w:rsidRPr="00D96063">
              <w:rPr>
                <w:sz w:val="16"/>
                <w:szCs w:val="18"/>
              </w:rPr>
              <w:t>Step 2: Importer or importer's agent submits an Import Declaration Form from the MOTI, manually or electronically (GHS 5).</w:t>
            </w:r>
          </w:p>
        </w:tc>
      </w:tr>
      <w:tr w:rsidR="00C15F2E" w:rsidRPr="00D96063" w14:paraId="3400B038" w14:textId="77777777" w:rsidTr="00997D10">
        <w:tc>
          <w:tcPr>
            <w:tcW w:w="5000" w:type="pct"/>
          </w:tcPr>
          <w:p w14:paraId="494D43FF" w14:textId="77777777" w:rsidR="00C15F2E" w:rsidRPr="00D96063" w:rsidRDefault="00C15F2E" w:rsidP="00997D10">
            <w:pPr>
              <w:rPr>
                <w:sz w:val="16"/>
                <w:szCs w:val="18"/>
              </w:rPr>
            </w:pPr>
            <w:r w:rsidRPr="00D96063">
              <w:rPr>
                <w:sz w:val="16"/>
                <w:szCs w:val="18"/>
              </w:rPr>
              <w:t xml:space="preserve">Step 3: For FDA-regulated products (certain food products, cosmetic, and drugs), importer/agent applies to the FDA to register as an importer and to register the product to be imported. An application must be submitted via </w:t>
            </w:r>
            <w:bookmarkStart w:id="75" w:name="_Hlk97561951"/>
            <w:r w:rsidRPr="00D96063">
              <w:rPr>
                <w:sz w:val="16"/>
                <w:szCs w:val="18"/>
              </w:rPr>
              <w:t>ICUMS</w:t>
            </w:r>
            <w:bookmarkEnd w:id="75"/>
            <w:r w:rsidRPr="00D96063">
              <w:rPr>
                <w:sz w:val="16"/>
                <w:szCs w:val="18"/>
              </w:rPr>
              <w:t xml:space="preserve"> for an FDA import permit, valid for one year. The import permit fee has been replaced with a verification fee (L.I. 2386, 2019): 0.8% for food, 1.8% for drugs, and 0.5% for cosmetics.</w:t>
            </w:r>
          </w:p>
          <w:p w14:paraId="34367A49" w14:textId="77777777" w:rsidR="00C15F2E" w:rsidRPr="00D96063" w:rsidRDefault="00C15F2E" w:rsidP="0024023A">
            <w:pPr>
              <w:spacing w:before="120" w:after="120"/>
              <w:rPr>
                <w:sz w:val="16"/>
                <w:szCs w:val="18"/>
              </w:rPr>
            </w:pPr>
            <w:r w:rsidRPr="00D96063">
              <w:rPr>
                <w:sz w:val="16"/>
                <w:szCs w:val="18"/>
              </w:rPr>
              <w:t>For other agricultural products, importer/agent must register with the Plant Protection and Regulatory Services Directorate (PPRSD) as an importer and apply for an import permit. In addition, the PPRSD issues a report on phytosanitary inspections for all imported plants and plant products and Veterinary Services Directorate does the same for all imported animal products. For other regulated products, importer must obtain a permit or licence from the competent ministry/agency/department. A</w:t>
            </w:r>
            <w:r w:rsidRPr="00D96063">
              <w:rPr>
                <w:sz w:val="16"/>
              </w:rPr>
              <w:t xml:space="preserve"> product </w:t>
            </w:r>
            <w:r w:rsidRPr="00D96063">
              <w:rPr>
                <w:sz w:val="16"/>
                <w:szCs w:val="18"/>
              </w:rPr>
              <w:t xml:space="preserve">can </w:t>
            </w:r>
            <w:r w:rsidRPr="00D96063">
              <w:rPr>
                <w:sz w:val="16"/>
              </w:rPr>
              <w:t>be on both the FDA and PPRSD lists</w:t>
            </w:r>
            <w:r w:rsidRPr="00D96063">
              <w:rPr>
                <w:sz w:val="16"/>
                <w:szCs w:val="18"/>
              </w:rPr>
              <w:t>.</w:t>
            </w:r>
          </w:p>
          <w:p w14:paraId="28FE0488" w14:textId="77777777" w:rsidR="00C15F2E" w:rsidRPr="00D96063" w:rsidRDefault="00C15F2E" w:rsidP="00997D10">
            <w:pPr>
              <w:rPr>
                <w:sz w:val="16"/>
                <w:szCs w:val="18"/>
              </w:rPr>
            </w:pPr>
            <w:r w:rsidRPr="00D96063">
              <w:rPr>
                <w:sz w:val="16"/>
                <w:szCs w:val="18"/>
              </w:rPr>
              <w:t xml:space="preserve">For other regulated products, importer/agent must register as an importer with the GSA. </w:t>
            </w:r>
          </w:p>
        </w:tc>
      </w:tr>
      <w:tr w:rsidR="00C15F2E" w:rsidRPr="00D96063" w14:paraId="405408EB" w14:textId="77777777" w:rsidTr="00997D10">
        <w:trPr>
          <w:trHeight w:val="611"/>
        </w:trPr>
        <w:tc>
          <w:tcPr>
            <w:tcW w:w="5000" w:type="pct"/>
          </w:tcPr>
          <w:p w14:paraId="197533E1" w14:textId="77777777" w:rsidR="00C15F2E" w:rsidRPr="00D96063" w:rsidRDefault="00C15F2E" w:rsidP="00997D10">
            <w:pPr>
              <w:rPr>
                <w:sz w:val="16"/>
                <w:szCs w:val="18"/>
              </w:rPr>
            </w:pPr>
            <w:r w:rsidRPr="00D96063">
              <w:rPr>
                <w:sz w:val="16"/>
                <w:szCs w:val="18"/>
              </w:rPr>
              <w:t xml:space="preserve">Step 4: Importer/agent obtains a Tax Clearance Certificate from the GRA, issued in the name of the importer. There were plans to merge this document with the tax identification number (TIN), also from the GRA, but to </w:t>
            </w:r>
            <w:r w:rsidRPr="00D96063">
              <w:rPr>
                <w:sz w:val="16"/>
              </w:rPr>
              <w:t>date</w:t>
            </w:r>
            <w:r w:rsidRPr="00D96063">
              <w:rPr>
                <w:sz w:val="16"/>
                <w:szCs w:val="18"/>
              </w:rPr>
              <w:t xml:space="preserve"> the two documents are required.</w:t>
            </w:r>
          </w:p>
        </w:tc>
      </w:tr>
      <w:tr w:rsidR="00C15F2E" w:rsidRPr="00D96063" w14:paraId="20F0A9EE" w14:textId="77777777" w:rsidTr="00997D10">
        <w:tc>
          <w:tcPr>
            <w:tcW w:w="5000" w:type="pct"/>
          </w:tcPr>
          <w:p w14:paraId="72E6F277" w14:textId="77777777" w:rsidR="00C15F2E" w:rsidRPr="00D96063" w:rsidRDefault="00C15F2E" w:rsidP="00997D10">
            <w:pPr>
              <w:rPr>
                <w:sz w:val="16"/>
                <w:szCs w:val="18"/>
              </w:rPr>
            </w:pPr>
            <w:r w:rsidRPr="00D96063">
              <w:rPr>
                <w:sz w:val="16"/>
                <w:szCs w:val="18"/>
              </w:rPr>
              <w:t>Step 5: Importer/agent submits an electronic application for Bill of Entry and uploads the supporting documents in ICUMS.</w:t>
            </w:r>
          </w:p>
        </w:tc>
      </w:tr>
      <w:tr w:rsidR="00C15F2E" w:rsidRPr="00D96063" w14:paraId="4E101768" w14:textId="77777777" w:rsidTr="00997D10">
        <w:tc>
          <w:tcPr>
            <w:tcW w:w="5000" w:type="pct"/>
          </w:tcPr>
          <w:p w14:paraId="4BB3DC1D" w14:textId="77777777" w:rsidR="00C15F2E" w:rsidRPr="00D96063" w:rsidRDefault="00C15F2E" w:rsidP="00997D10">
            <w:pPr>
              <w:rPr>
                <w:sz w:val="16"/>
                <w:szCs w:val="18"/>
              </w:rPr>
            </w:pPr>
            <w:r w:rsidRPr="00D96063">
              <w:rPr>
                <w:sz w:val="16"/>
                <w:szCs w:val="18"/>
              </w:rPr>
              <w:t>Step 6: Shipping company submits the manifest to GRA Customs.</w:t>
            </w:r>
          </w:p>
        </w:tc>
      </w:tr>
      <w:tr w:rsidR="00C15F2E" w:rsidRPr="00D96063" w14:paraId="00F4CE6C" w14:textId="77777777" w:rsidTr="00997D10">
        <w:tc>
          <w:tcPr>
            <w:tcW w:w="5000" w:type="pct"/>
          </w:tcPr>
          <w:p w14:paraId="5A5EC693" w14:textId="77777777" w:rsidR="00C15F2E" w:rsidRPr="00D96063" w:rsidRDefault="00C15F2E" w:rsidP="00997D10">
            <w:pPr>
              <w:rPr>
                <w:sz w:val="16"/>
                <w:szCs w:val="18"/>
              </w:rPr>
            </w:pPr>
            <w:r w:rsidRPr="00D96063">
              <w:rPr>
                <w:sz w:val="16"/>
                <w:szCs w:val="18"/>
              </w:rPr>
              <w:t>Step 7: Importer/agent submits the Customs Declaration via ICUMS.</w:t>
            </w:r>
          </w:p>
        </w:tc>
      </w:tr>
      <w:tr w:rsidR="00C15F2E" w:rsidRPr="00D96063" w14:paraId="6B477DC1" w14:textId="77777777" w:rsidTr="00997D10">
        <w:tc>
          <w:tcPr>
            <w:tcW w:w="5000" w:type="pct"/>
          </w:tcPr>
          <w:p w14:paraId="4A9FB09E" w14:textId="77777777" w:rsidR="00C15F2E" w:rsidRPr="00D96063" w:rsidRDefault="00C15F2E" w:rsidP="00997D10">
            <w:pPr>
              <w:rPr>
                <w:sz w:val="16"/>
                <w:szCs w:val="18"/>
              </w:rPr>
            </w:pPr>
            <w:r w:rsidRPr="00D96063">
              <w:rPr>
                <w:sz w:val="16"/>
                <w:szCs w:val="18"/>
              </w:rPr>
              <w:t>Step 8:</w:t>
            </w:r>
            <w:r w:rsidRPr="00D96063">
              <w:t xml:space="preserve"> </w:t>
            </w:r>
            <w:r w:rsidRPr="00D96063">
              <w:rPr>
                <w:sz w:val="16"/>
                <w:szCs w:val="18"/>
              </w:rPr>
              <w:t>Importer/agent makes payment of duties and charges to the authorized dealer bank.</w:t>
            </w:r>
          </w:p>
        </w:tc>
      </w:tr>
      <w:tr w:rsidR="00C15F2E" w:rsidRPr="00D96063" w14:paraId="7721FD9E" w14:textId="77777777" w:rsidTr="00997D10">
        <w:tc>
          <w:tcPr>
            <w:tcW w:w="5000" w:type="pct"/>
          </w:tcPr>
          <w:p w14:paraId="30B0510C" w14:textId="77777777" w:rsidR="00C15F2E" w:rsidRPr="00D96063" w:rsidRDefault="00C15F2E" w:rsidP="00997D10">
            <w:pPr>
              <w:rPr>
                <w:sz w:val="16"/>
                <w:szCs w:val="18"/>
              </w:rPr>
            </w:pPr>
            <w:r w:rsidRPr="00D96063">
              <w:rPr>
                <w:sz w:val="16"/>
                <w:szCs w:val="18"/>
              </w:rPr>
              <w:t xml:space="preserve">Step 9: </w:t>
            </w:r>
            <w:r w:rsidRPr="00D96063">
              <w:rPr>
                <w:sz w:val="16"/>
                <w:szCs w:val="16"/>
              </w:rPr>
              <w:t>Consignment is inspected</w:t>
            </w:r>
            <w:r w:rsidRPr="00D96063">
              <w:rPr>
                <w:sz w:val="16"/>
                <w:szCs w:val="18"/>
              </w:rPr>
              <w:t xml:space="preserve"> by the GSA and the FDA or the PPRSD/Veterinary Service Directorate if required, as well as by a Customs Examination Officer and a Customs Chemist Analyst. Since 2020, the GSA no longer inspects FDA-regulated products (mainly food, cosmetics, and pharmaceuticals).</w:t>
            </w:r>
          </w:p>
        </w:tc>
      </w:tr>
      <w:tr w:rsidR="00C15F2E" w:rsidRPr="00D96063" w14:paraId="4A98268E" w14:textId="77777777" w:rsidTr="00997D10">
        <w:tc>
          <w:tcPr>
            <w:tcW w:w="5000" w:type="pct"/>
          </w:tcPr>
          <w:p w14:paraId="6E0B8271" w14:textId="77777777" w:rsidR="00C15F2E" w:rsidRPr="00D96063" w:rsidRDefault="00C15F2E" w:rsidP="00997D10">
            <w:pPr>
              <w:rPr>
                <w:sz w:val="16"/>
                <w:szCs w:val="18"/>
              </w:rPr>
            </w:pPr>
            <w:r w:rsidRPr="00D96063">
              <w:rPr>
                <w:sz w:val="16"/>
                <w:szCs w:val="18"/>
              </w:rPr>
              <w:t>Step 10: Once all the charges have been paid, the merchandise is cleared by GRA Customs.</w:t>
            </w:r>
          </w:p>
        </w:tc>
      </w:tr>
      <w:tr w:rsidR="00C15F2E" w:rsidRPr="00D96063" w14:paraId="485CE9B7" w14:textId="77777777" w:rsidTr="00997D10">
        <w:tc>
          <w:tcPr>
            <w:tcW w:w="5000" w:type="pct"/>
          </w:tcPr>
          <w:p w14:paraId="4A0BF904" w14:textId="77777777" w:rsidR="00C15F2E" w:rsidRPr="00D96063" w:rsidRDefault="00C15F2E" w:rsidP="00997D10">
            <w:pPr>
              <w:rPr>
                <w:sz w:val="16"/>
                <w:szCs w:val="18"/>
              </w:rPr>
            </w:pPr>
            <w:r w:rsidRPr="00D96063">
              <w:rPr>
                <w:sz w:val="16"/>
                <w:szCs w:val="18"/>
              </w:rPr>
              <w:t xml:space="preserve">Step 11: Importer/agent pays </w:t>
            </w:r>
            <w:r w:rsidRPr="00D96063">
              <w:rPr>
                <w:sz w:val="16"/>
              </w:rPr>
              <w:t>fees</w:t>
            </w:r>
            <w:r w:rsidRPr="00D96063">
              <w:rPr>
                <w:sz w:val="16"/>
                <w:szCs w:val="18"/>
              </w:rPr>
              <w:t xml:space="preserve"> and obtains a vehicle toll pass and a waybill from Ghana Ports and Harbours Authority (GPHA). </w:t>
            </w:r>
          </w:p>
        </w:tc>
      </w:tr>
      <w:tr w:rsidR="00C15F2E" w:rsidRPr="00D96063" w14:paraId="34752AAF" w14:textId="77777777" w:rsidTr="00997D10">
        <w:tc>
          <w:tcPr>
            <w:tcW w:w="5000" w:type="pct"/>
          </w:tcPr>
          <w:p w14:paraId="2F7EF476" w14:textId="77777777" w:rsidR="00C15F2E" w:rsidRPr="00D96063" w:rsidRDefault="00C15F2E" w:rsidP="00997D10">
            <w:pPr>
              <w:rPr>
                <w:sz w:val="16"/>
                <w:szCs w:val="18"/>
              </w:rPr>
            </w:pPr>
            <w:r w:rsidRPr="00D96063">
              <w:rPr>
                <w:sz w:val="16"/>
                <w:szCs w:val="18"/>
              </w:rPr>
              <w:t>Step 12: Terminal clerk cross-checks and confirms that the correct fees have been paid.</w:t>
            </w:r>
          </w:p>
        </w:tc>
      </w:tr>
      <w:tr w:rsidR="00C15F2E" w:rsidRPr="00D96063" w14:paraId="4A741CF0" w14:textId="77777777" w:rsidTr="00997D10">
        <w:tc>
          <w:tcPr>
            <w:tcW w:w="5000" w:type="pct"/>
          </w:tcPr>
          <w:p w14:paraId="0DF350EC" w14:textId="77777777" w:rsidR="00C15F2E" w:rsidRPr="00D96063" w:rsidRDefault="00C15F2E" w:rsidP="00997D10">
            <w:pPr>
              <w:rPr>
                <w:sz w:val="16"/>
                <w:szCs w:val="18"/>
              </w:rPr>
            </w:pPr>
            <w:r w:rsidRPr="00D96063">
              <w:rPr>
                <w:sz w:val="16"/>
                <w:szCs w:val="18"/>
              </w:rPr>
              <w:t xml:space="preserve">Step 13: Customs Preventive Officers check the documents, and then release the goods. </w:t>
            </w:r>
          </w:p>
        </w:tc>
      </w:tr>
      <w:tr w:rsidR="00C15F2E" w:rsidRPr="00D96063" w14:paraId="4F23EA81" w14:textId="77777777" w:rsidTr="00997D10">
        <w:tc>
          <w:tcPr>
            <w:tcW w:w="5000" w:type="pct"/>
          </w:tcPr>
          <w:p w14:paraId="63870DA9" w14:textId="77777777" w:rsidR="00C15F2E" w:rsidRPr="00D96063" w:rsidRDefault="00C15F2E" w:rsidP="00997D10">
            <w:pPr>
              <w:rPr>
                <w:sz w:val="16"/>
                <w:szCs w:val="18"/>
              </w:rPr>
            </w:pPr>
            <w:r w:rsidRPr="00D96063">
              <w:rPr>
                <w:sz w:val="16"/>
                <w:szCs w:val="18"/>
              </w:rPr>
              <w:t>Step 14: National Security official checks documentation to ensure that the correct cargo exits port.</w:t>
            </w:r>
          </w:p>
        </w:tc>
      </w:tr>
    </w:tbl>
    <w:p w14:paraId="2FE83619" w14:textId="431714CF" w:rsidR="00C15F2E" w:rsidRPr="00D96063" w:rsidRDefault="00C15F2E" w:rsidP="00E101A6">
      <w:pPr>
        <w:tabs>
          <w:tab w:val="left" w:pos="851"/>
        </w:tabs>
        <w:spacing w:before="120" w:after="240"/>
        <w:ind w:left="851" w:hanging="851"/>
        <w:jc w:val="left"/>
        <w:rPr>
          <w:rFonts w:eastAsia="Calibri" w:cs="Times New Roman"/>
          <w:sz w:val="16"/>
        </w:rPr>
      </w:pPr>
      <w:r w:rsidRPr="00D96063">
        <w:rPr>
          <w:rFonts w:eastAsia="Calibri" w:cs="Times New Roman"/>
          <w:sz w:val="16"/>
        </w:rPr>
        <w:t>Source:</w:t>
      </w:r>
      <w:r w:rsidRPr="00D96063">
        <w:rPr>
          <w:rFonts w:eastAsia="Calibri" w:cs="Times New Roman"/>
          <w:sz w:val="16"/>
        </w:rPr>
        <w:tab/>
        <w:t>Information provided by the authorities.</w:t>
      </w:r>
    </w:p>
    <w:p w14:paraId="50FCE824" w14:textId="77777777" w:rsidR="00751731" w:rsidRPr="00D96063" w:rsidRDefault="00751731" w:rsidP="00C270CC">
      <w:pPr>
        <w:pStyle w:val="Heading4"/>
        <w:numPr>
          <w:ilvl w:val="3"/>
          <w:numId w:val="40"/>
        </w:numPr>
      </w:pPr>
      <w:bookmarkStart w:id="76" w:name="_Toc103607664"/>
      <w:bookmarkStart w:id="77" w:name="_Hlk85522481"/>
      <w:r w:rsidRPr="00D96063">
        <w:t>Single window</w:t>
      </w:r>
      <w:bookmarkEnd w:id="76"/>
    </w:p>
    <w:bookmarkEnd w:id="77"/>
    <w:p w14:paraId="116289EB" w14:textId="3B10A9F0" w:rsidR="00751731" w:rsidRPr="00D96063" w:rsidRDefault="00751731" w:rsidP="00751731">
      <w:pPr>
        <w:pStyle w:val="BodyText"/>
        <w:numPr>
          <w:ilvl w:val="6"/>
          <w:numId w:val="16"/>
        </w:numPr>
      </w:pPr>
      <w:r w:rsidRPr="00D96063">
        <w:t xml:space="preserve">In 2018, the Ministry of Trade and Industry (MOTI) recruited Ghana Link Network Services Ltd (GLNS) and its technical partner, Customs Uni-Pass International Agency of the Republic of Korea, to provide a comprehensive national single window platform to enhance trade facilitation and </w:t>
      </w:r>
      <w:r w:rsidRPr="00D96063">
        <w:lastRenderedPageBreak/>
        <w:t>revenue generation efficiency. The Integrated Customs Management System (ICUMS) is designed to become a paperless port clearance system; it replaced the two single window platforms (both in use since 2015) – the Pre</w:t>
      </w:r>
      <w:r w:rsidRPr="00D96063">
        <w:noBreakHyphen/>
        <w:t>Arrival Assessment Reporting System and the Ghana Community Network (GCNet). ICUMS became operational at the Takoradi port in February 2020 and at the Tema port in June 2020; it has reduced cargo clearance time to 24 hours and to between 24 and 48 hours, respectively. Also since June 2020, ICUMS has been deployed at some other 155 entry points, including airports, seaports, and land borders.</w:t>
      </w:r>
    </w:p>
    <w:p w14:paraId="7A7031BF" w14:textId="77777777" w:rsidR="00C15F2E" w:rsidRPr="00D96063" w:rsidRDefault="00C15F2E" w:rsidP="00E101A6">
      <w:pPr>
        <w:pStyle w:val="Heading4"/>
        <w:numPr>
          <w:ilvl w:val="3"/>
          <w:numId w:val="16"/>
        </w:numPr>
      </w:pPr>
      <w:bookmarkStart w:id="78" w:name="_Toc103607665"/>
      <w:r w:rsidRPr="00D96063">
        <w:t>Destination inspection scheme</w:t>
      </w:r>
      <w:bookmarkEnd w:id="78"/>
    </w:p>
    <w:p w14:paraId="3D317655" w14:textId="09541F7A" w:rsidR="00C15F2E" w:rsidRPr="00D96063" w:rsidRDefault="00C15F2E" w:rsidP="00972B79">
      <w:pPr>
        <w:pStyle w:val="BodyText"/>
        <w:numPr>
          <w:ilvl w:val="6"/>
          <w:numId w:val="16"/>
        </w:numPr>
      </w:pPr>
      <w:bookmarkStart w:id="79" w:name="_Hlk97563711"/>
      <w:r w:rsidRPr="00D96063">
        <w:t>Destination inspection by GRA Customs is mandatory for all imports</w:t>
      </w:r>
      <w:r w:rsidRPr="00D96063">
        <w:rPr>
          <w:b/>
          <w:bCs/>
        </w:rPr>
        <w:t xml:space="preserve"> </w:t>
      </w:r>
      <w:r w:rsidRPr="00D96063">
        <w:t>of USD 3,000 and above unless a waiver is granted by MOTI. An inspection fee of 1% of the CIF value is collected on all imports that are cleared through the ICUMS</w:t>
      </w:r>
      <w:bookmarkEnd w:id="79"/>
      <w:r w:rsidRPr="00D96063">
        <w:t>. The break-down of the 1% inspection fee is as follows: 0.30% to GLNS for an external valuation verification; 0.28% to GLNS; 0.17% for "strategic mobilisation"; 0.05% to the Ministry of Finance; 0.02% to MOTI; 0.05% to GRA Customs; 0.03% to GSA; and 0.10% to a special fund at the Ministry of Finance.</w:t>
      </w:r>
      <w:r w:rsidRPr="00D96063">
        <w:rPr>
          <w:rStyle w:val="FootnoteReference"/>
        </w:rPr>
        <w:footnoteReference w:id="48"/>
      </w:r>
      <w:r w:rsidRPr="00D96063">
        <w:t xml:space="preserve"> In addition to this inspection fee, the GLNS charges 0.4% of the f.o.b. value of imports as part of its ICUMS usage fee (Table 3.7) and charges USD 50 for the GPS tracking device used in transit.</w:t>
      </w:r>
    </w:p>
    <w:bookmarkEnd w:id="73"/>
    <w:p w14:paraId="2D955DCB" w14:textId="77777777" w:rsidR="00C15F2E" w:rsidRPr="00D96063" w:rsidRDefault="00C15F2E" w:rsidP="00E101A6">
      <w:pPr>
        <w:pStyle w:val="BodyText"/>
        <w:numPr>
          <w:ilvl w:val="6"/>
          <w:numId w:val="16"/>
        </w:numPr>
      </w:pPr>
      <w:r w:rsidRPr="00D96063">
        <w:t>The authorities have explained that the GLNS has contracted firms in Europe and Asia to provide verification of values contained in invoice details sent to them by GRA Customs. These offices first check with the firm that issued the invoice where possible or check with firms within the same area on the prices of the indicated items and revert to Customs through ICUMS with the results and supporting evidence where necessary.</w:t>
      </w:r>
    </w:p>
    <w:p w14:paraId="563BF017" w14:textId="77777777" w:rsidR="00C15F2E" w:rsidRPr="00D96063" w:rsidRDefault="00C15F2E" w:rsidP="00E101A6">
      <w:pPr>
        <w:pStyle w:val="BodyText"/>
        <w:numPr>
          <w:ilvl w:val="6"/>
          <w:numId w:val="16"/>
        </w:numPr>
      </w:pPr>
      <w:bookmarkStart w:id="80" w:name="_Hlk95320847"/>
      <w:r w:rsidRPr="00D96063">
        <w:t>According to the authorities, Ghana has deployed an improved risk management system as part of the ICUMS, which has reduced the number of physical inspections (see also Section 3.3.3). However, a robust risk management system should significantly reduce physical inspections and face-to-face interactions between officials and traders, as these tend to increase the risk of unofficial fees and corruption</w:t>
      </w:r>
      <w:bookmarkEnd w:id="80"/>
      <w:r w:rsidRPr="00D96063">
        <w:t>.</w:t>
      </w:r>
      <w:r w:rsidRPr="00D96063">
        <w:rPr>
          <w:rStyle w:val="FootnoteReference"/>
          <w:rFonts w:eastAsia="Calibri" w:cs="Times New Roman"/>
        </w:rPr>
        <w:footnoteReference w:id="49"/>
      </w:r>
      <w:r w:rsidRPr="00D96063">
        <w:t xml:space="preserve"> Irrespective of the officially established red, yellow, or green channels (for physical inspection, scanning, or passing straight through, respectively) to which imports are directed, most goods are physically examined at the border to compare the values and quantities with the declarations, and Customs orders regularly physical examination of goods arriving through the green and yellow channels.</w:t>
      </w:r>
      <w:r w:rsidRPr="00D96063">
        <w:rPr>
          <w:rStyle w:val="FootnoteReference"/>
        </w:rPr>
        <w:footnoteReference w:id="50"/>
      </w:r>
    </w:p>
    <w:p w14:paraId="547676CC" w14:textId="77777777" w:rsidR="00C15F2E" w:rsidRPr="00D96063" w:rsidRDefault="00C15F2E" w:rsidP="00E101A6">
      <w:pPr>
        <w:pStyle w:val="Heading4"/>
        <w:numPr>
          <w:ilvl w:val="3"/>
          <w:numId w:val="16"/>
        </w:numPr>
      </w:pPr>
      <w:bookmarkStart w:id="82" w:name="_Toc103607666"/>
      <w:r w:rsidRPr="00D96063">
        <w:t>Customs valuation</w:t>
      </w:r>
      <w:bookmarkEnd w:id="82"/>
    </w:p>
    <w:p w14:paraId="5FB86525" w14:textId="77777777" w:rsidR="00C15F2E" w:rsidRPr="00D96063" w:rsidRDefault="00C15F2E" w:rsidP="00E101A6">
      <w:pPr>
        <w:pStyle w:val="BodyText"/>
        <w:numPr>
          <w:ilvl w:val="6"/>
          <w:numId w:val="16"/>
        </w:numPr>
      </w:pPr>
      <w:r w:rsidRPr="00D96063">
        <w:t>Ghana has implemented the WTO Agreement on Customs Valuation since April 2000 (Customs Act, 2015 (Act 891)). Under-declaration/under-invoicing by importers or their agents is the main challenge, according to Customs.</w:t>
      </w:r>
    </w:p>
    <w:p w14:paraId="400D3201" w14:textId="7B484323" w:rsidR="00C15F2E" w:rsidRPr="00D96063" w:rsidRDefault="00C15F2E" w:rsidP="00E101A6">
      <w:pPr>
        <w:pStyle w:val="BodyText"/>
        <w:numPr>
          <w:ilvl w:val="6"/>
          <w:numId w:val="16"/>
        </w:numPr>
      </w:pPr>
      <w:r w:rsidRPr="00D96063">
        <w:t>Tariffs are applied on the c.i.f. value of goods; where the importer provides no insurance or freight invoice, Customs makes the following assumptions: (i) freight is 10% of the f.o.b. value; and (ii) insurance is 1% of the f.o.b. value for air and sea shipments, or 0.875% for land shipments.</w:t>
      </w:r>
    </w:p>
    <w:p w14:paraId="554429FA" w14:textId="77777777" w:rsidR="00C15F2E" w:rsidRPr="00D96063" w:rsidRDefault="00C15F2E" w:rsidP="00E101A6">
      <w:pPr>
        <w:pStyle w:val="Heading3"/>
        <w:numPr>
          <w:ilvl w:val="2"/>
          <w:numId w:val="16"/>
        </w:numPr>
      </w:pPr>
      <w:bookmarkStart w:id="83" w:name="_Toc103607667"/>
      <w:bookmarkStart w:id="84" w:name="_Toc392845100"/>
      <w:r w:rsidRPr="00D96063">
        <w:t>Tariffs</w:t>
      </w:r>
      <w:bookmarkEnd w:id="83"/>
    </w:p>
    <w:p w14:paraId="330B3EF4" w14:textId="77777777" w:rsidR="00C15F2E" w:rsidRPr="00D96063" w:rsidRDefault="00C15F2E" w:rsidP="00E101A6">
      <w:pPr>
        <w:pStyle w:val="Heading4"/>
        <w:numPr>
          <w:ilvl w:val="3"/>
          <w:numId w:val="16"/>
        </w:numPr>
      </w:pPr>
      <w:bookmarkStart w:id="85" w:name="_Toc103607668"/>
      <w:r w:rsidRPr="00D96063">
        <w:t>Overview</w:t>
      </w:r>
      <w:bookmarkEnd w:id="84"/>
      <w:bookmarkEnd w:id="85"/>
    </w:p>
    <w:p w14:paraId="517AD607" w14:textId="77777777" w:rsidR="00C15F2E" w:rsidRPr="00D96063" w:rsidRDefault="00C15F2E" w:rsidP="00A24CB4">
      <w:pPr>
        <w:pStyle w:val="BodyText"/>
        <w:numPr>
          <w:ilvl w:val="6"/>
          <w:numId w:val="16"/>
        </w:numPr>
      </w:pPr>
      <w:bookmarkStart w:id="86" w:name="_Hlk95384845"/>
      <w:bookmarkStart w:id="87" w:name="_Hlk85463928"/>
      <w:r w:rsidRPr="00D96063">
        <w:t>Ghana relies heavily on international trade taxes (mainly tariffs, excise and petroleum taxes, and VAT), although the share of these taxes in government revenue declined over the review period (Chart 3.1 and Table 3.2).</w:t>
      </w:r>
      <w:bookmarkEnd w:id="86"/>
    </w:p>
    <w:p w14:paraId="7071BE01" w14:textId="77777777" w:rsidR="00C15F2E" w:rsidRPr="00D96063" w:rsidRDefault="00C15F2E" w:rsidP="006B6433">
      <w:pPr>
        <w:pStyle w:val="BodyText"/>
        <w:numPr>
          <w:ilvl w:val="6"/>
          <w:numId w:val="16"/>
        </w:numPr>
      </w:pPr>
      <w:r w:rsidRPr="00D96063">
        <w:lastRenderedPageBreak/>
        <w:t xml:space="preserve">According to the </w:t>
      </w:r>
      <w:bookmarkStart w:id="88" w:name="_Hlk86391626"/>
      <w:r w:rsidRPr="00D96063">
        <w:t xml:space="preserve">Ghana Shippers' </w:t>
      </w:r>
      <w:bookmarkEnd w:id="88"/>
      <w:r w:rsidRPr="00D96063">
        <w:t>Authority, freight rates and the value of customs duties levied on imports increased strongly between the first quarter of 2020 and 2021. For example, the Port Additional Surcharge was introduced by shipping companies in 2021 and has increased the cost of importing by USD 60</w:t>
      </w:r>
      <w:r w:rsidRPr="00D96063">
        <w:noBreakHyphen/>
        <w:t>USD 100 per tonne. Also, the depreciation of the cedi (Section 1.2) increased the value of duties and charges levied on imports by 17% between November 2018 and March 2021.</w:t>
      </w:r>
    </w:p>
    <w:p w14:paraId="5693290B" w14:textId="77777777" w:rsidR="00C15F2E" w:rsidRPr="00D96063" w:rsidRDefault="00C15F2E" w:rsidP="006B6433">
      <w:pPr>
        <w:pStyle w:val="BodyText"/>
        <w:numPr>
          <w:ilvl w:val="6"/>
          <w:numId w:val="16"/>
        </w:numPr>
        <w:rPr>
          <w:rFonts w:cs="Arial"/>
        </w:rPr>
      </w:pPr>
      <w:r w:rsidRPr="00D96063">
        <w:t>In addition to trade taxes, nearly a dozen other taxes and charges are levied on imports (and domestic production) of merchandise, a considerable increase since 2014. This is not only expensive and inefficient to administer, but considerably raises the prices of consumer goods and the costs of inputs to producers.</w:t>
      </w:r>
    </w:p>
    <w:p w14:paraId="669A6E6D" w14:textId="77777777" w:rsidR="00C15F2E" w:rsidRPr="00D96063" w:rsidRDefault="00C15F2E" w:rsidP="006B6433">
      <w:pPr>
        <w:pStyle w:val="BodyText"/>
        <w:numPr>
          <w:ilvl w:val="6"/>
          <w:numId w:val="16"/>
        </w:numPr>
      </w:pPr>
      <w:r w:rsidRPr="00D96063">
        <w:t>The Government's main objective when implementing recent increases in import taxation has been to increase budgetary revenues and decrease the public deficit. Targets have been set annually for revenue collection and have been met or exceeded in recent years, thanks to a strengthening of Ghana's tax administration. According to the GRA, Customs collected nearly a third of all tax revenue in 2020 (Chart 3.1), or over 38% if excise taxes are added (imported items being the main source of revenue from these excises duties).</w:t>
      </w:r>
    </w:p>
    <w:p w14:paraId="4D8B26DC" w14:textId="26C470F6" w:rsidR="00C15F2E" w:rsidRPr="00D96063" w:rsidRDefault="00C15F2E" w:rsidP="0031684D">
      <w:pPr>
        <w:pStyle w:val="Caption"/>
      </w:pPr>
      <w:bookmarkStart w:id="89" w:name="_Toc103607801"/>
      <w:bookmarkStart w:id="90" w:name="_Hlk100579798"/>
      <w:r w:rsidRPr="00D96063">
        <w:t xml:space="preserve">Chart </w:t>
      </w:r>
      <w:fldSimple w:instr=" STYLEREF 1 \s ">
        <w:r w:rsidR="004B63B1">
          <w:rPr>
            <w:noProof/>
          </w:rPr>
          <w:t>3</w:t>
        </w:r>
      </w:fldSimple>
      <w:r w:rsidR="00045F7A">
        <w:t>.</w:t>
      </w:r>
      <w:fldSimple w:instr=" SEQ Chart \* ARABIC \s 1 ">
        <w:r w:rsidR="004B63B1">
          <w:rPr>
            <w:noProof/>
          </w:rPr>
          <w:t>1</w:t>
        </w:r>
      </w:fldSimple>
      <w:r w:rsidRPr="00D96063">
        <w:t xml:space="preserve"> Tax revenue by category, 2020</w:t>
      </w:r>
      <w:bookmarkEnd w:id="89"/>
    </w:p>
    <w:bookmarkEnd w:id="87"/>
    <w:p w14:paraId="6E5EA8E6" w14:textId="77777777" w:rsidR="00C15F2E" w:rsidRPr="00D96063" w:rsidRDefault="00C15F2E" w:rsidP="0031684D">
      <w:pPr>
        <w:keepNext/>
        <w:rPr>
          <w:sz w:val="16"/>
          <w:szCs w:val="20"/>
        </w:rPr>
      </w:pPr>
      <w:r w:rsidRPr="00D96063">
        <w:rPr>
          <w:sz w:val="16"/>
          <w:szCs w:val="20"/>
        </w:rPr>
        <w:t>(% of total tax revenue)</w:t>
      </w:r>
    </w:p>
    <w:p w14:paraId="40827DBC" w14:textId="77777777" w:rsidR="00C15F2E" w:rsidRPr="00D96063" w:rsidRDefault="00C15F2E" w:rsidP="00B2548C">
      <w:r w:rsidRPr="00D96063">
        <w:rPr>
          <w:noProof/>
        </w:rPr>
        <w:drawing>
          <wp:inline distT="0" distB="0" distL="0" distR="0" wp14:anchorId="2A7C77E5" wp14:editId="04104AC3">
            <wp:extent cx="5731510" cy="27432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10267" b="15811"/>
                    <a:stretch/>
                  </pic:blipFill>
                  <pic:spPr bwMode="auto">
                    <a:xfrm>
                      <a:off x="0" y="0"/>
                      <a:ext cx="5731510"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691E6AA3" w14:textId="77777777" w:rsidR="00C15F2E" w:rsidRPr="00D96063" w:rsidRDefault="00C15F2E" w:rsidP="00E55172">
      <w:pPr>
        <w:pStyle w:val="NoteText"/>
        <w:spacing w:before="120" w:after="240"/>
      </w:pPr>
      <w:r w:rsidRPr="00D96063">
        <w:t>Source:</w:t>
      </w:r>
      <w:r w:rsidRPr="00D96063">
        <w:tab/>
        <w:t xml:space="preserve">WTO Secretariat calculations, based on Ministry of Finance, </w:t>
      </w:r>
      <w:r w:rsidRPr="00D96063">
        <w:rPr>
          <w:i/>
          <w:iCs/>
        </w:rPr>
        <w:t>Fiscal Data</w:t>
      </w:r>
      <w:r w:rsidRPr="00D96063">
        <w:t xml:space="preserve">. Viewed at: </w:t>
      </w:r>
      <w:hyperlink r:id="rId66" w:history="1">
        <w:r w:rsidRPr="00D96063">
          <w:rPr>
            <w:rStyle w:val="Hyperlink"/>
          </w:rPr>
          <w:t>https://www.mofep.gov.gh/fiscal-data</w:t>
        </w:r>
      </w:hyperlink>
      <w:r w:rsidRPr="00D96063">
        <w:t>.</w:t>
      </w:r>
      <w:bookmarkEnd w:id="90"/>
    </w:p>
    <w:p w14:paraId="4EEDEB25" w14:textId="55D46D89" w:rsidR="00C15F2E" w:rsidRPr="00D96063" w:rsidRDefault="00C15F2E" w:rsidP="007A1409">
      <w:pPr>
        <w:pStyle w:val="Caption"/>
        <w:keepLines/>
      </w:pPr>
      <w:bookmarkStart w:id="91" w:name="_Toc103607883"/>
      <w:r w:rsidRPr="00D96063">
        <w:lastRenderedPageBreak/>
        <w:t xml:space="preserve">Table </w:t>
      </w:r>
      <w:fldSimple w:instr=" STYLEREF 1 \s ">
        <w:r w:rsidR="004B63B1">
          <w:rPr>
            <w:noProof/>
          </w:rPr>
          <w:t>3</w:t>
        </w:r>
      </w:fldSimple>
      <w:r w:rsidR="00BF3184">
        <w:t>.</w:t>
      </w:r>
      <w:fldSimple w:instr=" SEQ Table \* ARABIC \s 1 ">
        <w:r w:rsidR="004B63B1">
          <w:rPr>
            <w:noProof/>
          </w:rPr>
          <w:t>2</w:t>
        </w:r>
      </w:fldSimple>
      <w:r w:rsidRPr="00D96063">
        <w:t xml:space="preserve"> Fiscal revenue, 2014-20</w:t>
      </w:r>
      <w:bookmarkEnd w:id="91"/>
    </w:p>
    <w:p w14:paraId="1862D4EB" w14:textId="77777777" w:rsidR="00C15F2E" w:rsidRPr="00D96063" w:rsidRDefault="00C15F2E" w:rsidP="007A1409">
      <w:pPr>
        <w:keepNext/>
        <w:keepLines/>
        <w:rPr>
          <w:sz w:val="16"/>
          <w:szCs w:val="20"/>
          <w:lang w:eastAsia="en-GB"/>
        </w:rPr>
      </w:pPr>
      <w:r w:rsidRPr="00D96063">
        <w:rPr>
          <w:sz w:val="16"/>
          <w:szCs w:val="20"/>
          <w:lang w:eastAsia="en-GB"/>
        </w:rPr>
        <w:t>(GHS million)</w:t>
      </w:r>
    </w:p>
    <w:tbl>
      <w:tblPr>
        <w:tblStyle w:val="WTOTable1"/>
        <w:tblW w:w="5000" w:type="pct"/>
        <w:tblLook w:val="04A0" w:firstRow="1" w:lastRow="0" w:firstColumn="1" w:lastColumn="0" w:noHBand="0" w:noVBand="1"/>
      </w:tblPr>
      <w:tblGrid>
        <w:gridCol w:w="3387"/>
        <w:gridCol w:w="805"/>
        <w:gridCol w:w="804"/>
        <w:gridCol w:w="804"/>
        <w:gridCol w:w="804"/>
        <w:gridCol w:w="804"/>
        <w:gridCol w:w="804"/>
        <w:gridCol w:w="804"/>
      </w:tblGrid>
      <w:tr w:rsidR="00C15F2E" w:rsidRPr="00D96063" w14:paraId="78C9CED5" w14:textId="77777777" w:rsidTr="00B2548C">
        <w:trPr>
          <w:cnfStyle w:val="100000000000" w:firstRow="1" w:lastRow="0" w:firstColumn="0" w:lastColumn="0" w:oddVBand="0" w:evenVBand="0" w:oddHBand="0" w:evenHBand="0" w:firstRowFirstColumn="0" w:firstRowLastColumn="0" w:lastRowFirstColumn="0" w:lastRowLastColumn="0"/>
        </w:trPr>
        <w:tc>
          <w:tcPr>
            <w:tcW w:w="1334" w:type="pct"/>
            <w:noWrap/>
            <w:hideMark/>
          </w:tcPr>
          <w:p w14:paraId="228EF31F" w14:textId="77777777" w:rsidR="00C15F2E" w:rsidRPr="00D96063" w:rsidRDefault="00C15F2E" w:rsidP="002C1DC3">
            <w:pPr>
              <w:keepNext/>
              <w:keepLines/>
              <w:jc w:val="left"/>
              <w:rPr>
                <w:color w:val="FFFFFF" w:themeColor="background1"/>
                <w:sz w:val="15"/>
                <w:szCs w:val="15"/>
              </w:rPr>
            </w:pPr>
          </w:p>
        </w:tc>
        <w:tc>
          <w:tcPr>
            <w:tcW w:w="524" w:type="pct"/>
            <w:noWrap/>
            <w:hideMark/>
          </w:tcPr>
          <w:p w14:paraId="6111A521" w14:textId="77777777" w:rsidR="00C15F2E" w:rsidRPr="00D96063" w:rsidRDefault="00C15F2E" w:rsidP="007C1B3A">
            <w:pPr>
              <w:keepNext/>
              <w:keepLines/>
              <w:jc w:val="center"/>
              <w:rPr>
                <w:color w:val="FFFFFF" w:themeColor="background1"/>
                <w:sz w:val="15"/>
                <w:szCs w:val="15"/>
              </w:rPr>
            </w:pPr>
            <w:r w:rsidRPr="00D96063">
              <w:rPr>
                <w:color w:val="FFFFFF" w:themeColor="background1"/>
                <w:sz w:val="15"/>
                <w:szCs w:val="15"/>
              </w:rPr>
              <w:t>2014</w:t>
            </w:r>
          </w:p>
        </w:tc>
        <w:tc>
          <w:tcPr>
            <w:tcW w:w="524" w:type="pct"/>
            <w:noWrap/>
            <w:hideMark/>
          </w:tcPr>
          <w:p w14:paraId="7CF8DE04" w14:textId="77777777" w:rsidR="00C15F2E" w:rsidRPr="00D96063" w:rsidRDefault="00C15F2E" w:rsidP="007C1B3A">
            <w:pPr>
              <w:keepNext/>
              <w:keepLines/>
              <w:jc w:val="center"/>
              <w:rPr>
                <w:color w:val="FFFFFF" w:themeColor="background1"/>
                <w:sz w:val="15"/>
                <w:szCs w:val="15"/>
              </w:rPr>
            </w:pPr>
            <w:r w:rsidRPr="00D96063">
              <w:rPr>
                <w:color w:val="FFFFFF" w:themeColor="background1"/>
                <w:sz w:val="15"/>
                <w:szCs w:val="15"/>
              </w:rPr>
              <w:t>2015</w:t>
            </w:r>
          </w:p>
        </w:tc>
        <w:tc>
          <w:tcPr>
            <w:tcW w:w="524" w:type="pct"/>
            <w:noWrap/>
            <w:hideMark/>
          </w:tcPr>
          <w:p w14:paraId="726A4965" w14:textId="77777777" w:rsidR="00C15F2E" w:rsidRPr="00D96063" w:rsidRDefault="00C15F2E" w:rsidP="007C1B3A">
            <w:pPr>
              <w:keepNext/>
              <w:keepLines/>
              <w:jc w:val="center"/>
              <w:rPr>
                <w:color w:val="FFFFFF" w:themeColor="background1"/>
                <w:sz w:val="15"/>
                <w:szCs w:val="15"/>
              </w:rPr>
            </w:pPr>
            <w:r w:rsidRPr="00D96063">
              <w:rPr>
                <w:color w:val="FFFFFF" w:themeColor="background1"/>
                <w:sz w:val="15"/>
                <w:szCs w:val="15"/>
              </w:rPr>
              <w:t>2016</w:t>
            </w:r>
          </w:p>
        </w:tc>
        <w:tc>
          <w:tcPr>
            <w:tcW w:w="524" w:type="pct"/>
            <w:noWrap/>
            <w:hideMark/>
          </w:tcPr>
          <w:p w14:paraId="728E90F7" w14:textId="77777777" w:rsidR="00C15F2E" w:rsidRPr="00D96063" w:rsidRDefault="00C15F2E" w:rsidP="007C1B3A">
            <w:pPr>
              <w:keepNext/>
              <w:keepLines/>
              <w:jc w:val="center"/>
              <w:rPr>
                <w:color w:val="FFFFFF" w:themeColor="background1"/>
                <w:sz w:val="15"/>
                <w:szCs w:val="15"/>
              </w:rPr>
            </w:pPr>
            <w:r w:rsidRPr="00D96063">
              <w:rPr>
                <w:color w:val="FFFFFF" w:themeColor="background1"/>
                <w:sz w:val="15"/>
                <w:szCs w:val="15"/>
              </w:rPr>
              <w:t>2017</w:t>
            </w:r>
          </w:p>
        </w:tc>
        <w:tc>
          <w:tcPr>
            <w:tcW w:w="524" w:type="pct"/>
            <w:noWrap/>
            <w:hideMark/>
          </w:tcPr>
          <w:p w14:paraId="625C3583" w14:textId="77777777" w:rsidR="00C15F2E" w:rsidRPr="00D96063" w:rsidRDefault="00C15F2E" w:rsidP="007C1B3A">
            <w:pPr>
              <w:keepNext/>
              <w:keepLines/>
              <w:jc w:val="center"/>
              <w:rPr>
                <w:color w:val="FFFFFF" w:themeColor="background1"/>
                <w:sz w:val="15"/>
                <w:szCs w:val="15"/>
              </w:rPr>
            </w:pPr>
            <w:r w:rsidRPr="00D96063">
              <w:rPr>
                <w:color w:val="FFFFFF" w:themeColor="background1"/>
                <w:sz w:val="15"/>
                <w:szCs w:val="15"/>
              </w:rPr>
              <w:t>2018</w:t>
            </w:r>
          </w:p>
        </w:tc>
        <w:tc>
          <w:tcPr>
            <w:tcW w:w="524" w:type="pct"/>
            <w:noWrap/>
            <w:hideMark/>
          </w:tcPr>
          <w:p w14:paraId="067DBE15" w14:textId="77777777" w:rsidR="00C15F2E" w:rsidRPr="00D96063" w:rsidRDefault="00C15F2E" w:rsidP="007C1B3A">
            <w:pPr>
              <w:keepNext/>
              <w:keepLines/>
              <w:jc w:val="center"/>
              <w:rPr>
                <w:color w:val="FFFFFF" w:themeColor="background1"/>
                <w:sz w:val="15"/>
                <w:szCs w:val="15"/>
              </w:rPr>
            </w:pPr>
            <w:r w:rsidRPr="00D96063">
              <w:rPr>
                <w:color w:val="FFFFFF" w:themeColor="background1"/>
                <w:sz w:val="15"/>
                <w:szCs w:val="15"/>
              </w:rPr>
              <w:t>2019</w:t>
            </w:r>
          </w:p>
        </w:tc>
        <w:tc>
          <w:tcPr>
            <w:tcW w:w="524" w:type="pct"/>
            <w:noWrap/>
            <w:hideMark/>
          </w:tcPr>
          <w:p w14:paraId="20F1D6CA" w14:textId="77777777" w:rsidR="00C15F2E" w:rsidRPr="00D96063" w:rsidRDefault="00C15F2E" w:rsidP="007C1B3A">
            <w:pPr>
              <w:keepNext/>
              <w:keepLines/>
              <w:jc w:val="center"/>
              <w:rPr>
                <w:color w:val="FFFFFF" w:themeColor="background1"/>
                <w:sz w:val="15"/>
                <w:szCs w:val="15"/>
              </w:rPr>
            </w:pPr>
            <w:r w:rsidRPr="00D96063">
              <w:rPr>
                <w:color w:val="FFFFFF" w:themeColor="background1"/>
                <w:sz w:val="15"/>
                <w:szCs w:val="15"/>
              </w:rPr>
              <w:t>2020</w:t>
            </w:r>
          </w:p>
        </w:tc>
      </w:tr>
      <w:tr w:rsidR="00C15F2E" w:rsidRPr="00D96063" w14:paraId="4C6B5936" w14:textId="77777777" w:rsidTr="00B2548C">
        <w:tc>
          <w:tcPr>
            <w:tcW w:w="1334" w:type="pct"/>
            <w:noWrap/>
            <w:hideMark/>
          </w:tcPr>
          <w:p w14:paraId="7110BE35" w14:textId="77777777" w:rsidR="00C15F2E" w:rsidRPr="00D96063" w:rsidRDefault="00C15F2E" w:rsidP="002C1DC3">
            <w:pPr>
              <w:keepNext/>
              <w:keepLines/>
              <w:jc w:val="left"/>
              <w:rPr>
                <w:b/>
                <w:sz w:val="15"/>
                <w:szCs w:val="15"/>
              </w:rPr>
            </w:pPr>
            <w:r w:rsidRPr="00D96063">
              <w:rPr>
                <w:b/>
                <w:sz w:val="15"/>
                <w:szCs w:val="15"/>
              </w:rPr>
              <w:t>Tax revenue</w:t>
            </w:r>
          </w:p>
        </w:tc>
        <w:tc>
          <w:tcPr>
            <w:tcW w:w="524" w:type="pct"/>
            <w:noWrap/>
            <w:hideMark/>
          </w:tcPr>
          <w:p w14:paraId="2A5DE8C6" w14:textId="77777777" w:rsidR="00C15F2E" w:rsidRPr="00D96063" w:rsidRDefault="00C15F2E" w:rsidP="007C1B3A">
            <w:pPr>
              <w:keepNext/>
              <w:keepLines/>
              <w:ind w:left="-57" w:right="-57"/>
              <w:jc w:val="right"/>
              <w:rPr>
                <w:b/>
                <w:sz w:val="15"/>
                <w:szCs w:val="15"/>
              </w:rPr>
            </w:pPr>
            <w:r w:rsidRPr="00D96063">
              <w:rPr>
                <w:rFonts w:eastAsia="Times New Roman" w:cs="Arial"/>
                <w:b/>
                <w:sz w:val="15"/>
                <w:szCs w:val="15"/>
              </w:rPr>
              <w:t>17,855</w:t>
            </w:r>
          </w:p>
        </w:tc>
        <w:tc>
          <w:tcPr>
            <w:tcW w:w="524" w:type="pct"/>
            <w:noWrap/>
            <w:hideMark/>
          </w:tcPr>
          <w:p w14:paraId="6FB7AE99" w14:textId="77777777" w:rsidR="00C15F2E" w:rsidRPr="00D96063" w:rsidRDefault="00C15F2E" w:rsidP="007C1B3A">
            <w:pPr>
              <w:keepNext/>
              <w:keepLines/>
              <w:ind w:left="-57" w:right="-57"/>
              <w:jc w:val="right"/>
              <w:rPr>
                <w:b/>
                <w:sz w:val="15"/>
                <w:szCs w:val="15"/>
              </w:rPr>
            </w:pPr>
            <w:r w:rsidRPr="00D96063">
              <w:rPr>
                <w:rFonts w:eastAsia="Times New Roman" w:cs="Arial"/>
                <w:b/>
                <w:sz w:val="15"/>
                <w:szCs w:val="15"/>
              </w:rPr>
              <w:t>21,455</w:t>
            </w:r>
          </w:p>
        </w:tc>
        <w:tc>
          <w:tcPr>
            <w:tcW w:w="524" w:type="pct"/>
            <w:noWrap/>
            <w:hideMark/>
          </w:tcPr>
          <w:p w14:paraId="74B20609" w14:textId="77777777" w:rsidR="00C15F2E" w:rsidRPr="00D96063" w:rsidRDefault="00C15F2E" w:rsidP="007C1B3A">
            <w:pPr>
              <w:keepNext/>
              <w:keepLines/>
              <w:ind w:left="-57" w:right="-57"/>
              <w:jc w:val="right"/>
              <w:rPr>
                <w:b/>
                <w:sz w:val="15"/>
                <w:szCs w:val="15"/>
              </w:rPr>
            </w:pPr>
            <w:r w:rsidRPr="00D96063">
              <w:rPr>
                <w:rFonts w:eastAsia="Times New Roman" w:cs="Arial"/>
                <w:b/>
                <w:sz w:val="15"/>
                <w:szCs w:val="15"/>
              </w:rPr>
              <w:t>24,283</w:t>
            </w:r>
          </w:p>
        </w:tc>
        <w:tc>
          <w:tcPr>
            <w:tcW w:w="524" w:type="pct"/>
            <w:noWrap/>
            <w:hideMark/>
          </w:tcPr>
          <w:p w14:paraId="6C9E7B2E" w14:textId="77777777" w:rsidR="00C15F2E" w:rsidRPr="00D96063" w:rsidRDefault="00C15F2E" w:rsidP="007C1B3A">
            <w:pPr>
              <w:keepNext/>
              <w:keepLines/>
              <w:ind w:left="-57" w:right="-57"/>
              <w:jc w:val="right"/>
              <w:rPr>
                <w:b/>
                <w:sz w:val="15"/>
                <w:szCs w:val="15"/>
              </w:rPr>
            </w:pPr>
            <w:r w:rsidRPr="00D96063">
              <w:rPr>
                <w:rFonts w:eastAsia="Times New Roman" w:cs="Arial"/>
                <w:b/>
                <w:sz w:val="15"/>
                <w:szCs w:val="15"/>
              </w:rPr>
              <w:t>30,424</w:t>
            </w:r>
          </w:p>
        </w:tc>
        <w:tc>
          <w:tcPr>
            <w:tcW w:w="524" w:type="pct"/>
            <w:noWrap/>
            <w:hideMark/>
          </w:tcPr>
          <w:p w14:paraId="16E893EB" w14:textId="77777777" w:rsidR="00C15F2E" w:rsidRPr="00D96063" w:rsidRDefault="00C15F2E" w:rsidP="007C1B3A">
            <w:pPr>
              <w:keepNext/>
              <w:keepLines/>
              <w:ind w:left="-57" w:right="-57"/>
              <w:jc w:val="right"/>
              <w:rPr>
                <w:b/>
                <w:sz w:val="15"/>
                <w:szCs w:val="15"/>
              </w:rPr>
            </w:pPr>
            <w:r w:rsidRPr="00D96063">
              <w:rPr>
                <w:b/>
                <w:sz w:val="15"/>
                <w:szCs w:val="15"/>
              </w:rPr>
              <w:t>37,784</w:t>
            </w:r>
          </w:p>
        </w:tc>
        <w:tc>
          <w:tcPr>
            <w:tcW w:w="524" w:type="pct"/>
            <w:noWrap/>
            <w:hideMark/>
          </w:tcPr>
          <w:p w14:paraId="737F49C0" w14:textId="77777777" w:rsidR="00C15F2E" w:rsidRPr="00D96063" w:rsidRDefault="00C15F2E" w:rsidP="007C1B3A">
            <w:pPr>
              <w:keepNext/>
              <w:keepLines/>
              <w:ind w:left="-57" w:right="-57"/>
              <w:jc w:val="right"/>
              <w:rPr>
                <w:b/>
                <w:sz w:val="15"/>
                <w:szCs w:val="15"/>
              </w:rPr>
            </w:pPr>
            <w:r w:rsidRPr="00D96063">
              <w:rPr>
                <w:b/>
                <w:sz w:val="15"/>
                <w:szCs w:val="15"/>
              </w:rPr>
              <w:t>42,775</w:t>
            </w:r>
          </w:p>
        </w:tc>
        <w:tc>
          <w:tcPr>
            <w:tcW w:w="524" w:type="pct"/>
            <w:noWrap/>
            <w:hideMark/>
          </w:tcPr>
          <w:p w14:paraId="753D5178" w14:textId="77777777" w:rsidR="00C15F2E" w:rsidRPr="00D96063" w:rsidRDefault="00C15F2E" w:rsidP="007C1B3A">
            <w:pPr>
              <w:keepNext/>
              <w:keepLines/>
              <w:ind w:left="-57" w:right="-57"/>
              <w:jc w:val="right"/>
              <w:rPr>
                <w:b/>
                <w:sz w:val="15"/>
                <w:szCs w:val="15"/>
              </w:rPr>
            </w:pPr>
            <w:r w:rsidRPr="00D96063">
              <w:rPr>
                <w:b/>
                <w:sz w:val="15"/>
                <w:szCs w:val="15"/>
              </w:rPr>
              <w:t>44,448</w:t>
            </w:r>
          </w:p>
        </w:tc>
      </w:tr>
      <w:tr w:rsidR="00C15F2E" w:rsidRPr="00D96063" w14:paraId="43A0B367"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tcPr>
          <w:p w14:paraId="4D4A46C1" w14:textId="77777777" w:rsidR="00C15F2E" w:rsidRPr="00D96063" w:rsidRDefault="00C15F2E" w:rsidP="002C1DC3">
            <w:pPr>
              <w:keepNext/>
              <w:keepLines/>
              <w:jc w:val="left"/>
              <w:rPr>
                <w:b/>
                <w:sz w:val="15"/>
                <w:szCs w:val="15"/>
              </w:rPr>
            </w:pPr>
            <w:r w:rsidRPr="00D96063">
              <w:rPr>
                <w:b/>
                <w:color w:val="000000" w:themeColor="text1"/>
                <w:sz w:val="15"/>
                <w:szCs w:val="15"/>
              </w:rPr>
              <w:t>Total revenue and grants</w:t>
            </w:r>
          </w:p>
        </w:tc>
        <w:tc>
          <w:tcPr>
            <w:tcW w:w="524" w:type="pct"/>
            <w:noWrap/>
          </w:tcPr>
          <w:p w14:paraId="358947A9" w14:textId="77777777" w:rsidR="00C15F2E" w:rsidRPr="00D96063" w:rsidRDefault="00C15F2E" w:rsidP="007C1B3A">
            <w:pPr>
              <w:keepNext/>
              <w:keepLines/>
              <w:jc w:val="right"/>
              <w:rPr>
                <w:rFonts w:eastAsia="Times New Roman" w:cs="Arial"/>
                <w:bCs/>
                <w:sz w:val="15"/>
                <w:szCs w:val="15"/>
              </w:rPr>
            </w:pPr>
            <w:r w:rsidRPr="00D96063">
              <w:rPr>
                <w:rFonts w:eastAsia="Times New Roman" w:cs="Arial"/>
                <w:bCs/>
                <w:sz w:val="15"/>
                <w:szCs w:val="15"/>
              </w:rPr>
              <w:t>23,371</w:t>
            </w:r>
          </w:p>
        </w:tc>
        <w:tc>
          <w:tcPr>
            <w:tcW w:w="524" w:type="pct"/>
            <w:noWrap/>
          </w:tcPr>
          <w:p w14:paraId="6E8EE74C" w14:textId="77777777" w:rsidR="00C15F2E" w:rsidRPr="00D96063" w:rsidRDefault="00C15F2E" w:rsidP="007C1B3A">
            <w:pPr>
              <w:keepNext/>
              <w:keepLines/>
              <w:jc w:val="right"/>
              <w:rPr>
                <w:rFonts w:eastAsia="Times New Roman" w:cs="Arial"/>
                <w:bCs/>
                <w:sz w:val="15"/>
                <w:szCs w:val="15"/>
              </w:rPr>
            </w:pPr>
            <w:r w:rsidRPr="00D96063">
              <w:rPr>
                <w:rFonts w:eastAsia="Times New Roman" w:cs="Arial"/>
                <w:bCs/>
                <w:sz w:val="15"/>
                <w:szCs w:val="15"/>
              </w:rPr>
              <w:t>29,355</w:t>
            </w:r>
          </w:p>
        </w:tc>
        <w:tc>
          <w:tcPr>
            <w:tcW w:w="524" w:type="pct"/>
            <w:noWrap/>
          </w:tcPr>
          <w:p w14:paraId="7B4C44B1" w14:textId="77777777" w:rsidR="00C15F2E" w:rsidRPr="00D96063" w:rsidRDefault="00C15F2E" w:rsidP="007C1B3A">
            <w:pPr>
              <w:keepNext/>
              <w:keepLines/>
              <w:jc w:val="right"/>
              <w:rPr>
                <w:rFonts w:eastAsia="Times New Roman" w:cs="Arial"/>
                <w:bCs/>
                <w:sz w:val="15"/>
                <w:szCs w:val="15"/>
              </w:rPr>
            </w:pPr>
            <w:r w:rsidRPr="00D96063">
              <w:rPr>
                <w:rFonts w:eastAsia="Times New Roman" w:cs="Arial"/>
                <w:bCs/>
                <w:sz w:val="15"/>
                <w:szCs w:val="15"/>
              </w:rPr>
              <w:t>32,233</w:t>
            </w:r>
          </w:p>
        </w:tc>
        <w:tc>
          <w:tcPr>
            <w:tcW w:w="524" w:type="pct"/>
            <w:noWrap/>
          </w:tcPr>
          <w:p w14:paraId="37F444B2" w14:textId="77777777" w:rsidR="00C15F2E" w:rsidRPr="00D96063" w:rsidRDefault="00C15F2E" w:rsidP="007C1B3A">
            <w:pPr>
              <w:keepNext/>
              <w:keepLines/>
              <w:jc w:val="right"/>
              <w:rPr>
                <w:rFonts w:eastAsia="Times New Roman" w:cs="Arial"/>
                <w:bCs/>
                <w:sz w:val="15"/>
                <w:szCs w:val="15"/>
              </w:rPr>
            </w:pPr>
            <w:r w:rsidRPr="00D96063">
              <w:rPr>
                <w:rFonts w:eastAsia="Times New Roman" w:cs="Arial"/>
                <w:bCs/>
                <w:sz w:val="15"/>
                <w:szCs w:val="15"/>
              </w:rPr>
              <w:t>39,695</w:t>
            </w:r>
          </w:p>
        </w:tc>
        <w:tc>
          <w:tcPr>
            <w:tcW w:w="524" w:type="pct"/>
            <w:noWrap/>
          </w:tcPr>
          <w:p w14:paraId="30FC2706" w14:textId="77777777" w:rsidR="00C15F2E" w:rsidRPr="00D96063" w:rsidRDefault="00C15F2E" w:rsidP="007C1B3A">
            <w:pPr>
              <w:keepNext/>
              <w:keepLines/>
              <w:jc w:val="right"/>
              <w:rPr>
                <w:bCs/>
                <w:sz w:val="15"/>
                <w:szCs w:val="15"/>
              </w:rPr>
            </w:pPr>
            <w:r w:rsidRPr="00D96063">
              <w:rPr>
                <w:bCs/>
                <w:sz w:val="15"/>
                <w:szCs w:val="15"/>
              </w:rPr>
              <w:t>47,637</w:t>
            </w:r>
          </w:p>
        </w:tc>
        <w:tc>
          <w:tcPr>
            <w:tcW w:w="524" w:type="pct"/>
            <w:noWrap/>
          </w:tcPr>
          <w:p w14:paraId="5471DA29" w14:textId="77777777" w:rsidR="00C15F2E" w:rsidRPr="00D96063" w:rsidRDefault="00C15F2E" w:rsidP="007C1B3A">
            <w:pPr>
              <w:keepNext/>
              <w:keepLines/>
              <w:jc w:val="right"/>
              <w:rPr>
                <w:bCs/>
                <w:sz w:val="15"/>
                <w:szCs w:val="15"/>
              </w:rPr>
            </w:pPr>
            <w:r w:rsidRPr="00D96063">
              <w:rPr>
                <w:bCs/>
                <w:sz w:val="15"/>
                <w:szCs w:val="15"/>
              </w:rPr>
              <w:t>53,380</w:t>
            </w:r>
          </w:p>
        </w:tc>
        <w:tc>
          <w:tcPr>
            <w:tcW w:w="524" w:type="pct"/>
            <w:noWrap/>
          </w:tcPr>
          <w:p w14:paraId="2ECB2D97" w14:textId="77777777" w:rsidR="00C15F2E" w:rsidRPr="00D96063" w:rsidRDefault="00C15F2E" w:rsidP="007C1B3A">
            <w:pPr>
              <w:keepNext/>
              <w:keepLines/>
              <w:jc w:val="right"/>
              <w:rPr>
                <w:bCs/>
                <w:sz w:val="15"/>
                <w:szCs w:val="15"/>
              </w:rPr>
            </w:pPr>
            <w:r w:rsidRPr="00D96063">
              <w:rPr>
                <w:bCs/>
                <w:sz w:val="15"/>
                <w:szCs w:val="15"/>
              </w:rPr>
              <w:t>55,138</w:t>
            </w:r>
          </w:p>
        </w:tc>
      </w:tr>
      <w:tr w:rsidR="00C15F2E" w:rsidRPr="00D96063" w14:paraId="1ADC2457" w14:textId="77777777" w:rsidTr="00B2548C">
        <w:tc>
          <w:tcPr>
            <w:tcW w:w="1334" w:type="pct"/>
            <w:noWrap/>
            <w:hideMark/>
          </w:tcPr>
          <w:p w14:paraId="070F3D14" w14:textId="77777777" w:rsidR="00C15F2E" w:rsidRPr="00D96063" w:rsidRDefault="00C15F2E" w:rsidP="002C1DC3">
            <w:pPr>
              <w:keepNext/>
              <w:keepLines/>
              <w:jc w:val="left"/>
              <w:rPr>
                <w:b/>
                <w:sz w:val="15"/>
                <w:szCs w:val="15"/>
              </w:rPr>
            </w:pPr>
            <w:r w:rsidRPr="00D96063">
              <w:rPr>
                <w:b/>
                <w:sz w:val="15"/>
                <w:szCs w:val="15"/>
              </w:rPr>
              <w:t>Taxes on income and property, of which:</w:t>
            </w:r>
          </w:p>
        </w:tc>
        <w:tc>
          <w:tcPr>
            <w:tcW w:w="524" w:type="pct"/>
            <w:noWrap/>
            <w:hideMark/>
          </w:tcPr>
          <w:p w14:paraId="6EA6E6C1" w14:textId="77777777" w:rsidR="00C15F2E" w:rsidRPr="00D96063" w:rsidRDefault="00C15F2E" w:rsidP="007C1B3A">
            <w:pPr>
              <w:keepNext/>
              <w:keepLines/>
              <w:jc w:val="right"/>
              <w:rPr>
                <w:bCs/>
                <w:sz w:val="15"/>
                <w:szCs w:val="15"/>
              </w:rPr>
            </w:pPr>
            <w:r w:rsidRPr="00D96063">
              <w:rPr>
                <w:bCs/>
                <w:sz w:val="15"/>
                <w:szCs w:val="15"/>
              </w:rPr>
              <w:t>8,487</w:t>
            </w:r>
          </w:p>
        </w:tc>
        <w:tc>
          <w:tcPr>
            <w:tcW w:w="524" w:type="pct"/>
            <w:noWrap/>
            <w:hideMark/>
          </w:tcPr>
          <w:p w14:paraId="13EF66B0" w14:textId="77777777" w:rsidR="00C15F2E" w:rsidRPr="00D96063" w:rsidRDefault="00C15F2E" w:rsidP="007C1B3A">
            <w:pPr>
              <w:keepNext/>
              <w:keepLines/>
              <w:jc w:val="right"/>
              <w:rPr>
                <w:bCs/>
                <w:sz w:val="15"/>
                <w:szCs w:val="15"/>
              </w:rPr>
            </w:pPr>
            <w:r w:rsidRPr="00D96063">
              <w:rPr>
                <w:bCs/>
                <w:sz w:val="15"/>
                <w:szCs w:val="15"/>
              </w:rPr>
              <w:t>8,707</w:t>
            </w:r>
          </w:p>
        </w:tc>
        <w:tc>
          <w:tcPr>
            <w:tcW w:w="524" w:type="pct"/>
            <w:noWrap/>
            <w:hideMark/>
          </w:tcPr>
          <w:p w14:paraId="6243290E" w14:textId="77777777" w:rsidR="00C15F2E" w:rsidRPr="00D96063" w:rsidRDefault="00C15F2E" w:rsidP="007C1B3A">
            <w:pPr>
              <w:keepNext/>
              <w:keepLines/>
              <w:jc w:val="right"/>
              <w:rPr>
                <w:bCs/>
                <w:sz w:val="15"/>
                <w:szCs w:val="15"/>
              </w:rPr>
            </w:pPr>
            <w:r w:rsidRPr="00D96063">
              <w:rPr>
                <w:bCs/>
                <w:sz w:val="15"/>
                <w:szCs w:val="15"/>
              </w:rPr>
              <w:t>9,107</w:t>
            </w:r>
          </w:p>
        </w:tc>
        <w:tc>
          <w:tcPr>
            <w:tcW w:w="524" w:type="pct"/>
            <w:noWrap/>
            <w:hideMark/>
          </w:tcPr>
          <w:p w14:paraId="458AE3FD" w14:textId="77777777" w:rsidR="00C15F2E" w:rsidRPr="00D96063" w:rsidRDefault="00C15F2E" w:rsidP="007C1B3A">
            <w:pPr>
              <w:keepNext/>
              <w:keepLines/>
              <w:jc w:val="right"/>
              <w:rPr>
                <w:bCs/>
                <w:sz w:val="15"/>
                <w:szCs w:val="15"/>
              </w:rPr>
            </w:pPr>
            <w:r w:rsidRPr="00D96063">
              <w:rPr>
                <w:bCs/>
                <w:sz w:val="15"/>
                <w:szCs w:val="15"/>
              </w:rPr>
              <w:t>13,398</w:t>
            </w:r>
          </w:p>
        </w:tc>
        <w:tc>
          <w:tcPr>
            <w:tcW w:w="524" w:type="pct"/>
            <w:noWrap/>
            <w:hideMark/>
          </w:tcPr>
          <w:p w14:paraId="7C593BF2" w14:textId="77777777" w:rsidR="00C15F2E" w:rsidRPr="00D96063" w:rsidRDefault="00C15F2E" w:rsidP="007C1B3A">
            <w:pPr>
              <w:keepNext/>
              <w:keepLines/>
              <w:jc w:val="right"/>
              <w:rPr>
                <w:bCs/>
                <w:sz w:val="15"/>
                <w:szCs w:val="15"/>
              </w:rPr>
            </w:pPr>
            <w:r w:rsidRPr="00D96063">
              <w:rPr>
                <w:bCs/>
                <w:sz w:val="15"/>
                <w:szCs w:val="15"/>
              </w:rPr>
              <w:t>18,776</w:t>
            </w:r>
          </w:p>
        </w:tc>
        <w:tc>
          <w:tcPr>
            <w:tcW w:w="524" w:type="pct"/>
            <w:noWrap/>
            <w:hideMark/>
          </w:tcPr>
          <w:p w14:paraId="065DA75B" w14:textId="77777777" w:rsidR="00C15F2E" w:rsidRPr="00D96063" w:rsidRDefault="00C15F2E" w:rsidP="007C1B3A">
            <w:pPr>
              <w:keepNext/>
              <w:keepLines/>
              <w:jc w:val="right"/>
              <w:rPr>
                <w:bCs/>
                <w:sz w:val="15"/>
                <w:szCs w:val="15"/>
              </w:rPr>
            </w:pPr>
            <w:r w:rsidRPr="00D96063">
              <w:rPr>
                <w:bCs/>
                <w:sz w:val="15"/>
                <w:szCs w:val="15"/>
              </w:rPr>
              <w:t>22,683</w:t>
            </w:r>
          </w:p>
        </w:tc>
        <w:tc>
          <w:tcPr>
            <w:tcW w:w="524" w:type="pct"/>
            <w:noWrap/>
            <w:hideMark/>
          </w:tcPr>
          <w:p w14:paraId="51EA0C06" w14:textId="77777777" w:rsidR="00C15F2E" w:rsidRPr="00D96063" w:rsidRDefault="00C15F2E" w:rsidP="007C1B3A">
            <w:pPr>
              <w:keepNext/>
              <w:keepLines/>
              <w:jc w:val="right"/>
              <w:rPr>
                <w:bCs/>
                <w:sz w:val="15"/>
                <w:szCs w:val="15"/>
              </w:rPr>
            </w:pPr>
            <w:r w:rsidRPr="00D96063">
              <w:rPr>
                <w:bCs/>
                <w:sz w:val="15"/>
                <w:szCs w:val="15"/>
              </w:rPr>
              <w:t>23,729</w:t>
            </w:r>
          </w:p>
        </w:tc>
      </w:tr>
      <w:tr w:rsidR="00C15F2E" w:rsidRPr="00D96063" w14:paraId="60CBF417"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0A6ACF23" w14:textId="77777777" w:rsidR="00C15F2E" w:rsidRPr="00D96063" w:rsidRDefault="00C15F2E" w:rsidP="002C1DC3">
            <w:pPr>
              <w:keepNext/>
              <w:keepLines/>
              <w:ind w:left="170" w:hanging="170"/>
              <w:jc w:val="left"/>
              <w:rPr>
                <w:sz w:val="15"/>
                <w:szCs w:val="15"/>
              </w:rPr>
            </w:pPr>
            <w:r w:rsidRPr="00D96063">
              <w:rPr>
                <w:sz w:val="15"/>
                <w:szCs w:val="15"/>
              </w:rPr>
              <w:tab/>
              <w:t>Personal</w:t>
            </w:r>
          </w:p>
        </w:tc>
        <w:tc>
          <w:tcPr>
            <w:tcW w:w="524" w:type="pct"/>
            <w:noWrap/>
            <w:hideMark/>
          </w:tcPr>
          <w:p w14:paraId="3E9927AA" w14:textId="77777777" w:rsidR="00C15F2E" w:rsidRPr="00D96063" w:rsidRDefault="00C15F2E" w:rsidP="007C1B3A">
            <w:pPr>
              <w:keepNext/>
              <w:keepLines/>
              <w:jc w:val="right"/>
              <w:rPr>
                <w:bCs/>
                <w:sz w:val="15"/>
                <w:szCs w:val="15"/>
              </w:rPr>
            </w:pPr>
            <w:r w:rsidRPr="00D96063">
              <w:rPr>
                <w:bCs/>
                <w:sz w:val="15"/>
                <w:szCs w:val="15"/>
              </w:rPr>
              <w:t>3,000</w:t>
            </w:r>
          </w:p>
        </w:tc>
        <w:tc>
          <w:tcPr>
            <w:tcW w:w="524" w:type="pct"/>
            <w:noWrap/>
            <w:hideMark/>
          </w:tcPr>
          <w:p w14:paraId="14937635" w14:textId="77777777" w:rsidR="00C15F2E" w:rsidRPr="00D96063" w:rsidRDefault="00C15F2E" w:rsidP="007C1B3A">
            <w:pPr>
              <w:keepNext/>
              <w:keepLines/>
              <w:jc w:val="right"/>
              <w:rPr>
                <w:bCs/>
                <w:sz w:val="15"/>
                <w:szCs w:val="15"/>
              </w:rPr>
            </w:pPr>
            <w:r w:rsidRPr="00D96063">
              <w:rPr>
                <w:bCs/>
                <w:sz w:val="15"/>
                <w:szCs w:val="15"/>
              </w:rPr>
              <w:t>3,310</w:t>
            </w:r>
          </w:p>
        </w:tc>
        <w:tc>
          <w:tcPr>
            <w:tcW w:w="524" w:type="pct"/>
            <w:noWrap/>
            <w:hideMark/>
          </w:tcPr>
          <w:p w14:paraId="782A93BC" w14:textId="77777777" w:rsidR="00C15F2E" w:rsidRPr="00D96063" w:rsidRDefault="00C15F2E" w:rsidP="007C1B3A">
            <w:pPr>
              <w:keepNext/>
              <w:keepLines/>
              <w:jc w:val="right"/>
              <w:rPr>
                <w:bCs/>
                <w:sz w:val="15"/>
                <w:szCs w:val="15"/>
              </w:rPr>
            </w:pPr>
            <w:r w:rsidRPr="00D96063">
              <w:rPr>
                <w:bCs/>
                <w:sz w:val="15"/>
                <w:szCs w:val="15"/>
              </w:rPr>
              <w:t>3,466</w:t>
            </w:r>
          </w:p>
        </w:tc>
        <w:tc>
          <w:tcPr>
            <w:tcW w:w="524" w:type="pct"/>
            <w:noWrap/>
            <w:hideMark/>
          </w:tcPr>
          <w:p w14:paraId="14729440" w14:textId="77777777" w:rsidR="00C15F2E" w:rsidRPr="00D96063" w:rsidRDefault="00C15F2E" w:rsidP="007C1B3A">
            <w:pPr>
              <w:keepNext/>
              <w:keepLines/>
              <w:jc w:val="right"/>
              <w:rPr>
                <w:bCs/>
                <w:sz w:val="15"/>
                <w:szCs w:val="15"/>
              </w:rPr>
            </w:pPr>
            <w:r w:rsidRPr="00D96063">
              <w:rPr>
                <w:bCs/>
                <w:sz w:val="15"/>
                <w:szCs w:val="15"/>
              </w:rPr>
              <w:t>4,859</w:t>
            </w:r>
          </w:p>
        </w:tc>
        <w:tc>
          <w:tcPr>
            <w:tcW w:w="524" w:type="pct"/>
            <w:noWrap/>
            <w:hideMark/>
          </w:tcPr>
          <w:p w14:paraId="0AAE25F5" w14:textId="77777777" w:rsidR="00C15F2E" w:rsidRPr="00D96063" w:rsidRDefault="00C15F2E" w:rsidP="007C1B3A">
            <w:pPr>
              <w:keepNext/>
              <w:keepLines/>
              <w:jc w:val="right"/>
              <w:rPr>
                <w:bCs/>
                <w:sz w:val="15"/>
                <w:szCs w:val="15"/>
              </w:rPr>
            </w:pPr>
            <w:r w:rsidRPr="00D96063">
              <w:rPr>
                <w:bCs/>
                <w:sz w:val="15"/>
                <w:szCs w:val="15"/>
              </w:rPr>
              <w:t>6,270</w:t>
            </w:r>
          </w:p>
        </w:tc>
        <w:tc>
          <w:tcPr>
            <w:tcW w:w="524" w:type="pct"/>
            <w:noWrap/>
            <w:hideMark/>
          </w:tcPr>
          <w:p w14:paraId="55F2DF26" w14:textId="77777777" w:rsidR="00C15F2E" w:rsidRPr="00D96063" w:rsidRDefault="00C15F2E" w:rsidP="007C1B3A">
            <w:pPr>
              <w:keepNext/>
              <w:keepLines/>
              <w:jc w:val="right"/>
              <w:rPr>
                <w:bCs/>
                <w:sz w:val="15"/>
                <w:szCs w:val="15"/>
              </w:rPr>
            </w:pPr>
            <w:r w:rsidRPr="00D96063">
              <w:rPr>
                <w:bCs/>
                <w:sz w:val="15"/>
                <w:szCs w:val="15"/>
              </w:rPr>
              <w:t>7,313</w:t>
            </w:r>
          </w:p>
        </w:tc>
        <w:tc>
          <w:tcPr>
            <w:tcW w:w="524" w:type="pct"/>
            <w:noWrap/>
            <w:hideMark/>
          </w:tcPr>
          <w:p w14:paraId="6167A904" w14:textId="77777777" w:rsidR="00C15F2E" w:rsidRPr="00D96063" w:rsidRDefault="00C15F2E" w:rsidP="007C1B3A">
            <w:pPr>
              <w:keepNext/>
              <w:keepLines/>
              <w:jc w:val="right"/>
              <w:rPr>
                <w:bCs/>
                <w:sz w:val="15"/>
                <w:szCs w:val="15"/>
              </w:rPr>
            </w:pPr>
            <w:r w:rsidRPr="00D96063">
              <w:rPr>
                <w:bCs/>
                <w:sz w:val="15"/>
                <w:szCs w:val="15"/>
              </w:rPr>
              <w:t>7,507</w:t>
            </w:r>
          </w:p>
        </w:tc>
      </w:tr>
      <w:tr w:rsidR="00C15F2E" w:rsidRPr="00D96063" w14:paraId="7714B0FC" w14:textId="77777777" w:rsidTr="00B2548C">
        <w:tc>
          <w:tcPr>
            <w:tcW w:w="1334" w:type="pct"/>
            <w:noWrap/>
            <w:hideMark/>
          </w:tcPr>
          <w:p w14:paraId="0B5FF6F1" w14:textId="77777777" w:rsidR="00C15F2E" w:rsidRPr="00D96063" w:rsidRDefault="00C15F2E" w:rsidP="002C1DC3">
            <w:pPr>
              <w:keepNext/>
              <w:keepLines/>
              <w:ind w:left="170" w:hanging="170"/>
              <w:jc w:val="left"/>
              <w:rPr>
                <w:sz w:val="15"/>
                <w:szCs w:val="15"/>
              </w:rPr>
            </w:pPr>
            <w:r w:rsidRPr="00D96063">
              <w:rPr>
                <w:sz w:val="15"/>
                <w:szCs w:val="15"/>
              </w:rPr>
              <w:tab/>
              <w:t>Companies, of which:</w:t>
            </w:r>
          </w:p>
        </w:tc>
        <w:tc>
          <w:tcPr>
            <w:tcW w:w="524" w:type="pct"/>
            <w:noWrap/>
            <w:hideMark/>
          </w:tcPr>
          <w:p w14:paraId="7B913431" w14:textId="77777777" w:rsidR="00C15F2E" w:rsidRPr="00D96063" w:rsidRDefault="00C15F2E" w:rsidP="007C1B3A">
            <w:pPr>
              <w:keepNext/>
              <w:keepLines/>
              <w:jc w:val="right"/>
              <w:rPr>
                <w:bCs/>
                <w:sz w:val="15"/>
                <w:szCs w:val="15"/>
              </w:rPr>
            </w:pPr>
            <w:r w:rsidRPr="00D96063">
              <w:rPr>
                <w:bCs/>
                <w:sz w:val="15"/>
                <w:szCs w:val="15"/>
              </w:rPr>
              <w:t>3,034</w:t>
            </w:r>
          </w:p>
        </w:tc>
        <w:tc>
          <w:tcPr>
            <w:tcW w:w="524" w:type="pct"/>
            <w:noWrap/>
            <w:hideMark/>
          </w:tcPr>
          <w:p w14:paraId="0C8C484B" w14:textId="77777777" w:rsidR="00C15F2E" w:rsidRPr="00D96063" w:rsidRDefault="00C15F2E" w:rsidP="007C1B3A">
            <w:pPr>
              <w:keepNext/>
              <w:keepLines/>
              <w:jc w:val="right"/>
              <w:rPr>
                <w:bCs/>
                <w:sz w:val="15"/>
                <w:szCs w:val="15"/>
              </w:rPr>
            </w:pPr>
            <w:r w:rsidRPr="00D96063">
              <w:rPr>
                <w:bCs/>
                <w:sz w:val="15"/>
                <w:szCs w:val="15"/>
              </w:rPr>
              <w:t>3,620</w:t>
            </w:r>
          </w:p>
        </w:tc>
        <w:tc>
          <w:tcPr>
            <w:tcW w:w="524" w:type="pct"/>
            <w:noWrap/>
            <w:hideMark/>
          </w:tcPr>
          <w:p w14:paraId="7CBE2EE6" w14:textId="77777777" w:rsidR="00C15F2E" w:rsidRPr="00D96063" w:rsidRDefault="00C15F2E" w:rsidP="007C1B3A">
            <w:pPr>
              <w:keepNext/>
              <w:keepLines/>
              <w:jc w:val="right"/>
              <w:rPr>
                <w:bCs/>
                <w:sz w:val="15"/>
                <w:szCs w:val="15"/>
              </w:rPr>
            </w:pPr>
            <w:r w:rsidRPr="00D96063">
              <w:rPr>
                <w:bCs/>
                <w:sz w:val="15"/>
                <w:szCs w:val="15"/>
              </w:rPr>
              <w:t>4,052</w:t>
            </w:r>
          </w:p>
        </w:tc>
        <w:tc>
          <w:tcPr>
            <w:tcW w:w="524" w:type="pct"/>
            <w:noWrap/>
            <w:hideMark/>
          </w:tcPr>
          <w:p w14:paraId="271A1C9A" w14:textId="77777777" w:rsidR="00C15F2E" w:rsidRPr="00D96063" w:rsidRDefault="00C15F2E" w:rsidP="007C1B3A">
            <w:pPr>
              <w:keepNext/>
              <w:keepLines/>
              <w:jc w:val="right"/>
              <w:rPr>
                <w:bCs/>
                <w:sz w:val="15"/>
                <w:szCs w:val="15"/>
              </w:rPr>
            </w:pPr>
            <w:r w:rsidRPr="00D96063">
              <w:rPr>
                <w:bCs/>
                <w:sz w:val="15"/>
                <w:szCs w:val="15"/>
              </w:rPr>
              <w:t>5,793</w:t>
            </w:r>
          </w:p>
        </w:tc>
        <w:tc>
          <w:tcPr>
            <w:tcW w:w="524" w:type="pct"/>
            <w:noWrap/>
            <w:hideMark/>
          </w:tcPr>
          <w:p w14:paraId="2FC7FAEA" w14:textId="77777777" w:rsidR="00C15F2E" w:rsidRPr="00D96063" w:rsidRDefault="00C15F2E" w:rsidP="007C1B3A">
            <w:pPr>
              <w:keepNext/>
              <w:keepLines/>
              <w:jc w:val="right"/>
              <w:rPr>
                <w:bCs/>
                <w:sz w:val="15"/>
                <w:szCs w:val="15"/>
              </w:rPr>
            </w:pPr>
            <w:r w:rsidRPr="00D96063">
              <w:rPr>
                <w:bCs/>
                <w:sz w:val="15"/>
                <w:szCs w:val="15"/>
              </w:rPr>
              <w:t>8,528</w:t>
            </w:r>
          </w:p>
        </w:tc>
        <w:tc>
          <w:tcPr>
            <w:tcW w:w="524" w:type="pct"/>
            <w:noWrap/>
            <w:hideMark/>
          </w:tcPr>
          <w:p w14:paraId="25F1BAFA" w14:textId="77777777" w:rsidR="00C15F2E" w:rsidRPr="00D96063" w:rsidRDefault="00C15F2E" w:rsidP="007C1B3A">
            <w:pPr>
              <w:keepNext/>
              <w:keepLines/>
              <w:jc w:val="right"/>
              <w:rPr>
                <w:bCs/>
                <w:sz w:val="15"/>
                <w:szCs w:val="15"/>
              </w:rPr>
            </w:pPr>
            <w:r w:rsidRPr="00D96063">
              <w:rPr>
                <w:bCs/>
                <w:sz w:val="15"/>
                <w:szCs w:val="15"/>
              </w:rPr>
              <w:t>10,567</w:t>
            </w:r>
          </w:p>
        </w:tc>
        <w:tc>
          <w:tcPr>
            <w:tcW w:w="524" w:type="pct"/>
            <w:noWrap/>
            <w:hideMark/>
          </w:tcPr>
          <w:p w14:paraId="459EC5BD" w14:textId="77777777" w:rsidR="00C15F2E" w:rsidRPr="00D96063" w:rsidRDefault="00C15F2E" w:rsidP="007C1B3A">
            <w:pPr>
              <w:keepNext/>
              <w:keepLines/>
              <w:jc w:val="right"/>
              <w:rPr>
                <w:bCs/>
                <w:sz w:val="15"/>
                <w:szCs w:val="15"/>
              </w:rPr>
            </w:pPr>
            <w:r w:rsidRPr="00D96063">
              <w:rPr>
                <w:bCs/>
                <w:sz w:val="15"/>
                <w:szCs w:val="15"/>
              </w:rPr>
              <w:t>11,426</w:t>
            </w:r>
          </w:p>
        </w:tc>
      </w:tr>
      <w:tr w:rsidR="00C15F2E" w:rsidRPr="00D96063" w14:paraId="4A04E5DC"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6FD69EC4" w14:textId="77777777" w:rsidR="00C15F2E" w:rsidRPr="00D96063" w:rsidRDefault="00C15F2E" w:rsidP="002C1DC3">
            <w:pPr>
              <w:keepNext/>
              <w:keepLines/>
              <w:ind w:left="397" w:hanging="397"/>
              <w:jc w:val="left"/>
              <w:rPr>
                <w:sz w:val="15"/>
                <w:szCs w:val="15"/>
              </w:rPr>
            </w:pPr>
            <w:r w:rsidRPr="00D96063">
              <w:rPr>
                <w:sz w:val="15"/>
                <w:szCs w:val="15"/>
              </w:rPr>
              <w:tab/>
              <w:t>Company taxes on oil</w:t>
            </w:r>
          </w:p>
        </w:tc>
        <w:tc>
          <w:tcPr>
            <w:tcW w:w="524" w:type="pct"/>
            <w:noWrap/>
            <w:hideMark/>
          </w:tcPr>
          <w:p w14:paraId="1795C2B6" w14:textId="77777777" w:rsidR="00C15F2E" w:rsidRPr="00D96063" w:rsidRDefault="00C15F2E" w:rsidP="007C1B3A">
            <w:pPr>
              <w:keepNext/>
              <w:keepLines/>
              <w:jc w:val="right"/>
              <w:rPr>
                <w:bCs/>
                <w:sz w:val="15"/>
                <w:szCs w:val="15"/>
              </w:rPr>
            </w:pPr>
            <w:r w:rsidRPr="00D96063">
              <w:rPr>
                <w:bCs/>
                <w:sz w:val="15"/>
                <w:szCs w:val="15"/>
              </w:rPr>
              <w:t>797</w:t>
            </w:r>
          </w:p>
        </w:tc>
        <w:tc>
          <w:tcPr>
            <w:tcW w:w="524" w:type="pct"/>
            <w:noWrap/>
            <w:hideMark/>
          </w:tcPr>
          <w:p w14:paraId="675B7D2F" w14:textId="77777777" w:rsidR="00C15F2E" w:rsidRPr="00D96063" w:rsidRDefault="00C15F2E" w:rsidP="007C1B3A">
            <w:pPr>
              <w:keepNext/>
              <w:keepLines/>
              <w:jc w:val="right"/>
              <w:rPr>
                <w:bCs/>
                <w:sz w:val="15"/>
                <w:szCs w:val="15"/>
              </w:rPr>
            </w:pPr>
            <w:r w:rsidRPr="00D96063">
              <w:rPr>
                <w:bCs/>
                <w:sz w:val="15"/>
                <w:szCs w:val="15"/>
              </w:rPr>
              <w:t>45</w:t>
            </w:r>
          </w:p>
        </w:tc>
        <w:tc>
          <w:tcPr>
            <w:tcW w:w="524" w:type="pct"/>
            <w:noWrap/>
            <w:hideMark/>
          </w:tcPr>
          <w:p w14:paraId="3BDE4F56" w14:textId="77777777" w:rsidR="00C15F2E" w:rsidRPr="00D96063" w:rsidRDefault="00C15F2E" w:rsidP="007C1B3A">
            <w:pPr>
              <w:keepNext/>
              <w:keepLines/>
              <w:jc w:val="right"/>
              <w:rPr>
                <w:bCs/>
                <w:sz w:val="15"/>
                <w:szCs w:val="15"/>
              </w:rPr>
            </w:pPr>
            <w:r w:rsidRPr="00D96063">
              <w:rPr>
                <w:bCs/>
                <w:sz w:val="15"/>
                <w:szCs w:val="15"/>
              </w:rPr>
              <w:t>42</w:t>
            </w:r>
          </w:p>
        </w:tc>
        <w:tc>
          <w:tcPr>
            <w:tcW w:w="524" w:type="pct"/>
            <w:noWrap/>
            <w:hideMark/>
          </w:tcPr>
          <w:p w14:paraId="5A967939" w14:textId="77777777" w:rsidR="00C15F2E" w:rsidRPr="00D96063" w:rsidRDefault="00C15F2E" w:rsidP="007C1B3A">
            <w:pPr>
              <w:keepNext/>
              <w:keepLines/>
              <w:jc w:val="right"/>
              <w:rPr>
                <w:bCs/>
                <w:sz w:val="15"/>
                <w:szCs w:val="15"/>
              </w:rPr>
            </w:pPr>
            <w:r w:rsidRPr="00D96063">
              <w:rPr>
                <w:bCs/>
                <w:sz w:val="15"/>
                <w:szCs w:val="15"/>
              </w:rPr>
              <w:t>225</w:t>
            </w:r>
          </w:p>
        </w:tc>
        <w:tc>
          <w:tcPr>
            <w:tcW w:w="524" w:type="pct"/>
            <w:noWrap/>
            <w:hideMark/>
          </w:tcPr>
          <w:p w14:paraId="59B55786" w14:textId="77777777" w:rsidR="00C15F2E" w:rsidRPr="00D96063" w:rsidRDefault="00C15F2E" w:rsidP="007C1B3A">
            <w:pPr>
              <w:keepNext/>
              <w:keepLines/>
              <w:jc w:val="right"/>
              <w:rPr>
                <w:bCs/>
                <w:sz w:val="15"/>
                <w:szCs w:val="15"/>
              </w:rPr>
            </w:pPr>
            <w:r w:rsidRPr="00D96063">
              <w:rPr>
                <w:bCs/>
                <w:sz w:val="15"/>
                <w:szCs w:val="15"/>
              </w:rPr>
              <w:t>736</w:t>
            </w:r>
          </w:p>
        </w:tc>
        <w:tc>
          <w:tcPr>
            <w:tcW w:w="524" w:type="pct"/>
            <w:noWrap/>
            <w:hideMark/>
          </w:tcPr>
          <w:p w14:paraId="1CEB8507" w14:textId="77777777" w:rsidR="00C15F2E" w:rsidRPr="00D96063" w:rsidRDefault="00C15F2E" w:rsidP="007C1B3A">
            <w:pPr>
              <w:keepNext/>
              <w:keepLines/>
              <w:jc w:val="right"/>
              <w:rPr>
                <w:bCs/>
                <w:sz w:val="15"/>
                <w:szCs w:val="15"/>
              </w:rPr>
            </w:pPr>
            <w:r w:rsidRPr="00D96063">
              <w:rPr>
                <w:bCs/>
                <w:sz w:val="15"/>
                <w:szCs w:val="15"/>
              </w:rPr>
              <w:t>926</w:t>
            </w:r>
          </w:p>
        </w:tc>
        <w:tc>
          <w:tcPr>
            <w:tcW w:w="524" w:type="pct"/>
            <w:noWrap/>
            <w:hideMark/>
          </w:tcPr>
          <w:p w14:paraId="125B0CC0" w14:textId="77777777" w:rsidR="00C15F2E" w:rsidRPr="00D96063" w:rsidRDefault="00C15F2E" w:rsidP="007C1B3A">
            <w:pPr>
              <w:keepNext/>
              <w:keepLines/>
              <w:jc w:val="right"/>
              <w:rPr>
                <w:bCs/>
                <w:sz w:val="15"/>
                <w:szCs w:val="15"/>
              </w:rPr>
            </w:pPr>
            <w:r w:rsidRPr="00D96063">
              <w:rPr>
                <w:bCs/>
                <w:sz w:val="15"/>
                <w:szCs w:val="15"/>
              </w:rPr>
              <w:t>951</w:t>
            </w:r>
          </w:p>
        </w:tc>
      </w:tr>
      <w:tr w:rsidR="00C15F2E" w:rsidRPr="00D96063" w14:paraId="48AE3389" w14:textId="77777777" w:rsidTr="00B2548C">
        <w:tc>
          <w:tcPr>
            <w:tcW w:w="1334" w:type="pct"/>
            <w:noWrap/>
            <w:hideMark/>
          </w:tcPr>
          <w:p w14:paraId="38F30708" w14:textId="77777777" w:rsidR="00C15F2E" w:rsidRPr="00D96063" w:rsidRDefault="00C15F2E" w:rsidP="002C1DC3">
            <w:pPr>
              <w:keepNext/>
              <w:keepLines/>
              <w:ind w:left="397" w:hanging="397"/>
              <w:jc w:val="left"/>
              <w:rPr>
                <w:sz w:val="15"/>
                <w:szCs w:val="15"/>
              </w:rPr>
            </w:pPr>
            <w:r w:rsidRPr="00D96063">
              <w:rPr>
                <w:sz w:val="15"/>
                <w:szCs w:val="15"/>
              </w:rPr>
              <w:tab/>
              <w:t>Royalties from oil</w:t>
            </w:r>
          </w:p>
        </w:tc>
        <w:tc>
          <w:tcPr>
            <w:tcW w:w="524" w:type="pct"/>
            <w:noWrap/>
            <w:hideMark/>
          </w:tcPr>
          <w:p w14:paraId="5E619D23" w14:textId="77777777" w:rsidR="00C15F2E" w:rsidRPr="00D96063" w:rsidRDefault="00C15F2E" w:rsidP="007C1B3A">
            <w:pPr>
              <w:keepNext/>
              <w:keepLines/>
              <w:jc w:val="right"/>
              <w:rPr>
                <w:bCs/>
                <w:sz w:val="15"/>
                <w:szCs w:val="15"/>
              </w:rPr>
            </w:pPr>
            <w:r w:rsidRPr="00D96063">
              <w:rPr>
                <w:bCs/>
                <w:sz w:val="15"/>
                <w:szCs w:val="15"/>
              </w:rPr>
              <w:t>554</w:t>
            </w:r>
          </w:p>
        </w:tc>
        <w:tc>
          <w:tcPr>
            <w:tcW w:w="524" w:type="pct"/>
            <w:noWrap/>
            <w:hideMark/>
          </w:tcPr>
          <w:p w14:paraId="61D642BF" w14:textId="77777777" w:rsidR="00C15F2E" w:rsidRPr="00D96063" w:rsidRDefault="00C15F2E" w:rsidP="007C1B3A">
            <w:pPr>
              <w:keepNext/>
              <w:keepLines/>
              <w:jc w:val="right"/>
              <w:rPr>
                <w:bCs/>
                <w:sz w:val="15"/>
                <w:szCs w:val="15"/>
              </w:rPr>
            </w:pPr>
            <w:r w:rsidRPr="00D96063">
              <w:rPr>
                <w:bCs/>
                <w:sz w:val="15"/>
                <w:szCs w:val="15"/>
              </w:rPr>
              <w:t>384</w:t>
            </w:r>
          </w:p>
        </w:tc>
        <w:tc>
          <w:tcPr>
            <w:tcW w:w="524" w:type="pct"/>
            <w:noWrap/>
            <w:hideMark/>
          </w:tcPr>
          <w:p w14:paraId="73CB7CF7" w14:textId="77777777" w:rsidR="00C15F2E" w:rsidRPr="00D96063" w:rsidRDefault="00C15F2E" w:rsidP="007C1B3A">
            <w:pPr>
              <w:keepNext/>
              <w:keepLines/>
              <w:jc w:val="right"/>
              <w:rPr>
                <w:bCs/>
                <w:sz w:val="15"/>
                <w:szCs w:val="15"/>
              </w:rPr>
            </w:pPr>
            <w:r w:rsidRPr="00D96063">
              <w:rPr>
                <w:bCs/>
                <w:sz w:val="15"/>
                <w:szCs w:val="15"/>
              </w:rPr>
              <w:t>176</w:t>
            </w:r>
          </w:p>
        </w:tc>
        <w:tc>
          <w:tcPr>
            <w:tcW w:w="524" w:type="pct"/>
            <w:noWrap/>
            <w:hideMark/>
          </w:tcPr>
          <w:p w14:paraId="6085F8EE" w14:textId="77777777" w:rsidR="00C15F2E" w:rsidRPr="00D96063" w:rsidRDefault="00C15F2E" w:rsidP="007C1B3A">
            <w:pPr>
              <w:keepNext/>
              <w:keepLines/>
              <w:jc w:val="right"/>
              <w:rPr>
                <w:bCs/>
                <w:sz w:val="15"/>
                <w:szCs w:val="15"/>
              </w:rPr>
            </w:pPr>
            <w:r w:rsidRPr="00D96063">
              <w:rPr>
                <w:rFonts w:eastAsia="Times New Roman" w:cs="Arial"/>
                <w:bCs/>
                <w:sz w:val="15"/>
                <w:szCs w:val="15"/>
              </w:rPr>
              <w:t>589</w:t>
            </w:r>
          </w:p>
        </w:tc>
        <w:tc>
          <w:tcPr>
            <w:tcW w:w="524" w:type="pct"/>
            <w:noWrap/>
            <w:hideMark/>
          </w:tcPr>
          <w:p w14:paraId="0EAB9D34" w14:textId="77777777" w:rsidR="00C15F2E" w:rsidRPr="00D96063" w:rsidRDefault="00C15F2E" w:rsidP="007C1B3A">
            <w:pPr>
              <w:keepNext/>
              <w:keepLines/>
              <w:jc w:val="right"/>
              <w:rPr>
                <w:bCs/>
                <w:sz w:val="15"/>
                <w:szCs w:val="15"/>
              </w:rPr>
            </w:pPr>
            <w:r w:rsidRPr="00D96063">
              <w:rPr>
                <w:bCs/>
                <w:sz w:val="15"/>
                <w:szCs w:val="15"/>
              </w:rPr>
              <w:t>1,213</w:t>
            </w:r>
          </w:p>
        </w:tc>
        <w:tc>
          <w:tcPr>
            <w:tcW w:w="524" w:type="pct"/>
            <w:noWrap/>
            <w:hideMark/>
          </w:tcPr>
          <w:p w14:paraId="68BA8617" w14:textId="77777777" w:rsidR="00C15F2E" w:rsidRPr="00D96063" w:rsidRDefault="00C15F2E" w:rsidP="007C1B3A">
            <w:pPr>
              <w:keepNext/>
              <w:keepLines/>
              <w:jc w:val="right"/>
              <w:rPr>
                <w:bCs/>
                <w:sz w:val="15"/>
                <w:szCs w:val="15"/>
              </w:rPr>
            </w:pPr>
            <w:r w:rsidRPr="00D96063">
              <w:rPr>
                <w:bCs/>
                <w:sz w:val="15"/>
                <w:szCs w:val="15"/>
              </w:rPr>
              <w:t>1,252</w:t>
            </w:r>
          </w:p>
        </w:tc>
        <w:tc>
          <w:tcPr>
            <w:tcW w:w="524" w:type="pct"/>
            <w:noWrap/>
            <w:hideMark/>
          </w:tcPr>
          <w:p w14:paraId="56B71505" w14:textId="77777777" w:rsidR="00C15F2E" w:rsidRPr="00D96063" w:rsidRDefault="00C15F2E" w:rsidP="007C1B3A">
            <w:pPr>
              <w:keepNext/>
              <w:keepLines/>
              <w:jc w:val="right"/>
              <w:rPr>
                <w:bCs/>
                <w:sz w:val="15"/>
                <w:szCs w:val="15"/>
              </w:rPr>
            </w:pPr>
            <w:r w:rsidRPr="00D96063">
              <w:rPr>
                <w:bCs/>
                <w:sz w:val="15"/>
                <w:szCs w:val="15"/>
              </w:rPr>
              <w:t>1,092</w:t>
            </w:r>
          </w:p>
        </w:tc>
      </w:tr>
      <w:tr w:rsidR="00C15F2E" w:rsidRPr="00D96063" w14:paraId="3AABE315"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5DFBFCFD" w14:textId="77777777" w:rsidR="00C15F2E" w:rsidRPr="00D96063" w:rsidRDefault="00C15F2E" w:rsidP="002C1DC3">
            <w:pPr>
              <w:keepNext/>
              <w:keepLines/>
              <w:ind w:left="170" w:hanging="170"/>
              <w:jc w:val="left"/>
              <w:rPr>
                <w:sz w:val="15"/>
                <w:szCs w:val="15"/>
              </w:rPr>
            </w:pPr>
            <w:r w:rsidRPr="00D96063">
              <w:rPr>
                <w:sz w:val="15"/>
                <w:szCs w:val="15"/>
              </w:rPr>
              <w:tab/>
              <w:t>Mineral royalties</w:t>
            </w:r>
          </w:p>
        </w:tc>
        <w:tc>
          <w:tcPr>
            <w:tcW w:w="524" w:type="pct"/>
            <w:noWrap/>
            <w:hideMark/>
          </w:tcPr>
          <w:p w14:paraId="2725572B" w14:textId="77777777" w:rsidR="00C15F2E" w:rsidRPr="00D96063" w:rsidRDefault="00C15F2E" w:rsidP="007C1B3A">
            <w:pPr>
              <w:keepNext/>
              <w:keepLines/>
              <w:jc w:val="right"/>
              <w:rPr>
                <w:bCs/>
                <w:sz w:val="15"/>
                <w:szCs w:val="15"/>
              </w:rPr>
            </w:pPr>
            <w:r w:rsidRPr="00D96063">
              <w:rPr>
                <w:bCs/>
                <w:sz w:val="15"/>
                <w:szCs w:val="15"/>
              </w:rPr>
              <w:t>517</w:t>
            </w:r>
          </w:p>
        </w:tc>
        <w:tc>
          <w:tcPr>
            <w:tcW w:w="524" w:type="pct"/>
            <w:noWrap/>
            <w:hideMark/>
          </w:tcPr>
          <w:p w14:paraId="5E8DDD9E" w14:textId="77777777" w:rsidR="00C15F2E" w:rsidRPr="00D96063" w:rsidRDefault="00C15F2E" w:rsidP="007C1B3A">
            <w:pPr>
              <w:keepNext/>
              <w:keepLines/>
              <w:jc w:val="right"/>
              <w:rPr>
                <w:bCs/>
                <w:sz w:val="15"/>
                <w:szCs w:val="15"/>
              </w:rPr>
            </w:pPr>
            <w:r w:rsidRPr="00D96063">
              <w:rPr>
                <w:bCs/>
                <w:sz w:val="15"/>
                <w:szCs w:val="15"/>
              </w:rPr>
              <w:t>518</w:t>
            </w:r>
          </w:p>
        </w:tc>
        <w:tc>
          <w:tcPr>
            <w:tcW w:w="524" w:type="pct"/>
            <w:noWrap/>
            <w:hideMark/>
          </w:tcPr>
          <w:p w14:paraId="037BDDCE" w14:textId="77777777" w:rsidR="00C15F2E" w:rsidRPr="00D96063" w:rsidRDefault="00C15F2E" w:rsidP="007C1B3A">
            <w:pPr>
              <w:keepNext/>
              <w:keepLines/>
              <w:jc w:val="right"/>
              <w:rPr>
                <w:bCs/>
                <w:sz w:val="15"/>
                <w:szCs w:val="15"/>
              </w:rPr>
            </w:pPr>
            <w:r w:rsidRPr="00D96063">
              <w:rPr>
                <w:bCs/>
                <w:sz w:val="15"/>
                <w:szCs w:val="15"/>
              </w:rPr>
              <w:t>578</w:t>
            </w:r>
          </w:p>
        </w:tc>
        <w:tc>
          <w:tcPr>
            <w:tcW w:w="524" w:type="pct"/>
            <w:noWrap/>
            <w:hideMark/>
          </w:tcPr>
          <w:p w14:paraId="41F8CE6D" w14:textId="77777777" w:rsidR="00C15F2E" w:rsidRPr="00D96063" w:rsidRDefault="00C15F2E" w:rsidP="007C1B3A">
            <w:pPr>
              <w:keepNext/>
              <w:keepLines/>
              <w:jc w:val="right"/>
              <w:rPr>
                <w:bCs/>
                <w:sz w:val="15"/>
                <w:szCs w:val="15"/>
              </w:rPr>
            </w:pPr>
            <w:r w:rsidRPr="00D96063">
              <w:rPr>
                <w:bCs/>
                <w:sz w:val="15"/>
                <w:szCs w:val="15"/>
              </w:rPr>
              <w:t>749</w:t>
            </w:r>
          </w:p>
        </w:tc>
        <w:tc>
          <w:tcPr>
            <w:tcW w:w="524" w:type="pct"/>
            <w:noWrap/>
            <w:hideMark/>
          </w:tcPr>
          <w:p w14:paraId="0113F3FC" w14:textId="77777777" w:rsidR="00C15F2E" w:rsidRPr="00D96063" w:rsidRDefault="00C15F2E" w:rsidP="007C1B3A">
            <w:pPr>
              <w:keepNext/>
              <w:keepLines/>
              <w:jc w:val="right"/>
              <w:rPr>
                <w:bCs/>
                <w:sz w:val="15"/>
                <w:szCs w:val="15"/>
              </w:rPr>
            </w:pPr>
            <w:r w:rsidRPr="00D96063">
              <w:rPr>
                <w:bCs/>
                <w:sz w:val="15"/>
                <w:szCs w:val="15"/>
              </w:rPr>
              <w:t>744</w:t>
            </w:r>
          </w:p>
        </w:tc>
        <w:tc>
          <w:tcPr>
            <w:tcW w:w="524" w:type="pct"/>
            <w:noWrap/>
            <w:hideMark/>
          </w:tcPr>
          <w:p w14:paraId="7583A97D" w14:textId="77777777" w:rsidR="00C15F2E" w:rsidRPr="00D96063" w:rsidRDefault="00C15F2E" w:rsidP="007C1B3A">
            <w:pPr>
              <w:keepNext/>
              <w:keepLines/>
              <w:jc w:val="right"/>
              <w:rPr>
                <w:bCs/>
                <w:sz w:val="15"/>
                <w:szCs w:val="15"/>
              </w:rPr>
            </w:pPr>
            <w:r w:rsidRPr="00D96063">
              <w:rPr>
                <w:bCs/>
                <w:sz w:val="15"/>
                <w:szCs w:val="15"/>
              </w:rPr>
              <w:t>1,057</w:t>
            </w:r>
          </w:p>
        </w:tc>
        <w:tc>
          <w:tcPr>
            <w:tcW w:w="524" w:type="pct"/>
            <w:noWrap/>
            <w:hideMark/>
          </w:tcPr>
          <w:p w14:paraId="570A2149" w14:textId="77777777" w:rsidR="00C15F2E" w:rsidRPr="00D96063" w:rsidRDefault="00C15F2E" w:rsidP="007C1B3A">
            <w:pPr>
              <w:keepNext/>
              <w:keepLines/>
              <w:jc w:val="right"/>
              <w:rPr>
                <w:bCs/>
                <w:sz w:val="15"/>
                <w:szCs w:val="15"/>
              </w:rPr>
            </w:pPr>
            <w:r w:rsidRPr="00D96063">
              <w:rPr>
                <w:bCs/>
                <w:sz w:val="15"/>
                <w:szCs w:val="15"/>
              </w:rPr>
              <w:t>1,376</w:t>
            </w:r>
          </w:p>
        </w:tc>
      </w:tr>
      <w:tr w:rsidR="00C15F2E" w:rsidRPr="00D96063" w14:paraId="365FE4DC" w14:textId="77777777" w:rsidTr="00B2548C">
        <w:tc>
          <w:tcPr>
            <w:tcW w:w="1334" w:type="pct"/>
            <w:noWrap/>
            <w:hideMark/>
          </w:tcPr>
          <w:p w14:paraId="6F33763E" w14:textId="77777777" w:rsidR="00C15F2E" w:rsidRPr="00D96063" w:rsidRDefault="00C15F2E" w:rsidP="002C1DC3">
            <w:pPr>
              <w:keepNext/>
              <w:keepLines/>
              <w:jc w:val="left"/>
              <w:rPr>
                <w:b/>
                <w:sz w:val="15"/>
                <w:szCs w:val="15"/>
              </w:rPr>
            </w:pPr>
            <w:r w:rsidRPr="00D96063">
              <w:rPr>
                <w:b/>
                <w:sz w:val="15"/>
                <w:szCs w:val="15"/>
              </w:rPr>
              <w:t>Taxes on domestic goods &amp; services</w:t>
            </w:r>
          </w:p>
        </w:tc>
        <w:tc>
          <w:tcPr>
            <w:tcW w:w="524" w:type="pct"/>
            <w:noWrap/>
            <w:hideMark/>
          </w:tcPr>
          <w:p w14:paraId="244C0BA8" w14:textId="77777777" w:rsidR="00C15F2E" w:rsidRPr="00D96063" w:rsidRDefault="00C15F2E" w:rsidP="007C1B3A">
            <w:pPr>
              <w:keepNext/>
              <w:keepLines/>
              <w:jc w:val="right"/>
              <w:rPr>
                <w:bCs/>
                <w:sz w:val="15"/>
                <w:szCs w:val="15"/>
              </w:rPr>
            </w:pPr>
            <w:r w:rsidRPr="00D96063">
              <w:rPr>
                <w:bCs/>
                <w:sz w:val="15"/>
                <w:szCs w:val="15"/>
              </w:rPr>
              <w:t>6,434</w:t>
            </w:r>
          </w:p>
        </w:tc>
        <w:tc>
          <w:tcPr>
            <w:tcW w:w="524" w:type="pct"/>
            <w:noWrap/>
            <w:hideMark/>
          </w:tcPr>
          <w:p w14:paraId="1467EB80" w14:textId="77777777" w:rsidR="00C15F2E" w:rsidRPr="00D96063" w:rsidRDefault="00C15F2E" w:rsidP="007C1B3A">
            <w:pPr>
              <w:keepNext/>
              <w:keepLines/>
              <w:jc w:val="right"/>
              <w:rPr>
                <w:bCs/>
                <w:sz w:val="15"/>
                <w:szCs w:val="15"/>
              </w:rPr>
            </w:pPr>
            <w:r w:rsidRPr="00D96063">
              <w:rPr>
                <w:bCs/>
                <w:sz w:val="15"/>
                <w:szCs w:val="15"/>
              </w:rPr>
              <w:t>9,927</w:t>
            </w:r>
          </w:p>
        </w:tc>
        <w:tc>
          <w:tcPr>
            <w:tcW w:w="524" w:type="pct"/>
            <w:noWrap/>
            <w:hideMark/>
          </w:tcPr>
          <w:p w14:paraId="71C23B34" w14:textId="77777777" w:rsidR="00C15F2E" w:rsidRPr="00D96063" w:rsidRDefault="00C15F2E" w:rsidP="007C1B3A">
            <w:pPr>
              <w:keepNext/>
              <w:keepLines/>
              <w:jc w:val="right"/>
              <w:rPr>
                <w:bCs/>
                <w:sz w:val="15"/>
                <w:szCs w:val="15"/>
              </w:rPr>
            </w:pPr>
            <w:r w:rsidRPr="00D96063">
              <w:rPr>
                <w:bCs/>
                <w:sz w:val="15"/>
                <w:szCs w:val="15"/>
              </w:rPr>
              <w:t>12,231</w:t>
            </w:r>
          </w:p>
        </w:tc>
        <w:tc>
          <w:tcPr>
            <w:tcW w:w="524" w:type="pct"/>
            <w:noWrap/>
            <w:hideMark/>
          </w:tcPr>
          <w:p w14:paraId="43663273" w14:textId="77777777" w:rsidR="00C15F2E" w:rsidRPr="00D96063" w:rsidRDefault="00C15F2E" w:rsidP="007C1B3A">
            <w:pPr>
              <w:keepNext/>
              <w:keepLines/>
              <w:jc w:val="right"/>
              <w:rPr>
                <w:bCs/>
                <w:sz w:val="15"/>
                <w:szCs w:val="15"/>
              </w:rPr>
            </w:pPr>
            <w:r w:rsidRPr="00D96063">
              <w:rPr>
                <w:bCs/>
                <w:sz w:val="15"/>
                <w:szCs w:val="15"/>
              </w:rPr>
              <w:t>13,345</w:t>
            </w:r>
          </w:p>
        </w:tc>
        <w:tc>
          <w:tcPr>
            <w:tcW w:w="524" w:type="pct"/>
            <w:noWrap/>
            <w:hideMark/>
          </w:tcPr>
          <w:p w14:paraId="42AA49A8" w14:textId="77777777" w:rsidR="00C15F2E" w:rsidRPr="00D96063" w:rsidRDefault="00C15F2E" w:rsidP="007C1B3A">
            <w:pPr>
              <w:keepNext/>
              <w:keepLines/>
              <w:jc w:val="right"/>
              <w:rPr>
                <w:bCs/>
                <w:sz w:val="15"/>
                <w:szCs w:val="15"/>
              </w:rPr>
            </w:pPr>
            <w:r w:rsidRPr="00D96063">
              <w:rPr>
                <w:bCs/>
                <w:sz w:val="15"/>
                <w:szCs w:val="15"/>
              </w:rPr>
              <w:t>15,030</w:t>
            </w:r>
          </w:p>
        </w:tc>
        <w:tc>
          <w:tcPr>
            <w:tcW w:w="524" w:type="pct"/>
            <w:noWrap/>
            <w:hideMark/>
          </w:tcPr>
          <w:p w14:paraId="19D890BE" w14:textId="77777777" w:rsidR="00C15F2E" w:rsidRPr="00D96063" w:rsidRDefault="00C15F2E" w:rsidP="007C1B3A">
            <w:pPr>
              <w:keepNext/>
              <w:keepLines/>
              <w:jc w:val="right"/>
              <w:rPr>
                <w:bCs/>
                <w:sz w:val="15"/>
                <w:szCs w:val="15"/>
              </w:rPr>
            </w:pPr>
            <w:r w:rsidRPr="00D96063">
              <w:rPr>
                <w:bCs/>
                <w:sz w:val="15"/>
                <w:szCs w:val="15"/>
              </w:rPr>
              <w:t>17,152</w:t>
            </w:r>
          </w:p>
        </w:tc>
        <w:tc>
          <w:tcPr>
            <w:tcW w:w="524" w:type="pct"/>
            <w:noWrap/>
            <w:hideMark/>
          </w:tcPr>
          <w:p w14:paraId="24359348" w14:textId="77777777" w:rsidR="00C15F2E" w:rsidRPr="00D96063" w:rsidRDefault="00C15F2E" w:rsidP="007C1B3A">
            <w:pPr>
              <w:keepNext/>
              <w:keepLines/>
              <w:jc w:val="right"/>
              <w:rPr>
                <w:bCs/>
                <w:sz w:val="15"/>
                <w:szCs w:val="15"/>
              </w:rPr>
            </w:pPr>
            <w:r w:rsidRPr="00D96063">
              <w:rPr>
                <w:bCs/>
                <w:sz w:val="15"/>
                <w:szCs w:val="15"/>
              </w:rPr>
              <w:t>17,792</w:t>
            </w:r>
          </w:p>
        </w:tc>
      </w:tr>
      <w:tr w:rsidR="00C15F2E" w:rsidRPr="00D96063" w14:paraId="7672596A"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17DB8C23" w14:textId="77777777" w:rsidR="00C15F2E" w:rsidRPr="00D96063" w:rsidRDefault="00C15F2E" w:rsidP="002C1DC3">
            <w:pPr>
              <w:keepNext/>
              <w:keepLines/>
              <w:jc w:val="left"/>
              <w:rPr>
                <w:sz w:val="15"/>
                <w:szCs w:val="15"/>
              </w:rPr>
            </w:pPr>
            <w:r w:rsidRPr="00D96063">
              <w:rPr>
                <w:sz w:val="15"/>
                <w:szCs w:val="15"/>
              </w:rPr>
              <w:t>Excises</w:t>
            </w:r>
          </w:p>
        </w:tc>
        <w:tc>
          <w:tcPr>
            <w:tcW w:w="524" w:type="pct"/>
            <w:noWrap/>
            <w:hideMark/>
          </w:tcPr>
          <w:p w14:paraId="5C9BE7BD" w14:textId="77777777" w:rsidR="00C15F2E" w:rsidRPr="00D96063" w:rsidRDefault="00C15F2E" w:rsidP="007C1B3A">
            <w:pPr>
              <w:keepNext/>
              <w:keepLines/>
              <w:jc w:val="right"/>
              <w:rPr>
                <w:bCs/>
                <w:sz w:val="15"/>
                <w:szCs w:val="15"/>
              </w:rPr>
            </w:pPr>
            <w:r w:rsidRPr="00D96063">
              <w:rPr>
                <w:bCs/>
                <w:sz w:val="15"/>
                <w:szCs w:val="15"/>
              </w:rPr>
              <w:t>764</w:t>
            </w:r>
          </w:p>
        </w:tc>
        <w:tc>
          <w:tcPr>
            <w:tcW w:w="524" w:type="pct"/>
            <w:noWrap/>
            <w:hideMark/>
          </w:tcPr>
          <w:p w14:paraId="6416335F" w14:textId="77777777" w:rsidR="00C15F2E" w:rsidRPr="00D96063" w:rsidRDefault="00C15F2E" w:rsidP="007C1B3A">
            <w:pPr>
              <w:keepNext/>
              <w:keepLines/>
              <w:jc w:val="right"/>
              <w:rPr>
                <w:bCs/>
                <w:sz w:val="15"/>
                <w:szCs w:val="15"/>
              </w:rPr>
            </w:pPr>
            <w:r w:rsidRPr="00D96063">
              <w:rPr>
                <w:bCs/>
                <w:sz w:val="15"/>
                <w:szCs w:val="15"/>
              </w:rPr>
              <w:t>2,402</w:t>
            </w:r>
          </w:p>
        </w:tc>
        <w:tc>
          <w:tcPr>
            <w:tcW w:w="524" w:type="pct"/>
            <w:noWrap/>
            <w:hideMark/>
          </w:tcPr>
          <w:p w14:paraId="42BDAB10" w14:textId="77777777" w:rsidR="00C15F2E" w:rsidRPr="00D96063" w:rsidRDefault="00C15F2E" w:rsidP="007C1B3A">
            <w:pPr>
              <w:keepNext/>
              <w:keepLines/>
              <w:jc w:val="right"/>
              <w:rPr>
                <w:bCs/>
                <w:sz w:val="15"/>
                <w:szCs w:val="15"/>
              </w:rPr>
            </w:pPr>
            <w:r w:rsidRPr="00D96063">
              <w:rPr>
                <w:bCs/>
                <w:sz w:val="15"/>
                <w:szCs w:val="15"/>
              </w:rPr>
              <w:t>3,643</w:t>
            </w:r>
          </w:p>
        </w:tc>
        <w:tc>
          <w:tcPr>
            <w:tcW w:w="524" w:type="pct"/>
            <w:noWrap/>
            <w:hideMark/>
          </w:tcPr>
          <w:p w14:paraId="01585FB4" w14:textId="77777777" w:rsidR="00C15F2E" w:rsidRPr="00D96063" w:rsidRDefault="00C15F2E" w:rsidP="007C1B3A">
            <w:pPr>
              <w:keepNext/>
              <w:keepLines/>
              <w:jc w:val="right"/>
              <w:rPr>
                <w:bCs/>
                <w:sz w:val="15"/>
                <w:szCs w:val="15"/>
              </w:rPr>
            </w:pPr>
            <w:r w:rsidRPr="00D96063">
              <w:rPr>
                <w:bCs/>
                <w:sz w:val="15"/>
                <w:szCs w:val="15"/>
              </w:rPr>
              <w:t>3,090</w:t>
            </w:r>
          </w:p>
        </w:tc>
        <w:tc>
          <w:tcPr>
            <w:tcW w:w="524" w:type="pct"/>
            <w:noWrap/>
            <w:hideMark/>
          </w:tcPr>
          <w:p w14:paraId="365C3C88" w14:textId="77777777" w:rsidR="00C15F2E" w:rsidRPr="00D96063" w:rsidRDefault="00C15F2E" w:rsidP="007C1B3A">
            <w:pPr>
              <w:keepNext/>
              <w:keepLines/>
              <w:jc w:val="right"/>
              <w:rPr>
                <w:bCs/>
                <w:sz w:val="15"/>
                <w:szCs w:val="15"/>
              </w:rPr>
            </w:pPr>
            <w:r w:rsidRPr="00D96063">
              <w:rPr>
                <w:bCs/>
                <w:sz w:val="15"/>
                <w:szCs w:val="15"/>
              </w:rPr>
              <w:t>3,661</w:t>
            </w:r>
          </w:p>
        </w:tc>
        <w:tc>
          <w:tcPr>
            <w:tcW w:w="524" w:type="pct"/>
            <w:noWrap/>
            <w:hideMark/>
          </w:tcPr>
          <w:p w14:paraId="0B8AF378" w14:textId="77777777" w:rsidR="00C15F2E" w:rsidRPr="00D96063" w:rsidRDefault="00C15F2E" w:rsidP="007C1B3A">
            <w:pPr>
              <w:keepNext/>
              <w:keepLines/>
              <w:jc w:val="right"/>
              <w:rPr>
                <w:bCs/>
                <w:sz w:val="15"/>
                <w:szCs w:val="15"/>
              </w:rPr>
            </w:pPr>
            <w:r w:rsidRPr="00D96063">
              <w:rPr>
                <w:bCs/>
                <w:sz w:val="15"/>
                <w:szCs w:val="15"/>
              </w:rPr>
              <w:t>3,919</w:t>
            </w:r>
          </w:p>
        </w:tc>
        <w:tc>
          <w:tcPr>
            <w:tcW w:w="524" w:type="pct"/>
            <w:noWrap/>
            <w:hideMark/>
          </w:tcPr>
          <w:p w14:paraId="6CAAFB2A" w14:textId="77777777" w:rsidR="00C15F2E" w:rsidRPr="00D96063" w:rsidRDefault="00C15F2E" w:rsidP="007C1B3A">
            <w:pPr>
              <w:keepNext/>
              <w:keepLines/>
              <w:jc w:val="right"/>
              <w:rPr>
                <w:bCs/>
                <w:sz w:val="15"/>
                <w:szCs w:val="15"/>
              </w:rPr>
            </w:pPr>
            <w:r w:rsidRPr="00D96063">
              <w:rPr>
                <w:bCs/>
                <w:sz w:val="15"/>
                <w:szCs w:val="15"/>
              </w:rPr>
              <w:t>4,404</w:t>
            </w:r>
          </w:p>
        </w:tc>
      </w:tr>
      <w:tr w:rsidR="00C15F2E" w:rsidRPr="00D96063" w14:paraId="14782AFA" w14:textId="77777777" w:rsidTr="00B2548C">
        <w:tc>
          <w:tcPr>
            <w:tcW w:w="1334" w:type="pct"/>
            <w:noWrap/>
            <w:hideMark/>
          </w:tcPr>
          <w:p w14:paraId="1BDD2BB9" w14:textId="77777777" w:rsidR="00C15F2E" w:rsidRPr="00D96063" w:rsidRDefault="00C15F2E" w:rsidP="002C1DC3">
            <w:pPr>
              <w:keepNext/>
              <w:keepLines/>
              <w:ind w:left="170" w:hanging="170"/>
              <w:jc w:val="left"/>
              <w:rPr>
                <w:sz w:val="15"/>
                <w:szCs w:val="15"/>
              </w:rPr>
            </w:pPr>
            <w:r w:rsidRPr="00D96063">
              <w:rPr>
                <w:sz w:val="15"/>
                <w:szCs w:val="15"/>
              </w:rPr>
              <w:tab/>
              <w:t>Excise duty</w:t>
            </w:r>
          </w:p>
        </w:tc>
        <w:tc>
          <w:tcPr>
            <w:tcW w:w="524" w:type="pct"/>
            <w:noWrap/>
            <w:hideMark/>
          </w:tcPr>
          <w:p w14:paraId="0EE3278F" w14:textId="77777777" w:rsidR="00C15F2E" w:rsidRPr="00D96063" w:rsidRDefault="00C15F2E" w:rsidP="007C1B3A">
            <w:pPr>
              <w:keepNext/>
              <w:keepLines/>
              <w:jc w:val="right"/>
              <w:rPr>
                <w:bCs/>
                <w:sz w:val="15"/>
                <w:szCs w:val="15"/>
              </w:rPr>
            </w:pPr>
            <w:r w:rsidRPr="00D96063">
              <w:rPr>
                <w:rFonts w:eastAsia="Times New Roman" w:cs="Arial"/>
                <w:bCs/>
                <w:sz w:val="15"/>
                <w:szCs w:val="15"/>
              </w:rPr>
              <w:t>147</w:t>
            </w:r>
          </w:p>
        </w:tc>
        <w:tc>
          <w:tcPr>
            <w:tcW w:w="524" w:type="pct"/>
            <w:noWrap/>
            <w:hideMark/>
          </w:tcPr>
          <w:p w14:paraId="3B715A23" w14:textId="77777777" w:rsidR="00C15F2E" w:rsidRPr="00D96063" w:rsidRDefault="00C15F2E" w:rsidP="007C1B3A">
            <w:pPr>
              <w:keepNext/>
              <w:keepLines/>
              <w:jc w:val="right"/>
              <w:rPr>
                <w:bCs/>
                <w:sz w:val="15"/>
                <w:szCs w:val="15"/>
              </w:rPr>
            </w:pPr>
            <w:r w:rsidRPr="00D96063">
              <w:rPr>
                <w:rFonts w:eastAsia="Times New Roman" w:cs="Arial"/>
                <w:bCs/>
                <w:sz w:val="15"/>
                <w:szCs w:val="15"/>
              </w:rPr>
              <w:t>239</w:t>
            </w:r>
          </w:p>
        </w:tc>
        <w:tc>
          <w:tcPr>
            <w:tcW w:w="524" w:type="pct"/>
            <w:noWrap/>
            <w:hideMark/>
          </w:tcPr>
          <w:p w14:paraId="069BCB9B" w14:textId="77777777" w:rsidR="00C15F2E" w:rsidRPr="00D96063" w:rsidRDefault="00C15F2E" w:rsidP="007C1B3A">
            <w:pPr>
              <w:keepNext/>
              <w:keepLines/>
              <w:jc w:val="right"/>
              <w:rPr>
                <w:bCs/>
                <w:sz w:val="15"/>
                <w:szCs w:val="15"/>
              </w:rPr>
            </w:pPr>
            <w:r w:rsidRPr="00D96063">
              <w:rPr>
                <w:bCs/>
                <w:sz w:val="15"/>
                <w:szCs w:val="15"/>
              </w:rPr>
              <w:t>297</w:t>
            </w:r>
          </w:p>
        </w:tc>
        <w:tc>
          <w:tcPr>
            <w:tcW w:w="524" w:type="pct"/>
            <w:noWrap/>
            <w:hideMark/>
          </w:tcPr>
          <w:p w14:paraId="21DEB973" w14:textId="77777777" w:rsidR="00C15F2E" w:rsidRPr="00D96063" w:rsidRDefault="00C15F2E" w:rsidP="007C1B3A">
            <w:pPr>
              <w:keepNext/>
              <w:keepLines/>
              <w:jc w:val="right"/>
              <w:rPr>
                <w:bCs/>
                <w:sz w:val="15"/>
                <w:szCs w:val="15"/>
              </w:rPr>
            </w:pPr>
            <w:r w:rsidRPr="00D96063">
              <w:rPr>
                <w:bCs/>
                <w:sz w:val="15"/>
                <w:szCs w:val="15"/>
              </w:rPr>
              <w:t>339</w:t>
            </w:r>
          </w:p>
        </w:tc>
        <w:tc>
          <w:tcPr>
            <w:tcW w:w="524" w:type="pct"/>
            <w:noWrap/>
            <w:hideMark/>
          </w:tcPr>
          <w:p w14:paraId="787D36D5" w14:textId="77777777" w:rsidR="00C15F2E" w:rsidRPr="00D96063" w:rsidRDefault="00C15F2E" w:rsidP="007C1B3A">
            <w:pPr>
              <w:keepNext/>
              <w:keepLines/>
              <w:jc w:val="right"/>
              <w:rPr>
                <w:bCs/>
                <w:sz w:val="15"/>
                <w:szCs w:val="15"/>
              </w:rPr>
            </w:pPr>
            <w:r w:rsidRPr="00D96063">
              <w:rPr>
                <w:bCs/>
                <w:sz w:val="15"/>
                <w:szCs w:val="15"/>
              </w:rPr>
              <w:t>319</w:t>
            </w:r>
          </w:p>
        </w:tc>
        <w:tc>
          <w:tcPr>
            <w:tcW w:w="524" w:type="pct"/>
            <w:noWrap/>
            <w:hideMark/>
          </w:tcPr>
          <w:p w14:paraId="76AD8336" w14:textId="77777777" w:rsidR="00C15F2E" w:rsidRPr="00D96063" w:rsidRDefault="00C15F2E" w:rsidP="007C1B3A">
            <w:pPr>
              <w:keepNext/>
              <w:keepLines/>
              <w:jc w:val="right"/>
              <w:rPr>
                <w:bCs/>
                <w:sz w:val="15"/>
                <w:szCs w:val="15"/>
              </w:rPr>
            </w:pPr>
            <w:r w:rsidRPr="00D96063">
              <w:rPr>
                <w:bCs/>
                <w:sz w:val="15"/>
                <w:szCs w:val="15"/>
              </w:rPr>
              <w:t>387</w:t>
            </w:r>
          </w:p>
        </w:tc>
        <w:tc>
          <w:tcPr>
            <w:tcW w:w="524" w:type="pct"/>
            <w:noWrap/>
            <w:hideMark/>
          </w:tcPr>
          <w:p w14:paraId="798F95F1" w14:textId="77777777" w:rsidR="00C15F2E" w:rsidRPr="00D96063" w:rsidRDefault="00C15F2E" w:rsidP="007C1B3A">
            <w:pPr>
              <w:keepNext/>
              <w:keepLines/>
              <w:jc w:val="right"/>
              <w:rPr>
                <w:bCs/>
                <w:sz w:val="15"/>
                <w:szCs w:val="15"/>
              </w:rPr>
            </w:pPr>
            <w:r w:rsidRPr="00D96063">
              <w:rPr>
                <w:bCs/>
                <w:sz w:val="15"/>
                <w:szCs w:val="15"/>
              </w:rPr>
              <w:t>415</w:t>
            </w:r>
          </w:p>
        </w:tc>
      </w:tr>
      <w:tr w:rsidR="00C15F2E" w:rsidRPr="00D96063" w14:paraId="6BD49934"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61156600" w14:textId="77777777" w:rsidR="00C15F2E" w:rsidRPr="00D96063" w:rsidRDefault="00C15F2E" w:rsidP="002C1DC3">
            <w:pPr>
              <w:keepNext/>
              <w:keepLines/>
              <w:ind w:left="170" w:hanging="170"/>
              <w:jc w:val="left"/>
              <w:rPr>
                <w:sz w:val="15"/>
                <w:szCs w:val="15"/>
              </w:rPr>
            </w:pPr>
            <w:r w:rsidRPr="00D96063">
              <w:rPr>
                <w:sz w:val="15"/>
                <w:szCs w:val="15"/>
              </w:rPr>
              <w:tab/>
              <w:t>Petroleum tax, of which:</w:t>
            </w:r>
          </w:p>
        </w:tc>
        <w:tc>
          <w:tcPr>
            <w:tcW w:w="524" w:type="pct"/>
            <w:noWrap/>
            <w:hideMark/>
          </w:tcPr>
          <w:p w14:paraId="0CF6FC26" w14:textId="77777777" w:rsidR="00C15F2E" w:rsidRPr="00D96063" w:rsidRDefault="00C15F2E" w:rsidP="007C1B3A">
            <w:pPr>
              <w:keepNext/>
              <w:keepLines/>
              <w:jc w:val="right"/>
              <w:rPr>
                <w:bCs/>
                <w:sz w:val="15"/>
                <w:szCs w:val="15"/>
              </w:rPr>
            </w:pPr>
            <w:r w:rsidRPr="00D96063">
              <w:rPr>
                <w:rFonts w:eastAsia="Times New Roman" w:cs="Arial"/>
                <w:bCs/>
                <w:sz w:val="15"/>
                <w:szCs w:val="15"/>
              </w:rPr>
              <w:t>617</w:t>
            </w:r>
          </w:p>
        </w:tc>
        <w:tc>
          <w:tcPr>
            <w:tcW w:w="524" w:type="pct"/>
            <w:noWrap/>
            <w:hideMark/>
          </w:tcPr>
          <w:p w14:paraId="7A33F1BA" w14:textId="77777777" w:rsidR="00C15F2E" w:rsidRPr="00D96063" w:rsidRDefault="00C15F2E" w:rsidP="007C1B3A">
            <w:pPr>
              <w:keepNext/>
              <w:keepLines/>
              <w:jc w:val="right"/>
              <w:rPr>
                <w:bCs/>
                <w:sz w:val="15"/>
                <w:szCs w:val="15"/>
              </w:rPr>
            </w:pPr>
            <w:r w:rsidRPr="00D96063">
              <w:rPr>
                <w:bCs/>
                <w:sz w:val="15"/>
                <w:szCs w:val="15"/>
              </w:rPr>
              <w:t>2,163</w:t>
            </w:r>
          </w:p>
        </w:tc>
        <w:tc>
          <w:tcPr>
            <w:tcW w:w="524" w:type="pct"/>
            <w:noWrap/>
            <w:hideMark/>
          </w:tcPr>
          <w:p w14:paraId="35CD680E" w14:textId="77777777" w:rsidR="00C15F2E" w:rsidRPr="00D96063" w:rsidRDefault="00C15F2E" w:rsidP="007C1B3A">
            <w:pPr>
              <w:keepNext/>
              <w:keepLines/>
              <w:jc w:val="right"/>
              <w:rPr>
                <w:bCs/>
                <w:sz w:val="15"/>
                <w:szCs w:val="15"/>
              </w:rPr>
            </w:pPr>
            <w:r w:rsidRPr="00D96063">
              <w:rPr>
                <w:bCs/>
                <w:sz w:val="15"/>
                <w:szCs w:val="15"/>
              </w:rPr>
              <w:t>3,346</w:t>
            </w:r>
          </w:p>
        </w:tc>
        <w:tc>
          <w:tcPr>
            <w:tcW w:w="524" w:type="pct"/>
            <w:noWrap/>
            <w:hideMark/>
          </w:tcPr>
          <w:p w14:paraId="241DA1C0" w14:textId="77777777" w:rsidR="00C15F2E" w:rsidRPr="00D96063" w:rsidRDefault="00C15F2E" w:rsidP="007C1B3A">
            <w:pPr>
              <w:keepNext/>
              <w:keepLines/>
              <w:jc w:val="right"/>
              <w:rPr>
                <w:bCs/>
                <w:sz w:val="15"/>
                <w:szCs w:val="15"/>
              </w:rPr>
            </w:pPr>
            <w:r w:rsidRPr="00D96063">
              <w:rPr>
                <w:bCs/>
                <w:sz w:val="15"/>
                <w:szCs w:val="15"/>
              </w:rPr>
              <w:t>2,751</w:t>
            </w:r>
          </w:p>
        </w:tc>
        <w:tc>
          <w:tcPr>
            <w:tcW w:w="524" w:type="pct"/>
            <w:noWrap/>
            <w:hideMark/>
          </w:tcPr>
          <w:p w14:paraId="1FD3133A" w14:textId="77777777" w:rsidR="00C15F2E" w:rsidRPr="00D96063" w:rsidRDefault="00C15F2E" w:rsidP="007C1B3A">
            <w:pPr>
              <w:keepNext/>
              <w:keepLines/>
              <w:jc w:val="right"/>
              <w:rPr>
                <w:bCs/>
                <w:sz w:val="15"/>
                <w:szCs w:val="15"/>
              </w:rPr>
            </w:pPr>
            <w:r w:rsidRPr="00D96063">
              <w:rPr>
                <w:bCs/>
                <w:sz w:val="15"/>
                <w:szCs w:val="15"/>
              </w:rPr>
              <w:t>3,342</w:t>
            </w:r>
          </w:p>
        </w:tc>
        <w:tc>
          <w:tcPr>
            <w:tcW w:w="524" w:type="pct"/>
            <w:noWrap/>
            <w:hideMark/>
          </w:tcPr>
          <w:p w14:paraId="7F954EB1" w14:textId="77777777" w:rsidR="00C15F2E" w:rsidRPr="00D96063" w:rsidRDefault="00C15F2E" w:rsidP="007C1B3A">
            <w:pPr>
              <w:keepNext/>
              <w:keepLines/>
              <w:jc w:val="right"/>
              <w:rPr>
                <w:bCs/>
                <w:sz w:val="15"/>
                <w:szCs w:val="15"/>
              </w:rPr>
            </w:pPr>
            <w:r w:rsidRPr="00D96063">
              <w:rPr>
                <w:bCs/>
                <w:sz w:val="15"/>
                <w:szCs w:val="15"/>
              </w:rPr>
              <w:t>3,532</w:t>
            </w:r>
          </w:p>
        </w:tc>
        <w:tc>
          <w:tcPr>
            <w:tcW w:w="524" w:type="pct"/>
            <w:noWrap/>
            <w:hideMark/>
          </w:tcPr>
          <w:p w14:paraId="1DF8C61A" w14:textId="77777777" w:rsidR="00C15F2E" w:rsidRPr="00D96063" w:rsidRDefault="00C15F2E" w:rsidP="007C1B3A">
            <w:pPr>
              <w:keepNext/>
              <w:keepLines/>
              <w:jc w:val="right"/>
              <w:rPr>
                <w:bCs/>
                <w:sz w:val="15"/>
                <w:szCs w:val="15"/>
              </w:rPr>
            </w:pPr>
            <w:r w:rsidRPr="00D96063">
              <w:rPr>
                <w:bCs/>
                <w:sz w:val="15"/>
                <w:szCs w:val="15"/>
              </w:rPr>
              <w:t>3,989</w:t>
            </w:r>
          </w:p>
        </w:tc>
      </w:tr>
      <w:tr w:rsidR="00C15F2E" w:rsidRPr="00D96063" w14:paraId="4008FDA6" w14:textId="77777777" w:rsidTr="00B2548C">
        <w:tc>
          <w:tcPr>
            <w:tcW w:w="1334" w:type="pct"/>
            <w:noWrap/>
            <w:hideMark/>
          </w:tcPr>
          <w:p w14:paraId="56063DDA" w14:textId="77777777" w:rsidR="00C15F2E" w:rsidRPr="00D96063" w:rsidRDefault="00C15F2E" w:rsidP="002C1DC3">
            <w:pPr>
              <w:keepNext/>
              <w:keepLines/>
              <w:ind w:left="397" w:hanging="397"/>
              <w:jc w:val="left"/>
              <w:rPr>
                <w:sz w:val="15"/>
                <w:szCs w:val="15"/>
              </w:rPr>
            </w:pPr>
            <w:r w:rsidRPr="00D96063">
              <w:rPr>
                <w:sz w:val="15"/>
                <w:szCs w:val="15"/>
              </w:rPr>
              <w:tab/>
              <w:t>Energy fund levy</w:t>
            </w:r>
          </w:p>
        </w:tc>
        <w:tc>
          <w:tcPr>
            <w:tcW w:w="524" w:type="pct"/>
            <w:noWrap/>
            <w:hideMark/>
          </w:tcPr>
          <w:p w14:paraId="487FA5A4" w14:textId="77777777" w:rsidR="00C15F2E" w:rsidRPr="00D96063" w:rsidRDefault="00C15F2E" w:rsidP="007C1B3A">
            <w:pPr>
              <w:keepNext/>
              <w:keepLines/>
              <w:jc w:val="right"/>
              <w:rPr>
                <w:bCs/>
                <w:sz w:val="15"/>
                <w:szCs w:val="15"/>
              </w:rPr>
            </w:pPr>
            <w:r w:rsidRPr="00D96063">
              <w:rPr>
                <w:bCs/>
                <w:sz w:val="15"/>
                <w:szCs w:val="15"/>
              </w:rPr>
              <w:t>n.a.</w:t>
            </w:r>
          </w:p>
        </w:tc>
        <w:tc>
          <w:tcPr>
            <w:tcW w:w="524" w:type="pct"/>
            <w:noWrap/>
            <w:hideMark/>
          </w:tcPr>
          <w:p w14:paraId="64026F6D" w14:textId="77777777" w:rsidR="00C15F2E" w:rsidRPr="00D96063" w:rsidRDefault="00C15F2E" w:rsidP="007C1B3A">
            <w:pPr>
              <w:keepNext/>
              <w:keepLines/>
              <w:jc w:val="right"/>
              <w:rPr>
                <w:bCs/>
                <w:sz w:val="15"/>
                <w:szCs w:val="15"/>
              </w:rPr>
            </w:pPr>
            <w:r w:rsidRPr="00D96063">
              <w:rPr>
                <w:bCs/>
                <w:sz w:val="15"/>
                <w:szCs w:val="15"/>
              </w:rPr>
              <w:t>n.a.</w:t>
            </w:r>
          </w:p>
        </w:tc>
        <w:tc>
          <w:tcPr>
            <w:tcW w:w="524" w:type="pct"/>
            <w:noWrap/>
            <w:hideMark/>
          </w:tcPr>
          <w:p w14:paraId="4C79832F" w14:textId="77777777" w:rsidR="00C15F2E" w:rsidRPr="00D96063" w:rsidRDefault="00C15F2E" w:rsidP="007C1B3A">
            <w:pPr>
              <w:keepNext/>
              <w:keepLines/>
              <w:jc w:val="right"/>
              <w:rPr>
                <w:bCs/>
                <w:sz w:val="15"/>
                <w:szCs w:val="15"/>
              </w:rPr>
            </w:pPr>
            <w:r w:rsidRPr="00D96063">
              <w:rPr>
                <w:bCs/>
                <w:sz w:val="15"/>
                <w:szCs w:val="15"/>
              </w:rPr>
              <w:t>25</w:t>
            </w:r>
          </w:p>
        </w:tc>
        <w:tc>
          <w:tcPr>
            <w:tcW w:w="524" w:type="pct"/>
            <w:noWrap/>
            <w:hideMark/>
          </w:tcPr>
          <w:p w14:paraId="6CAA9310" w14:textId="77777777" w:rsidR="00C15F2E" w:rsidRPr="00D96063" w:rsidRDefault="00C15F2E" w:rsidP="007C1B3A">
            <w:pPr>
              <w:keepNext/>
              <w:keepLines/>
              <w:jc w:val="right"/>
              <w:rPr>
                <w:bCs/>
                <w:sz w:val="15"/>
                <w:szCs w:val="15"/>
              </w:rPr>
            </w:pPr>
            <w:r w:rsidRPr="00D96063">
              <w:rPr>
                <w:bCs/>
                <w:sz w:val="15"/>
                <w:szCs w:val="15"/>
              </w:rPr>
              <w:t>28</w:t>
            </w:r>
          </w:p>
        </w:tc>
        <w:tc>
          <w:tcPr>
            <w:tcW w:w="524" w:type="pct"/>
            <w:noWrap/>
            <w:hideMark/>
          </w:tcPr>
          <w:p w14:paraId="66D8C9B7" w14:textId="77777777" w:rsidR="00C15F2E" w:rsidRPr="00D96063" w:rsidRDefault="00C15F2E" w:rsidP="007C1B3A">
            <w:pPr>
              <w:keepNext/>
              <w:keepLines/>
              <w:jc w:val="right"/>
              <w:rPr>
                <w:bCs/>
                <w:sz w:val="15"/>
                <w:szCs w:val="15"/>
              </w:rPr>
            </w:pPr>
            <w:r w:rsidRPr="00D96063">
              <w:rPr>
                <w:rFonts w:eastAsia="Times New Roman" w:cs="Arial"/>
                <w:bCs/>
                <w:sz w:val="15"/>
                <w:szCs w:val="15"/>
              </w:rPr>
              <w:t>27</w:t>
            </w:r>
          </w:p>
        </w:tc>
        <w:tc>
          <w:tcPr>
            <w:tcW w:w="524" w:type="pct"/>
            <w:noWrap/>
            <w:hideMark/>
          </w:tcPr>
          <w:p w14:paraId="25BF69E4" w14:textId="77777777" w:rsidR="00C15F2E" w:rsidRPr="00D96063" w:rsidRDefault="00C15F2E" w:rsidP="007C1B3A">
            <w:pPr>
              <w:keepNext/>
              <w:keepLines/>
              <w:jc w:val="right"/>
              <w:rPr>
                <w:bCs/>
                <w:sz w:val="15"/>
                <w:szCs w:val="15"/>
              </w:rPr>
            </w:pPr>
            <w:r w:rsidRPr="00D96063">
              <w:rPr>
                <w:bCs/>
                <w:sz w:val="15"/>
                <w:szCs w:val="15"/>
              </w:rPr>
              <w:t>39</w:t>
            </w:r>
          </w:p>
        </w:tc>
        <w:tc>
          <w:tcPr>
            <w:tcW w:w="524" w:type="pct"/>
            <w:noWrap/>
            <w:hideMark/>
          </w:tcPr>
          <w:p w14:paraId="3B4E25B2" w14:textId="77777777" w:rsidR="00C15F2E" w:rsidRPr="00D96063" w:rsidRDefault="00C15F2E" w:rsidP="007C1B3A">
            <w:pPr>
              <w:keepNext/>
              <w:keepLines/>
              <w:jc w:val="right"/>
              <w:rPr>
                <w:bCs/>
                <w:sz w:val="15"/>
                <w:szCs w:val="15"/>
              </w:rPr>
            </w:pPr>
            <w:r w:rsidRPr="00D96063">
              <w:rPr>
                <w:bCs/>
                <w:sz w:val="15"/>
                <w:szCs w:val="15"/>
              </w:rPr>
              <w:t>38</w:t>
            </w:r>
          </w:p>
        </w:tc>
      </w:tr>
      <w:tr w:rsidR="00C15F2E" w:rsidRPr="00D96063" w14:paraId="3E2645A6"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33F796EE" w14:textId="77777777" w:rsidR="00C15F2E" w:rsidRPr="00D96063" w:rsidRDefault="00C15F2E" w:rsidP="002C1DC3">
            <w:pPr>
              <w:keepNext/>
              <w:keepLines/>
              <w:ind w:left="397" w:hanging="397"/>
              <w:jc w:val="left"/>
              <w:rPr>
                <w:sz w:val="15"/>
                <w:szCs w:val="15"/>
              </w:rPr>
            </w:pPr>
            <w:r w:rsidRPr="00D96063">
              <w:rPr>
                <w:sz w:val="15"/>
                <w:szCs w:val="15"/>
              </w:rPr>
              <w:tab/>
              <w:t>Road fund levy</w:t>
            </w:r>
          </w:p>
        </w:tc>
        <w:tc>
          <w:tcPr>
            <w:tcW w:w="524" w:type="pct"/>
            <w:noWrap/>
            <w:hideMark/>
          </w:tcPr>
          <w:p w14:paraId="3C660932" w14:textId="77777777" w:rsidR="00C15F2E" w:rsidRPr="00D96063" w:rsidRDefault="00C15F2E" w:rsidP="007C1B3A">
            <w:pPr>
              <w:keepNext/>
              <w:keepLines/>
              <w:jc w:val="right"/>
              <w:rPr>
                <w:bCs/>
                <w:sz w:val="15"/>
                <w:szCs w:val="15"/>
              </w:rPr>
            </w:pPr>
            <w:r w:rsidRPr="00D96063">
              <w:rPr>
                <w:bCs/>
                <w:sz w:val="15"/>
                <w:szCs w:val="15"/>
              </w:rPr>
              <w:t>n.a.</w:t>
            </w:r>
          </w:p>
        </w:tc>
        <w:tc>
          <w:tcPr>
            <w:tcW w:w="524" w:type="pct"/>
            <w:noWrap/>
            <w:hideMark/>
          </w:tcPr>
          <w:p w14:paraId="317B89BF" w14:textId="77777777" w:rsidR="00C15F2E" w:rsidRPr="00D96063" w:rsidRDefault="00C15F2E" w:rsidP="007C1B3A">
            <w:pPr>
              <w:keepNext/>
              <w:keepLines/>
              <w:jc w:val="right"/>
              <w:rPr>
                <w:bCs/>
                <w:sz w:val="15"/>
                <w:szCs w:val="15"/>
              </w:rPr>
            </w:pPr>
            <w:r w:rsidRPr="00D96063">
              <w:rPr>
                <w:bCs/>
                <w:sz w:val="15"/>
                <w:szCs w:val="15"/>
              </w:rPr>
              <w:t>n.a.</w:t>
            </w:r>
          </w:p>
        </w:tc>
        <w:tc>
          <w:tcPr>
            <w:tcW w:w="524" w:type="pct"/>
            <w:noWrap/>
            <w:hideMark/>
          </w:tcPr>
          <w:p w14:paraId="6B604245" w14:textId="77777777" w:rsidR="00C15F2E" w:rsidRPr="00D96063" w:rsidRDefault="00C15F2E" w:rsidP="007C1B3A">
            <w:pPr>
              <w:keepNext/>
              <w:keepLines/>
              <w:jc w:val="right"/>
              <w:rPr>
                <w:bCs/>
                <w:sz w:val="15"/>
                <w:szCs w:val="15"/>
              </w:rPr>
            </w:pPr>
            <w:r w:rsidRPr="00D96063">
              <w:rPr>
                <w:bCs/>
                <w:sz w:val="15"/>
                <w:szCs w:val="15"/>
              </w:rPr>
              <w:t>1,002</w:t>
            </w:r>
          </w:p>
        </w:tc>
        <w:tc>
          <w:tcPr>
            <w:tcW w:w="524" w:type="pct"/>
            <w:noWrap/>
            <w:hideMark/>
          </w:tcPr>
          <w:p w14:paraId="66DB41C2" w14:textId="77777777" w:rsidR="00C15F2E" w:rsidRPr="00D96063" w:rsidRDefault="00C15F2E" w:rsidP="007C1B3A">
            <w:pPr>
              <w:keepNext/>
              <w:keepLines/>
              <w:jc w:val="right"/>
              <w:rPr>
                <w:bCs/>
                <w:sz w:val="15"/>
                <w:szCs w:val="15"/>
              </w:rPr>
            </w:pPr>
            <w:r w:rsidRPr="00D96063">
              <w:rPr>
                <w:bCs/>
                <w:sz w:val="15"/>
                <w:szCs w:val="15"/>
              </w:rPr>
              <w:t>1,058</w:t>
            </w:r>
          </w:p>
        </w:tc>
        <w:tc>
          <w:tcPr>
            <w:tcW w:w="524" w:type="pct"/>
            <w:noWrap/>
            <w:hideMark/>
          </w:tcPr>
          <w:p w14:paraId="04769083" w14:textId="77777777" w:rsidR="00C15F2E" w:rsidRPr="00D96063" w:rsidRDefault="00C15F2E" w:rsidP="007C1B3A">
            <w:pPr>
              <w:keepNext/>
              <w:keepLines/>
              <w:jc w:val="right"/>
              <w:rPr>
                <w:bCs/>
                <w:sz w:val="15"/>
                <w:szCs w:val="15"/>
              </w:rPr>
            </w:pPr>
            <w:r w:rsidRPr="00D96063">
              <w:rPr>
                <w:bCs/>
                <w:sz w:val="15"/>
                <w:szCs w:val="15"/>
              </w:rPr>
              <w:t>1,</w:t>
            </w:r>
            <w:r w:rsidRPr="00D96063">
              <w:rPr>
                <w:rFonts w:eastAsia="Times New Roman" w:cs="Arial"/>
                <w:bCs/>
                <w:sz w:val="15"/>
                <w:szCs w:val="15"/>
              </w:rPr>
              <w:t>012</w:t>
            </w:r>
          </w:p>
        </w:tc>
        <w:tc>
          <w:tcPr>
            <w:tcW w:w="524" w:type="pct"/>
            <w:noWrap/>
            <w:hideMark/>
          </w:tcPr>
          <w:p w14:paraId="5392ADAE" w14:textId="77777777" w:rsidR="00C15F2E" w:rsidRPr="00D96063" w:rsidRDefault="00C15F2E" w:rsidP="007C1B3A">
            <w:pPr>
              <w:keepNext/>
              <w:keepLines/>
              <w:jc w:val="right"/>
              <w:rPr>
                <w:bCs/>
                <w:sz w:val="15"/>
                <w:szCs w:val="15"/>
              </w:rPr>
            </w:pPr>
            <w:r w:rsidRPr="00D96063">
              <w:rPr>
                <w:bCs/>
                <w:sz w:val="15"/>
                <w:szCs w:val="15"/>
              </w:rPr>
              <w:t>1,541</w:t>
            </w:r>
          </w:p>
        </w:tc>
        <w:tc>
          <w:tcPr>
            <w:tcW w:w="524" w:type="pct"/>
            <w:noWrap/>
            <w:hideMark/>
          </w:tcPr>
          <w:p w14:paraId="3D1DDFFA" w14:textId="77777777" w:rsidR="00C15F2E" w:rsidRPr="00D96063" w:rsidRDefault="00C15F2E" w:rsidP="007C1B3A">
            <w:pPr>
              <w:keepNext/>
              <w:keepLines/>
              <w:jc w:val="right"/>
              <w:rPr>
                <w:bCs/>
                <w:sz w:val="15"/>
                <w:szCs w:val="15"/>
              </w:rPr>
            </w:pPr>
            <w:r w:rsidRPr="00D96063">
              <w:rPr>
                <w:bCs/>
                <w:sz w:val="15"/>
                <w:szCs w:val="15"/>
              </w:rPr>
              <w:t>1,780</w:t>
            </w:r>
          </w:p>
        </w:tc>
      </w:tr>
      <w:tr w:rsidR="00C15F2E" w:rsidRPr="00D96063" w14:paraId="6B82FD13" w14:textId="77777777" w:rsidTr="00B2548C">
        <w:tc>
          <w:tcPr>
            <w:tcW w:w="1334" w:type="pct"/>
            <w:noWrap/>
            <w:hideMark/>
          </w:tcPr>
          <w:p w14:paraId="5D4AC440" w14:textId="77777777" w:rsidR="00C15F2E" w:rsidRPr="00D96063" w:rsidRDefault="00C15F2E" w:rsidP="002C1DC3">
            <w:pPr>
              <w:keepNext/>
              <w:keepLines/>
              <w:jc w:val="left"/>
              <w:rPr>
                <w:sz w:val="15"/>
                <w:szCs w:val="15"/>
              </w:rPr>
            </w:pPr>
            <w:r w:rsidRPr="00D96063">
              <w:rPr>
                <w:sz w:val="15"/>
                <w:szCs w:val="15"/>
              </w:rPr>
              <w:t>VAT</w:t>
            </w:r>
          </w:p>
        </w:tc>
        <w:tc>
          <w:tcPr>
            <w:tcW w:w="524" w:type="pct"/>
            <w:noWrap/>
            <w:hideMark/>
          </w:tcPr>
          <w:p w14:paraId="1857A804" w14:textId="77777777" w:rsidR="00C15F2E" w:rsidRPr="00D96063" w:rsidRDefault="00C15F2E" w:rsidP="007C1B3A">
            <w:pPr>
              <w:keepNext/>
              <w:keepLines/>
              <w:jc w:val="right"/>
              <w:rPr>
                <w:bCs/>
                <w:sz w:val="15"/>
                <w:szCs w:val="15"/>
              </w:rPr>
            </w:pPr>
            <w:r w:rsidRPr="00D96063">
              <w:rPr>
                <w:bCs/>
                <w:sz w:val="15"/>
                <w:szCs w:val="15"/>
              </w:rPr>
              <w:t>4,672</w:t>
            </w:r>
          </w:p>
        </w:tc>
        <w:tc>
          <w:tcPr>
            <w:tcW w:w="524" w:type="pct"/>
            <w:noWrap/>
            <w:hideMark/>
          </w:tcPr>
          <w:p w14:paraId="75D54FFB" w14:textId="77777777" w:rsidR="00C15F2E" w:rsidRPr="00D96063" w:rsidRDefault="00C15F2E" w:rsidP="007C1B3A">
            <w:pPr>
              <w:keepNext/>
              <w:keepLines/>
              <w:jc w:val="right"/>
              <w:rPr>
                <w:bCs/>
                <w:sz w:val="15"/>
                <w:szCs w:val="15"/>
              </w:rPr>
            </w:pPr>
            <w:r w:rsidRPr="00D96063">
              <w:rPr>
                <w:bCs/>
                <w:sz w:val="15"/>
                <w:szCs w:val="15"/>
              </w:rPr>
              <w:t>6,254</w:t>
            </w:r>
          </w:p>
        </w:tc>
        <w:tc>
          <w:tcPr>
            <w:tcW w:w="524" w:type="pct"/>
            <w:noWrap/>
            <w:hideMark/>
          </w:tcPr>
          <w:p w14:paraId="136A48AC" w14:textId="77777777" w:rsidR="00C15F2E" w:rsidRPr="00D96063" w:rsidRDefault="00C15F2E" w:rsidP="007C1B3A">
            <w:pPr>
              <w:keepNext/>
              <w:keepLines/>
              <w:jc w:val="right"/>
              <w:rPr>
                <w:bCs/>
                <w:sz w:val="15"/>
                <w:szCs w:val="15"/>
              </w:rPr>
            </w:pPr>
            <w:r w:rsidRPr="00D96063">
              <w:rPr>
                <w:bCs/>
                <w:sz w:val="15"/>
                <w:szCs w:val="15"/>
              </w:rPr>
              <w:t>7,130</w:t>
            </w:r>
          </w:p>
        </w:tc>
        <w:tc>
          <w:tcPr>
            <w:tcW w:w="524" w:type="pct"/>
            <w:noWrap/>
            <w:hideMark/>
          </w:tcPr>
          <w:p w14:paraId="6F72A4F4" w14:textId="77777777" w:rsidR="00C15F2E" w:rsidRPr="00D96063" w:rsidRDefault="00C15F2E" w:rsidP="007C1B3A">
            <w:pPr>
              <w:keepNext/>
              <w:keepLines/>
              <w:jc w:val="right"/>
              <w:rPr>
                <w:bCs/>
                <w:sz w:val="15"/>
                <w:szCs w:val="15"/>
              </w:rPr>
            </w:pPr>
            <w:r w:rsidRPr="00D96063">
              <w:rPr>
                <w:bCs/>
                <w:sz w:val="15"/>
                <w:szCs w:val="15"/>
              </w:rPr>
              <w:t>8,549</w:t>
            </w:r>
          </w:p>
        </w:tc>
        <w:tc>
          <w:tcPr>
            <w:tcW w:w="524" w:type="pct"/>
            <w:noWrap/>
            <w:hideMark/>
          </w:tcPr>
          <w:p w14:paraId="1C2F26DE" w14:textId="77777777" w:rsidR="00C15F2E" w:rsidRPr="00D96063" w:rsidRDefault="00C15F2E" w:rsidP="007C1B3A">
            <w:pPr>
              <w:keepNext/>
              <w:keepLines/>
              <w:jc w:val="right"/>
              <w:rPr>
                <w:bCs/>
                <w:sz w:val="15"/>
                <w:szCs w:val="15"/>
              </w:rPr>
            </w:pPr>
            <w:r w:rsidRPr="00D96063">
              <w:rPr>
                <w:bCs/>
                <w:sz w:val="15"/>
                <w:szCs w:val="15"/>
              </w:rPr>
              <w:t>8,893</w:t>
            </w:r>
          </w:p>
        </w:tc>
        <w:tc>
          <w:tcPr>
            <w:tcW w:w="524" w:type="pct"/>
            <w:noWrap/>
            <w:hideMark/>
          </w:tcPr>
          <w:p w14:paraId="57F2E0CC" w14:textId="77777777" w:rsidR="00C15F2E" w:rsidRPr="00D96063" w:rsidRDefault="00C15F2E" w:rsidP="007C1B3A">
            <w:pPr>
              <w:keepNext/>
              <w:keepLines/>
              <w:jc w:val="right"/>
              <w:rPr>
                <w:bCs/>
                <w:sz w:val="15"/>
                <w:szCs w:val="15"/>
              </w:rPr>
            </w:pPr>
            <w:r w:rsidRPr="00D96063">
              <w:rPr>
                <w:bCs/>
                <w:sz w:val="15"/>
                <w:szCs w:val="15"/>
              </w:rPr>
              <w:t>9,330</w:t>
            </w:r>
          </w:p>
        </w:tc>
        <w:tc>
          <w:tcPr>
            <w:tcW w:w="524" w:type="pct"/>
            <w:noWrap/>
            <w:hideMark/>
          </w:tcPr>
          <w:p w14:paraId="1BA6DD42" w14:textId="77777777" w:rsidR="00C15F2E" w:rsidRPr="00D96063" w:rsidRDefault="00C15F2E" w:rsidP="007C1B3A">
            <w:pPr>
              <w:keepNext/>
              <w:keepLines/>
              <w:jc w:val="right"/>
              <w:rPr>
                <w:bCs/>
                <w:sz w:val="15"/>
                <w:szCs w:val="15"/>
              </w:rPr>
            </w:pPr>
            <w:r w:rsidRPr="00D96063">
              <w:rPr>
                <w:bCs/>
                <w:sz w:val="15"/>
                <w:szCs w:val="15"/>
              </w:rPr>
              <w:t>9,</w:t>
            </w:r>
            <w:r w:rsidRPr="00D96063">
              <w:rPr>
                <w:rFonts w:eastAsia="Times New Roman" w:cs="Arial"/>
                <w:bCs/>
                <w:sz w:val="15"/>
                <w:szCs w:val="15"/>
              </w:rPr>
              <w:t>207</w:t>
            </w:r>
          </w:p>
        </w:tc>
      </w:tr>
      <w:tr w:rsidR="00C15F2E" w:rsidRPr="00D96063" w14:paraId="3441EAED"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1B33A26A" w14:textId="77777777" w:rsidR="00C15F2E" w:rsidRPr="00D96063" w:rsidRDefault="00C15F2E" w:rsidP="002C1DC3">
            <w:pPr>
              <w:keepNext/>
              <w:keepLines/>
              <w:ind w:left="170" w:hanging="170"/>
              <w:jc w:val="left"/>
              <w:rPr>
                <w:sz w:val="15"/>
                <w:szCs w:val="15"/>
              </w:rPr>
            </w:pPr>
            <w:r w:rsidRPr="00D96063">
              <w:rPr>
                <w:sz w:val="15"/>
                <w:szCs w:val="15"/>
              </w:rPr>
              <w:tab/>
              <w:t>Domestic</w:t>
            </w:r>
          </w:p>
        </w:tc>
        <w:tc>
          <w:tcPr>
            <w:tcW w:w="524" w:type="pct"/>
            <w:noWrap/>
            <w:hideMark/>
          </w:tcPr>
          <w:p w14:paraId="26EA6E30" w14:textId="77777777" w:rsidR="00C15F2E" w:rsidRPr="00D96063" w:rsidRDefault="00C15F2E" w:rsidP="007C1B3A">
            <w:pPr>
              <w:keepNext/>
              <w:keepLines/>
              <w:jc w:val="right"/>
              <w:rPr>
                <w:bCs/>
                <w:sz w:val="15"/>
                <w:szCs w:val="15"/>
              </w:rPr>
            </w:pPr>
            <w:r w:rsidRPr="00D96063">
              <w:rPr>
                <w:bCs/>
                <w:sz w:val="15"/>
                <w:szCs w:val="15"/>
              </w:rPr>
              <w:t>1,915</w:t>
            </w:r>
          </w:p>
        </w:tc>
        <w:tc>
          <w:tcPr>
            <w:tcW w:w="524" w:type="pct"/>
            <w:noWrap/>
            <w:hideMark/>
          </w:tcPr>
          <w:p w14:paraId="0A91EB53" w14:textId="77777777" w:rsidR="00C15F2E" w:rsidRPr="00D96063" w:rsidRDefault="00C15F2E" w:rsidP="007C1B3A">
            <w:pPr>
              <w:keepNext/>
              <w:keepLines/>
              <w:jc w:val="right"/>
              <w:rPr>
                <w:bCs/>
                <w:sz w:val="15"/>
                <w:szCs w:val="15"/>
              </w:rPr>
            </w:pPr>
            <w:r w:rsidRPr="00D96063">
              <w:rPr>
                <w:bCs/>
                <w:sz w:val="15"/>
                <w:szCs w:val="15"/>
              </w:rPr>
              <w:t>2,766</w:t>
            </w:r>
          </w:p>
        </w:tc>
        <w:tc>
          <w:tcPr>
            <w:tcW w:w="524" w:type="pct"/>
            <w:noWrap/>
            <w:hideMark/>
          </w:tcPr>
          <w:p w14:paraId="1AFD985C" w14:textId="77777777" w:rsidR="00C15F2E" w:rsidRPr="00D96063" w:rsidRDefault="00C15F2E" w:rsidP="007C1B3A">
            <w:pPr>
              <w:keepNext/>
              <w:keepLines/>
              <w:jc w:val="right"/>
              <w:rPr>
                <w:bCs/>
                <w:sz w:val="15"/>
                <w:szCs w:val="15"/>
              </w:rPr>
            </w:pPr>
            <w:r w:rsidRPr="00D96063">
              <w:rPr>
                <w:bCs/>
                <w:sz w:val="15"/>
                <w:szCs w:val="15"/>
              </w:rPr>
              <w:t>3,022</w:t>
            </w:r>
          </w:p>
        </w:tc>
        <w:tc>
          <w:tcPr>
            <w:tcW w:w="524" w:type="pct"/>
            <w:noWrap/>
            <w:hideMark/>
          </w:tcPr>
          <w:p w14:paraId="0DCAC6A9" w14:textId="77777777" w:rsidR="00C15F2E" w:rsidRPr="00D96063" w:rsidRDefault="00C15F2E" w:rsidP="007C1B3A">
            <w:pPr>
              <w:keepNext/>
              <w:keepLines/>
              <w:jc w:val="right"/>
              <w:rPr>
                <w:bCs/>
                <w:sz w:val="15"/>
                <w:szCs w:val="15"/>
              </w:rPr>
            </w:pPr>
            <w:r w:rsidRPr="00D96063">
              <w:rPr>
                <w:bCs/>
                <w:sz w:val="15"/>
                <w:szCs w:val="15"/>
              </w:rPr>
              <w:t>3,557</w:t>
            </w:r>
          </w:p>
        </w:tc>
        <w:tc>
          <w:tcPr>
            <w:tcW w:w="524" w:type="pct"/>
            <w:noWrap/>
            <w:hideMark/>
          </w:tcPr>
          <w:p w14:paraId="3733EE94" w14:textId="77777777" w:rsidR="00C15F2E" w:rsidRPr="00D96063" w:rsidRDefault="00C15F2E" w:rsidP="007C1B3A">
            <w:pPr>
              <w:keepNext/>
              <w:keepLines/>
              <w:jc w:val="right"/>
              <w:rPr>
                <w:bCs/>
                <w:sz w:val="15"/>
                <w:szCs w:val="15"/>
              </w:rPr>
            </w:pPr>
            <w:r w:rsidRPr="00D96063">
              <w:rPr>
                <w:bCs/>
                <w:sz w:val="15"/>
                <w:szCs w:val="15"/>
              </w:rPr>
              <w:t>3,980</w:t>
            </w:r>
          </w:p>
        </w:tc>
        <w:tc>
          <w:tcPr>
            <w:tcW w:w="524" w:type="pct"/>
            <w:noWrap/>
            <w:hideMark/>
          </w:tcPr>
          <w:p w14:paraId="5E546B8C" w14:textId="77777777" w:rsidR="00C15F2E" w:rsidRPr="00D96063" w:rsidRDefault="00C15F2E" w:rsidP="007C1B3A">
            <w:pPr>
              <w:keepNext/>
              <w:keepLines/>
              <w:jc w:val="right"/>
              <w:rPr>
                <w:bCs/>
                <w:sz w:val="15"/>
                <w:szCs w:val="15"/>
              </w:rPr>
            </w:pPr>
            <w:r w:rsidRPr="00D96063">
              <w:rPr>
                <w:bCs/>
                <w:sz w:val="15"/>
                <w:szCs w:val="15"/>
              </w:rPr>
              <w:t>5,209</w:t>
            </w:r>
          </w:p>
        </w:tc>
        <w:tc>
          <w:tcPr>
            <w:tcW w:w="524" w:type="pct"/>
            <w:noWrap/>
            <w:hideMark/>
          </w:tcPr>
          <w:p w14:paraId="67AEB425" w14:textId="77777777" w:rsidR="00C15F2E" w:rsidRPr="00D96063" w:rsidRDefault="00C15F2E" w:rsidP="007C1B3A">
            <w:pPr>
              <w:keepNext/>
              <w:keepLines/>
              <w:jc w:val="right"/>
              <w:rPr>
                <w:bCs/>
                <w:sz w:val="15"/>
                <w:szCs w:val="15"/>
              </w:rPr>
            </w:pPr>
            <w:r w:rsidRPr="00D96063">
              <w:rPr>
                <w:bCs/>
                <w:sz w:val="15"/>
                <w:szCs w:val="15"/>
              </w:rPr>
              <w:t>5,302</w:t>
            </w:r>
          </w:p>
        </w:tc>
      </w:tr>
      <w:tr w:rsidR="00C15F2E" w:rsidRPr="00D96063" w14:paraId="12C600F1" w14:textId="77777777" w:rsidTr="00B2548C">
        <w:tc>
          <w:tcPr>
            <w:tcW w:w="1334" w:type="pct"/>
            <w:noWrap/>
            <w:hideMark/>
          </w:tcPr>
          <w:p w14:paraId="5FDE46C2" w14:textId="77777777" w:rsidR="00C15F2E" w:rsidRPr="00D96063" w:rsidRDefault="00C15F2E" w:rsidP="002C1DC3">
            <w:pPr>
              <w:keepNext/>
              <w:keepLines/>
              <w:ind w:left="170" w:hanging="170"/>
              <w:jc w:val="left"/>
              <w:rPr>
                <w:sz w:val="15"/>
                <w:szCs w:val="15"/>
              </w:rPr>
            </w:pPr>
            <w:r w:rsidRPr="00D96063">
              <w:rPr>
                <w:sz w:val="15"/>
                <w:szCs w:val="15"/>
              </w:rPr>
              <w:tab/>
              <w:t>Imports</w:t>
            </w:r>
          </w:p>
        </w:tc>
        <w:tc>
          <w:tcPr>
            <w:tcW w:w="524" w:type="pct"/>
            <w:noWrap/>
            <w:hideMark/>
          </w:tcPr>
          <w:p w14:paraId="6D4D774F" w14:textId="77777777" w:rsidR="00C15F2E" w:rsidRPr="00D96063" w:rsidRDefault="00C15F2E" w:rsidP="007C1B3A">
            <w:pPr>
              <w:keepNext/>
              <w:keepLines/>
              <w:jc w:val="right"/>
              <w:rPr>
                <w:bCs/>
                <w:sz w:val="15"/>
                <w:szCs w:val="15"/>
              </w:rPr>
            </w:pPr>
            <w:r w:rsidRPr="00D96063">
              <w:rPr>
                <w:bCs/>
                <w:sz w:val="15"/>
                <w:szCs w:val="15"/>
              </w:rPr>
              <w:t>2,757</w:t>
            </w:r>
          </w:p>
        </w:tc>
        <w:tc>
          <w:tcPr>
            <w:tcW w:w="524" w:type="pct"/>
            <w:noWrap/>
            <w:hideMark/>
          </w:tcPr>
          <w:p w14:paraId="4FE7150C" w14:textId="77777777" w:rsidR="00C15F2E" w:rsidRPr="00D96063" w:rsidRDefault="00C15F2E" w:rsidP="007C1B3A">
            <w:pPr>
              <w:keepNext/>
              <w:keepLines/>
              <w:jc w:val="right"/>
              <w:rPr>
                <w:bCs/>
                <w:sz w:val="15"/>
                <w:szCs w:val="15"/>
              </w:rPr>
            </w:pPr>
            <w:r w:rsidRPr="00D96063">
              <w:rPr>
                <w:bCs/>
                <w:sz w:val="15"/>
                <w:szCs w:val="15"/>
              </w:rPr>
              <w:t>3,489</w:t>
            </w:r>
          </w:p>
        </w:tc>
        <w:tc>
          <w:tcPr>
            <w:tcW w:w="524" w:type="pct"/>
            <w:noWrap/>
            <w:hideMark/>
          </w:tcPr>
          <w:p w14:paraId="6F1F573B" w14:textId="77777777" w:rsidR="00C15F2E" w:rsidRPr="00D96063" w:rsidRDefault="00C15F2E" w:rsidP="007C1B3A">
            <w:pPr>
              <w:keepNext/>
              <w:keepLines/>
              <w:jc w:val="right"/>
              <w:rPr>
                <w:bCs/>
                <w:sz w:val="15"/>
                <w:szCs w:val="15"/>
              </w:rPr>
            </w:pPr>
            <w:r w:rsidRPr="00D96063">
              <w:rPr>
                <w:bCs/>
                <w:sz w:val="15"/>
                <w:szCs w:val="15"/>
              </w:rPr>
              <w:t>4,108</w:t>
            </w:r>
          </w:p>
        </w:tc>
        <w:tc>
          <w:tcPr>
            <w:tcW w:w="524" w:type="pct"/>
            <w:noWrap/>
            <w:hideMark/>
          </w:tcPr>
          <w:p w14:paraId="20626587" w14:textId="77777777" w:rsidR="00C15F2E" w:rsidRPr="00D96063" w:rsidRDefault="00C15F2E" w:rsidP="007C1B3A">
            <w:pPr>
              <w:keepNext/>
              <w:keepLines/>
              <w:jc w:val="right"/>
              <w:rPr>
                <w:bCs/>
                <w:sz w:val="15"/>
                <w:szCs w:val="15"/>
              </w:rPr>
            </w:pPr>
            <w:r w:rsidRPr="00D96063">
              <w:rPr>
                <w:bCs/>
                <w:sz w:val="15"/>
                <w:szCs w:val="15"/>
              </w:rPr>
              <w:t>4,992</w:t>
            </w:r>
          </w:p>
        </w:tc>
        <w:tc>
          <w:tcPr>
            <w:tcW w:w="524" w:type="pct"/>
            <w:noWrap/>
            <w:hideMark/>
          </w:tcPr>
          <w:p w14:paraId="79DD9F84" w14:textId="77777777" w:rsidR="00C15F2E" w:rsidRPr="00D96063" w:rsidRDefault="00C15F2E" w:rsidP="007C1B3A">
            <w:pPr>
              <w:keepNext/>
              <w:keepLines/>
              <w:jc w:val="right"/>
              <w:rPr>
                <w:bCs/>
                <w:sz w:val="15"/>
                <w:szCs w:val="15"/>
              </w:rPr>
            </w:pPr>
            <w:r w:rsidRPr="00D96063">
              <w:rPr>
                <w:bCs/>
                <w:sz w:val="15"/>
                <w:szCs w:val="15"/>
              </w:rPr>
              <w:t>4,912</w:t>
            </w:r>
          </w:p>
        </w:tc>
        <w:tc>
          <w:tcPr>
            <w:tcW w:w="524" w:type="pct"/>
            <w:noWrap/>
            <w:hideMark/>
          </w:tcPr>
          <w:p w14:paraId="463D82FD" w14:textId="77777777" w:rsidR="00C15F2E" w:rsidRPr="00D96063" w:rsidRDefault="00C15F2E" w:rsidP="007C1B3A">
            <w:pPr>
              <w:keepNext/>
              <w:keepLines/>
              <w:jc w:val="right"/>
              <w:rPr>
                <w:bCs/>
                <w:sz w:val="15"/>
                <w:szCs w:val="15"/>
              </w:rPr>
            </w:pPr>
            <w:r w:rsidRPr="00D96063">
              <w:rPr>
                <w:bCs/>
                <w:sz w:val="15"/>
                <w:szCs w:val="15"/>
              </w:rPr>
              <w:t>4,121</w:t>
            </w:r>
          </w:p>
        </w:tc>
        <w:tc>
          <w:tcPr>
            <w:tcW w:w="524" w:type="pct"/>
            <w:noWrap/>
            <w:hideMark/>
          </w:tcPr>
          <w:p w14:paraId="40D6FD73" w14:textId="77777777" w:rsidR="00C15F2E" w:rsidRPr="00D96063" w:rsidRDefault="00C15F2E" w:rsidP="007C1B3A">
            <w:pPr>
              <w:keepNext/>
              <w:keepLines/>
              <w:jc w:val="right"/>
              <w:rPr>
                <w:bCs/>
                <w:sz w:val="15"/>
                <w:szCs w:val="15"/>
              </w:rPr>
            </w:pPr>
            <w:r w:rsidRPr="00D96063">
              <w:rPr>
                <w:bCs/>
                <w:sz w:val="15"/>
                <w:szCs w:val="15"/>
              </w:rPr>
              <w:t>3,906</w:t>
            </w:r>
          </w:p>
        </w:tc>
      </w:tr>
      <w:tr w:rsidR="00C15F2E" w:rsidRPr="00D96063" w14:paraId="54E41A6F"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511EE10F" w14:textId="77777777" w:rsidR="00C15F2E" w:rsidRPr="00D96063" w:rsidRDefault="00C15F2E" w:rsidP="002C1DC3">
            <w:pPr>
              <w:keepNext/>
              <w:keepLines/>
              <w:jc w:val="left"/>
              <w:rPr>
                <w:sz w:val="15"/>
                <w:szCs w:val="15"/>
              </w:rPr>
            </w:pPr>
            <w:r w:rsidRPr="00D96063">
              <w:rPr>
                <w:sz w:val="15"/>
                <w:szCs w:val="15"/>
              </w:rPr>
              <w:t>National Health Insurance Levy (NHIL)</w:t>
            </w:r>
          </w:p>
        </w:tc>
        <w:tc>
          <w:tcPr>
            <w:tcW w:w="524" w:type="pct"/>
            <w:noWrap/>
            <w:hideMark/>
          </w:tcPr>
          <w:p w14:paraId="28ACEF8A" w14:textId="77777777" w:rsidR="00C15F2E" w:rsidRPr="00D96063" w:rsidRDefault="00C15F2E" w:rsidP="007C1B3A">
            <w:pPr>
              <w:keepNext/>
              <w:keepLines/>
              <w:jc w:val="right"/>
              <w:rPr>
                <w:bCs/>
                <w:sz w:val="15"/>
                <w:szCs w:val="15"/>
              </w:rPr>
            </w:pPr>
            <w:r w:rsidRPr="00D96063">
              <w:rPr>
                <w:bCs/>
                <w:sz w:val="15"/>
                <w:szCs w:val="15"/>
              </w:rPr>
              <w:t>782</w:t>
            </w:r>
          </w:p>
        </w:tc>
        <w:tc>
          <w:tcPr>
            <w:tcW w:w="524" w:type="pct"/>
            <w:noWrap/>
            <w:hideMark/>
          </w:tcPr>
          <w:p w14:paraId="0D6E5AFA" w14:textId="77777777" w:rsidR="00C15F2E" w:rsidRPr="00D96063" w:rsidRDefault="00C15F2E" w:rsidP="007C1B3A">
            <w:pPr>
              <w:keepNext/>
              <w:keepLines/>
              <w:jc w:val="right"/>
              <w:rPr>
                <w:bCs/>
                <w:sz w:val="15"/>
                <w:szCs w:val="15"/>
              </w:rPr>
            </w:pPr>
            <w:r w:rsidRPr="00D96063">
              <w:rPr>
                <w:bCs/>
                <w:sz w:val="15"/>
                <w:szCs w:val="15"/>
              </w:rPr>
              <w:t>1,019</w:t>
            </w:r>
          </w:p>
        </w:tc>
        <w:tc>
          <w:tcPr>
            <w:tcW w:w="524" w:type="pct"/>
            <w:noWrap/>
            <w:hideMark/>
          </w:tcPr>
          <w:p w14:paraId="5DA4D421" w14:textId="77777777" w:rsidR="00C15F2E" w:rsidRPr="00D96063" w:rsidRDefault="00C15F2E" w:rsidP="007C1B3A">
            <w:pPr>
              <w:keepNext/>
              <w:keepLines/>
              <w:jc w:val="right"/>
              <w:rPr>
                <w:bCs/>
                <w:sz w:val="15"/>
                <w:szCs w:val="15"/>
              </w:rPr>
            </w:pPr>
            <w:r w:rsidRPr="00D96063">
              <w:rPr>
                <w:bCs/>
                <w:sz w:val="15"/>
                <w:szCs w:val="15"/>
              </w:rPr>
              <w:t>1,</w:t>
            </w:r>
            <w:r w:rsidRPr="00D96063">
              <w:rPr>
                <w:rFonts w:eastAsia="Times New Roman" w:cs="Arial"/>
                <w:bCs/>
                <w:sz w:val="15"/>
                <w:szCs w:val="15"/>
              </w:rPr>
              <w:t>119</w:t>
            </w:r>
          </w:p>
        </w:tc>
        <w:tc>
          <w:tcPr>
            <w:tcW w:w="524" w:type="pct"/>
            <w:noWrap/>
            <w:hideMark/>
          </w:tcPr>
          <w:p w14:paraId="176ACF61" w14:textId="77777777" w:rsidR="00C15F2E" w:rsidRPr="00D96063" w:rsidRDefault="00C15F2E" w:rsidP="007C1B3A">
            <w:pPr>
              <w:keepNext/>
              <w:keepLines/>
              <w:jc w:val="right"/>
              <w:rPr>
                <w:bCs/>
                <w:sz w:val="15"/>
                <w:szCs w:val="15"/>
              </w:rPr>
            </w:pPr>
            <w:r w:rsidRPr="00D96063">
              <w:rPr>
                <w:bCs/>
                <w:sz w:val="15"/>
                <w:szCs w:val="15"/>
              </w:rPr>
              <w:t>1,376</w:t>
            </w:r>
          </w:p>
        </w:tc>
        <w:tc>
          <w:tcPr>
            <w:tcW w:w="524" w:type="pct"/>
            <w:noWrap/>
            <w:hideMark/>
          </w:tcPr>
          <w:p w14:paraId="77A28A76" w14:textId="77777777" w:rsidR="00C15F2E" w:rsidRPr="00D96063" w:rsidRDefault="00C15F2E" w:rsidP="007C1B3A">
            <w:pPr>
              <w:keepNext/>
              <w:keepLines/>
              <w:jc w:val="right"/>
              <w:rPr>
                <w:bCs/>
                <w:sz w:val="15"/>
                <w:szCs w:val="15"/>
              </w:rPr>
            </w:pPr>
            <w:r w:rsidRPr="00D96063">
              <w:rPr>
                <w:bCs/>
                <w:sz w:val="15"/>
                <w:szCs w:val="15"/>
              </w:rPr>
              <w:t>1,501</w:t>
            </w:r>
          </w:p>
        </w:tc>
        <w:tc>
          <w:tcPr>
            <w:tcW w:w="524" w:type="pct"/>
            <w:noWrap/>
            <w:hideMark/>
          </w:tcPr>
          <w:p w14:paraId="31A6C2FC" w14:textId="77777777" w:rsidR="00C15F2E" w:rsidRPr="00D96063" w:rsidRDefault="00C15F2E" w:rsidP="007C1B3A">
            <w:pPr>
              <w:keepNext/>
              <w:keepLines/>
              <w:jc w:val="right"/>
              <w:rPr>
                <w:bCs/>
                <w:sz w:val="15"/>
                <w:szCs w:val="15"/>
              </w:rPr>
            </w:pPr>
            <w:r w:rsidRPr="00D96063">
              <w:rPr>
                <w:bCs/>
                <w:sz w:val="15"/>
                <w:szCs w:val="15"/>
              </w:rPr>
              <w:t>1,745</w:t>
            </w:r>
          </w:p>
        </w:tc>
        <w:tc>
          <w:tcPr>
            <w:tcW w:w="524" w:type="pct"/>
            <w:noWrap/>
            <w:hideMark/>
          </w:tcPr>
          <w:p w14:paraId="65930999" w14:textId="77777777" w:rsidR="00C15F2E" w:rsidRPr="00D96063" w:rsidRDefault="00C15F2E" w:rsidP="007C1B3A">
            <w:pPr>
              <w:keepNext/>
              <w:keepLines/>
              <w:jc w:val="right"/>
              <w:rPr>
                <w:bCs/>
                <w:sz w:val="15"/>
                <w:szCs w:val="15"/>
              </w:rPr>
            </w:pPr>
            <w:r w:rsidRPr="00D96063">
              <w:rPr>
                <w:bCs/>
                <w:sz w:val="15"/>
                <w:szCs w:val="15"/>
              </w:rPr>
              <w:t>1,</w:t>
            </w:r>
            <w:r w:rsidRPr="00D96063">
              <w:rPr>
                <w:rFonts w:eastAsia="Times New Roman" w:cs="Arial"/>
                <w:bCs/>
                <w:sz w:val="15"/>
                <w:szCs w:val="15"/>
              </w:rPr>
              <w:t>804</w:t>
            </w:r>
          </w:p>
        </w:tc>
      </w:tr>
      <w:tr w:rsidR="00C15F2E" w:rsidRPr="00D96063" w14:paraId="200AE250" w14:textId="77777777" w:rsidTr="00B2548C">
        <w:tc>
          <w:tcPr>
            <w:tcW w:w="1334" w:type="pct"/>
            <w:noWrap/>
            <w:hideMark/>
          </w:tcPr>
          <w:p w14:paraId="4DD6E4B9" w14:textId="77777777" w:rsidR="00C15F2E" w:rsidRPr="00D96063" w:rsidRDefault="00C15F2E" w:rsidP="002C1DC3">
            <w:pPr>
              <w:keepNext/>
              <w:keepLines/>
              <w:jc w:val="left"/>
              <w:rPr>
                <w:sz w:val="15"/>
                <w:szCs w:val="15"/>
              </w:rPr>
            </w:pPr>
            <w:r w:rsidRPr="00D96063">
              <w:rPr>
                <w:sz w:val="15"/>
                <w:szCs w:val="15"/>
              </w:rPr>
              <w:t>Communication Service Tax</w:t>
            </w:r>
          </w:p>
        </w:tc>
        <w:tc>
          <w:tcPr>
            <w:tcW w:w="524" w:type="pct"/>
            <w:noWrap/>
            <w:hideMark/>
          </w:tcPr>
          <w:p w14:paraId="48116339" w14:textId="77777777" w:rsidR="00C15F2E" w:rsidRPr="00D96063" w:rsidRDefault="00C15F2E" w:rsidP="007C1B3A">
            <w:pPr>
              <w:keepNext/>
              <w:keepLines/>
              <w:jc w:val="right"/>
              <w:rPr>
                <w:bCs/>
                <w:sz w:val="15"/>
                <w:szCs w:val="15"/>
              </w:rPr>
            </w:pPr>
            <w:r w:rsidRPr="00D96063">
              <w:rPr>
                <w:bCs/>
                <w:sz w:val="15"/>
                <w:szCs w:val="15"/>
              </w:rPr>
              <w:t>217</w:t>
            </w:r>
          </w:p>
        </w:tc>
        <w:tc>
          <w:tcPr>
            <w:tcW w:w="524" w:type="pct"/>
            <w:noWrap/>
            <w:hideMark/>
          </w:tcPr>
          <w:p w14:paraId="5E186FA0" w14:textId="77777777" w:rsidR="00C15F2E" w:rsidRPr="00D96063" w:rsidRDefault="00C15F2E" w:rsidP="007C1B3A">
            <w:pPr>
              <w:keepNext/>
              <w:keepLines/>
              <w:jc w:val="right"/>
              <w:rPr>
                <w:bCs/>
                <w:sz w:val="15"/>
                <w:szCs w:val="15"/>
              </w:rPr>
            </w:pPr>
            <w:r w:rsidRPr="00D96063">
              <w:rPr>
                <w:bCs/>
                <w:sz w:val="15"/>
                <w:szCs w:val="15"/>
              </w:rPr>
              <w:t>252</w:t>
            </w:r>
          </w:p>
        </w:tc>
        <w:tc>
          <w:tcPr>
            <w:tcW w:w="524" w:type="pct"/>
            <w:noWrap/>
            <w:hideMark/>
          </w:tcPr>
          <w:p w14:paraId="6A7F38DF" w14:textId="77777777" w:rsidR="00C15F2E" w:rsidRPr="00D96063" w:rsidRDefault="00C15F2E" w:rsidP="007C1B3A">
            <w:pPr>
              <w:keepNext/>
              <w:keepLines/>
              <w:jc w:val="right"/>
              <w:rPr>
                <w:bCs/>
                <w:sz w:val="15"/>
                <w:szCs w:val="15"/>
              </w:rPr>
            </w:pPr>
            <w:r w:rsidRPr="00D96063">
              <w:rPr>
                <w:bCs/>
                <w:sz w:val="15"/>
                <w:szCs w:val="15"/>
              </w:rPr>
              <w:t>339</w:t>
            </w:r>
          </w:p>
        </w:tc>
        <w:tc>
          <w:tcPr>
            <w:tcW w:w="524" w:type="pct"/>
            <w:noWrap/>
            <w:hideMark/>
          </w:tcPr>
          <w:p w14:paraId="2DB5A47F" w14:textId="77777777" w:rsidR="00C15F2E" w:rsidRPr="00D96063" w:rsidRDefault="00C15F2E" w:rsidP="007C1B3A">
            <w:pPr>
              <w:keepNext/>
              <w:keepLines/>
              <w:jc w:val="right"/>
              <w:rPr>
                <w:bCs/>
                <w:sz w:val="15"/>
                <w:szCs w:val="15"/>
              </w:rPr>
            </w:pPr>
            <w:r w:rsidRPr="00D96063">
              <w:rPr>
                <w:bCs/>
                <w:sz w:val="15"/>
                <w:szCs w:val="15"/>
              </w:rPr>
              <w:t>329</w:t>
            </w:r>
          </w:p>
        </w:tc>
        <w:tc>
          <w:tcPr>
            <w:tcW w:w="524" w:type="pct"/>
            <w:noWrap/>
            <w:hideMark/>
          </w:tcPr>
          <w:p w14:paraId="2C745BAD" w14:textId="77777777" w:rsidR="00C15F2E" w:rsidRPr="00D96063" w:rsidRDefault="00C15F2E" w:rsidP="007C1B3A">
            <w:pPr>
              <w:keepNext/>
              <w:keepLines/>
              <w:jc w:val="right"/>
              <w:rPr>
                <w:bCs/>
                <w:sz w:val="15"/>
                <w:szCs w:val="15"/>
              </w:rPr>
            </w:pPr>
            <w:r w:rsidRPr="00D96063">
              <w:rPr>
                <w:bCs/>
                <w:sz w:val="15"/>
                <w:szCs w:val="15"/>
              </w:rPr>
              <w:t>420</w:t>
            </w:r>
          </w:p>
        </w:tc>
        <w:tc>
          <w:tcPr>
            <w:tcW w:w="524" w:type="pct"/>
            <w:noWrap/>
            <w:hideMark/>
          </w:tcPr>
          <w:p w14:paraId="06EDD6E4" w14:textId="77777777" w:rsidR="00C15F2E" w:rsidRPr="00D96063" w:rsidRDefault="00C15F2E" w:rsidP="007C1B3A">
            <w:pPr>
              <w:keepNext/>
              <w:keepLines/>
              <w:jc w:val="right"/>
              <w:rPr>
                <w:bCs/>
                <w:sz w:val="15"/>
                <w:szCs w:val="15"/>
              </w:rPr>
            </w:pPr>
            <w:r w:rsidRPr="00D96063">
              <w:rPr>
                <w:bCs/>
                <w:sz w:val="15"/>
                <w:szCs w:val="15"/>
              </w:rPr>
              <w:t>412</w:t>
            </w:r>
          </w:p>
        </w:tc>
        <w:tc>
          <w:tcPr>
            <w:tcW w:w="524" w:type="pct"/>
            <w:noWrap/>
            <w:hideMark/>
          </w:tcPr>
          <w:p w14:paraId="6D59908A" w14:textId="77777777" w:rsidR="00C15F2E" w:rsidRPr="00D96063" w:rsidRDefault="00C15F2E" w:rsidP="007C1B3A">
            <w:pPr>
              <w:keepNext/>
              <w:keepLines/>
              <w:jc w:val="right"/>
              <w:rPr>
                <w:bCs/>
                <w:sz w:val="15"/>
                <w:szCs w:val="15"/>
              </w:rPr>
            </w:pPr>
            <w:r w:rsidRPr="00D96063">
              <w:rPr>
                <w:bCs/>
                <w:sz w:val="15"/>
                <w:szCs w:val="15"/>
              </w:rPr>
              <w:t>559</w:t>
            </w:r>
          </w:p>
        </w:tc>
      </w:tr>
      <w:tr w:rsidR="00C15F2E" w:rsidRPr="00D96063" w14:paraId="2C580392"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5C98EB5B" w14:textId="77777777" w:rsidR="00C15F2E" w:rsidRPr="00D96063" w:rsidRDefault="00C15F2E" w:rsidP="002C1DC3">
            <w:pPr>
              <w:keepNext/>
              <w:keepLines/>
              <w:jc w:val="left"/>
              <w:rPr>
                <w:sz w:val="15"/>
                <w:szCs w:val="15"/>
              </w:rPr>
            </w:pPr>
            <w:r w:rsidRPr="00D96063">
              <w:rPr>
                <w:sz w:val="15"/>
                <w:szCs w:val="15"/>
              </w:rPr>
              <w:t>Ghana Education Trust Fund (GETFund) Levy</w:t>
            </w:r>
          </w:p>
        </w:tc>
        <w:tc>
          <w:tcPr>
            <w:tcW w:w="524" w:type="pct"/>
            <w:noWrap/>
            <w:hideMark/>
          </w:tcPr>
          <w:p w14:paraId="7189E928"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52C2A156"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0FB4392F"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10028ADB"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4C95B1AC" w14:textId="77777777" w:rsidR="00C15F2E" w:rsidRPr="00D96063" w:rsidRDefault="00C15F2E" w:rsidP="007C1B3A">
            <w:pPr>
              <w:keepNext/>
              <w:keepLines/>
              <w:jc w:val="right"/>
              <w:rPr>
                <w:bCs/>
                <w:sz w:val="15"/>
                <w:szCs w:val="15"/>
              </w:rPr>
            </w:pPr>
            <w:r w:rsidRPr="00D96063">
              <w:rPr>
                <w:bCs/>
                <w:sz w:val="15"/>
                <w:szCs w:val="15"/>
              </w:rPr>
              <w:t>555</w:t>
            </w:r>
          </w:p>
        </w:tc>
        <w:tc>
          <w:tcPr>
            <w:tcW w:w="524" w:type="pct"/>
            <w:noWrap/>
            <w:hideMark/>
          </w:tcPr>
          <w:p w14:paraId="25CE0394" w14:textId="77777777" w:rsidR="00C15F2E" w:rsidRPr="00D96063" w:rsidRDefault="00C15F2E" w:rsidP="007C1B3A">
            <w:pPr>
              <w:keepNext/>
              <w:keepLines/>
              <w:jc w:val="right"/>
              <w:rPr>
                <w:bCs/>
                <w:sz w:val="15"/>
                <w:szCs w:val="15"/>
              </w:rPr>
            </w:pPr>
            <w:r w:rsidRPr="00D96063">
              <w:rPr>
                <w:bCs/>
                <w:sz w:val="15"/>
                <w:szCs w:val="15"/>
              </w:rPr>
              <w:t>1,745</w:t>
            </w:r>
          </w:p>
        </w:tc>
        <w:tc>
          <w:tcPr>
            <w:tcW w:w="524" w:type="pct"/>
            <w:noWrap/>
            <w:hideMark/>
          </w:tcPr>
          <w:p w14:paraId="6B6C1469" w14:textId="77777777" w:rsidR="00C15F2E" w:rsidRPr="00D96063" w:rsidRDefault="00C15F2E" w:rsidP="007C1B3A">
            <w:pPr>
              <w:keepNext/>
              <w:keepLines/>
              <w:jc w:val="right"/>
              <w:rPr>
                <w:bCs/>
                <w:sz w:val="15"/>
                <w:szCs w:val="15"/>
              </w:rPr>
            </w:pPr>
            <w:r w:rsidRPr="00D96063">
              <w:rPr>
                <w:bCs/>
                <w:sz w:val="15"/>
                <w:szCs w:val="15"/>
              </w:rPr>
              <w:t>1,817</w:t>
            </w:r>
          </w:p>
        </w:tc>
      </w:tr>
      <w:tr w:rsidR="00C15F2E" w:rsidRPr="00D96063" w14:paraId="66CFCC5F" w14:textId="77777777" w:rsidTr="00B2548C">
        <w:tc>
          <w:tcPr>
            <w:tcW w:w="1334" w:type="pct"/>
            <w:noWrap/>
            <w:hideMark/>
          </w:tcPr>
          <w:p w14:paraId="478DC298" w14:textId="77777777" w:rsidR="00C15F2E" w:rsidRPr="00D96063" w:rsidRDefault="00C15F2E" w:rsidP="002C1DC3">
            <w:pPr>
              <w:keepNext/>
              <w:keepLines/>
              <w:jc w:val="left"/>
              <w:rPr>
                <w:b/>
                <w:sz w:val="15"/>
                <w:szCs w:val="15"/>
              </w:rPr>
            </w:pPr>
            <w:r w:rsidRPr="00D96063">
              <w:rPr>
                <w:b/>
                <w:sz w:val="15"/>
                <w:szCs w:val="15"/>
              </w:rPr>
              <w:t>Taxes on international trade</w:t>
            </w:r>
          </w:p>
        </w:tc>
        <w:tc>
          <w:tcPr>
            <w:tcW w:w="524" w:type="pct"/>
            <w:noWrap/>
            <w:hideMark/>
          </w:tcPr>
          <w:p w14:paraId="246F10CB" w14:textId="77777777" w:rsidR="00C15F2E" w:rsidRPr="00D96063" w:rsidRDefault="00C15F2E" w:rsidP="007C1B3A">
            <w:pPr>
              <w:keepNext/>
              <w:keepLines/>
              <w:jc w:val="right"/>
              <w:rPr>
                <w:bCs/>
                <w:sz w:val="15"/>
                <w:szCs w:val="15"/>
              </w:rPr>
            </w:pPr>
            <w:r w:rsidRPr="00D96063">
              <w:rPr>
                <w:rFonts w:eastAsia="Times New Roman" w:cs="Arial"/>
                <w:bCs/>
                <w:sz w:val="15"/>
                <w:szCs w:val="15"/>
              </w:rPr>
              <w:t>3,091</w:t>
            </w:r>
          </w:p>
        </w:tc>
        <w:tc>
          <w:tcPr>
            <w:tcW w:w="524" w:type="pct"/>
            <w:noWrap/>
            <w:hideMark/>
          </w:tcPr>
          <w:p w14:paraId="53E411D6" w14:textId="77777777" w:rsidR="00C15F2E" w:rsidRPr="00D96063" w:rsidRDefault="00C15F2E" w:rsidP="007C1B3A">
            <w:pPr>
              <w:keepNext/>
              <w:keepLines/>
              <w:jc w:val="right"/>
              <w:rPr>
                <w:bCs/>
                <w:sz w:val="15"/>
                <w:szCs w:val="15"/>
              </w:rPr>
            </w:pPr>
            <w:r w:rsidRPr="00D96063">
              <w:rPr>
                <w:rFonts w:eastAsia="Times New Roman" w:cs="Arial"/>
                <w:bCs/>
                <w:sz w:val="15"/>
                <w:szCs w:val="15"/>
              </w:rPr>
              <w:t>3,449</w:t>
            </w:r>
          </w:p>
        </w:tc>
        <w:tc>
          <w:tcPr>
            <w:tcW w:w="524" w:type="pct"/>
            <w:noWrap/>
            <w:hideMark/>
          </w:tcPr>
          <w:p w14:paraId="6F8D33A1" w14:textId="77777777" w:rsidR="00C15F2E" w:rsidRPr="00D96063" w:rsidRDefault="00C15F2E" w:rsidP="007C1B3A">
            <w:pPr>
              <w:keepNext/>
              <w:keepLines/>
              <w:jc w:val="right"/>
              <w:rPr>
                <w:bCs/>
                <w:sz w:val="15"/>
                <w:szCs w:val="15"/>
              </w:rPr>
            </w:pPr>
            <w:r w:rsidRPr="00D96063">
              <w:rPr>
                <w:bCs/>
                <w:sz w:val="15"/>
                <w:szCs w:val="15"/>
              </w:rPr>
              <w:t>4,390</w:t>
            </w:r>
          </w:p>
        </w:tc>
        <w:tc>
          <w:tcPr>
            <w:tcW w:w="524" w:type="pct"/>
            <w:noWrap/>
            <w:hideMark/>
          </w:tcPr>
          <w:p w14:paraId="17028F1E" w14:textId="77777777" w:rsidR="00C15F2E" w:rsidRPr="00D96063" w:rsidRDefault="00C15F2E" w:rsidP="007C1B3A">
            <w:pPr>
              <w:keepNext/>
              <w:keepLines/>
              <w:jc w:val="right"/>
              <w:rPr>
                <w:bCs/>
                <w:sz w:val="15"/>
                <w:szCs w:val="15"/>
              </w:rPr>
            </w:pPr>
            <w:r w:rsidRPr="00D96063">
              <w:rPr>
                <w:bCs/>
                <w:sz w:val="15"/>
                <w:szCs w:val="15"/>
              </w:rPr>
              <w:t>5,485</w:t>
            </w:r>
          </w:p>
        </w:tc>
        <w:tc>
          <w:tcPr>
            <w:tcW w:w="524" w:type="pct"/>
            <w:noWrap/>
            <w:hideMark/>
          </w:tcPr>
          <w:p w14:paraId="58392D77" w14:textId="77777777" w:rsidR="00C15F2E" w:rsidRPr="00D96063" w:rsidRDefault="00C15F2E" w:rsidP="007C1B3A">
            <w:pPr>
              <w:keepNext/>
              <w:keepLines/>
              <w:jc w:val="right"/>
              <w:rPr>
                <w:bCs/>
                <w:sz w:val="15"/>
                <w:szCs w:val="15"/>
              </w:rPr>
            </w:pPr>
            <w:r w:rsidRPr="00D96063">
              <w:rPr>
                <w:bCs/>
                <w:sz w:val="15"/>
                <w:szCs w:val="15"/>
              </w:rPr>
              <w:t>6,102</w:t>
            </w:r>
          </w:p>
        </w:tc>
        <w:tc>
          <w:tcPr>
            <w:tcW w:w="524" w:type="pct"/>
            <w:noWrap/>
            <w:hideMark/>
          </w:tcPr>
          <w:p w14:paraId="24921795" w14:textId="77777777" w:rsidR="00C15F2E" w:rsidRPr="00D96063" w:rsidRDefault="00C15F2E" w:rsidP="007C1B3A">
            <w:pPr>
              <w:keepNext/>
              <w:keepLines/>
              <w:jc w:val="right"/>
              <w:rPr>
                <w:bCs/>
                <w:sz w:val="15"/>
                <w:szCs w:val="15"/>
              </w:rPr>
            </w:pPr>
            <w:r w:rsidRPr="00D96063">
              <w:rPr>
                <w:bCs/>
                <w:sz w:val="15"/>
                <w:szCs w:val="15"/>
              </w:rPr>
              <w:t>5,410</w:t>
            </w:r>
          </w:p>
        </w:tc>
        <w:tc>
          <w:tcPr>
            <w:tcW w:w="524" w:type="pct"/>
            <w:noWrap/>
            <w:hideMark/>
          </w:tcPr>
          <w:p w14:paraId="139F7172" w14:textId="77777777" w:rsidR="00C15F2E" w:rsidRPr="00D96063" w:rsidRDefault="00C15F2E" w:rsidP="007C1B3A">
            <w:pPr>
              <w:keepNext/>
              <w:keepLines/>
              <w:jc w:val="right"/>
              <w:rPr>
                <w:bCs/>
                <w:sz w:val="15"/>
                <w:szCs w:val="15"/>
              </w:rPr>
            </w:pPr>
            <w:r w:rsidRPr="00D96063">
              <w:rPr>
                <w:bCs/>
                <w:sz w:val="15"/>
                <w:szCs w:val="15"/>
              </w:rPr>
              <w:t>5,514</w:t>
            </w:r>
          </w:p>
        </w:tc>
      </w:tr>
      <w:tr w:rsidR="00C15F2E" w:rsidRPr="00D96063" w14:paraId="61A704D4"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4CE04DED" w14:textId="77777777" w:rsidR="00C15F2E" w:rsidRPr="00D96063" w:rsidRDefault="00C15F2E" w:rsidP="002C1DC3">
            <w:pPr>
              <w:keepNext/>
              <w:keepLines/>
              <w:jc w:val="left"/>
              <w:rPr>
                <w:sz w:val="15"/>
                <w:szCs w:val="15"/>
              </w:rPr>
            </w:pPr>
            <w:r w:rsidRPr="00D96063">
              <w:rPr>
                <w:sz w:val="15"/>
                <w:szCs w:val="15"/>
              </w:rPr>
              <w:t>Import duty</w:t>
            </w:r>
          </w:p>
        </w:tc>
        <w:tc>
          <w:tcPr>
            <w:tcW w:w="524" w:type="pct"/>
            <w:noWrap/>
            <w:hideMark/>
          </w:tcPr>
          <w:p w14:paraId="541A48C6" w14:textId="77777777" w:rsidR="00C15F2E" w:rsidRPr="00D96063" w:rsidRDefault="00C15F2E" w:rsidP="007C1B3A">
            <w:pPr>
              <w:keepNext/>
              <w:keepLines/>
              <w:jc w:val="right"/>
              <w:rPr>
                <w:bCs/>
                <w:sz w:val="15"/>
                <w:szCs w:val="15"/>
              </w:rPr>
            </w:pPr>
            <w:r w:rsidRPr="00D96063">
              <w:rPr>
                <w:bCs/>
                <w:sz w:val="15"/>
                <w:szCs w:val="15"/>
              </w:rPr>
              <w:t>2,773</w:t>
            </w:r>
          </w:p>
        </w:tc>
        <w:tc>
          <w:tcPr>
            <w:tcW w:w="524" w:type="pct"/>
            <w:noWrap/>
            <w:hideMark/>
          </w:tcPr>
          <w:p w14:paraId="0F66BF4E" w14:textId="77777777" w:rsidR="00C15F2E" w:rsidRPr="00D96063" w:rsidRDefault="00C15F2E" w:rsidP="007C1B3A">
            <w:pPr>
              <w:keepNext/>
              <w:keepLines/>
              <w:jc w:val="right"/>
              <w:rPr>
                <w:bCs/>
                <w:sz w:val="15"/>
                <w:szCs w:val="15"/>
              </w:rPr>
            </w:pPr>
            <w:r w:rsidRPr="00D96063">
              <w:rPr>
                <w:bCs/>
                <w:sz w:val="15"/>
                <w:szCs w:val="15"/>
              </w:rPr>
              <w:t>3,078</w:t>
            </w:r>
          </w:p>
        </w:tc>
        <w:tc>
          <w:tcPr>
            <w:tcW w:w="524" w:type="pct"/>
            <w:noWrap/>
            <w:hideMark/>
          </w:tcPr>
          <w:p w14:paraId="73C5D1F9" w14:textId="77777777" w:rsidR="00C15F2E" w:rsidRPr="00D96063" w:rsidRDefault="00C15F2E" w:rsidP="007C1B3A">
            <w:pPr>
              <w:keepNext/>
              <w:keepLines/>
              <w:jc w:val="right"/>
              <w:rPr>
                <w:bCs/>
                <w:sz w:val="15"/>
                <w:szCs w:val="15"/>
              </w:rPr>
            </w:pPr>
            <w:r w:rsidRPr="00D96063">
              <w:rPr>
                <w:bCs/>
                <w:sz w:val="15"/>
                <w:szCs w:val="15"/>
              </w:rPr>
              <w:t>4,122</w:t>
            </w:r>
          </w:p>
        </w:tc>
        <w:tc>
          <w:tcPr>
            <w:tcW w:w="524" w:type="pct"/>
            <w:noWrap/>
            <w:hideMark/>
          </w:tcPr>
          <w:p w14:paraId="071537F8" w14:textId="77777777" w:rsidR="00C15F2E" w:rsidRPr="00D96063" w:rsidRDefault="00C15F2E" w:rsidP="007C1B3A">
            <w:pPr>
              <w:keepNext/>
              <w:keepLines/>
              <w:jc w:val="right"/>
              <w:rPr>
                <w:bCs/>
                <w:sz w:val="15"/>
                <w:szCs w:val="15"/>
              </w:rPr>
            </w:pPr>
            <w:r w:rsidRPr="00D96063">
              <w:rPr>
                <w:bCs/>
                <w:sz w:val="15"/>
                <w:szCs w:val="15"/>
              </w:rPr>
              <w:t>5,485</w:t>
            </w:r>
          </w:p>
        </w:tc>
        <w:tc>
          <w:tcPr>
            <w:tcW w:w="524" w:type="pct"/>
            <w:noWrap/>
            <w:hideMark/>
          </w:tcPr>
          <w:p w14:paraId="5410D7F8" w14:textId="77777777" w:rsidR="00C15F2E" w:rsidRPr="00D96063" w:rsidRDefault="00C15F2E" w:rsidP="007C1B3A">
            <w:pPr>
              <w:keepNext/>
              <w:keepLines/>
              <w:jc w:val="right"/>
              <w:rPr>
                <w:bCs/>
                <w:sz w:val="15"/>
                <w:szCs w:val="15"/>
              </w:rPr>
            </w:pPr>
            <w:r w:rsidRPr="00D96063">
              <w:rPr>
                <w:bCs/>
                <w:sz w:val="15"/>
                <w:szCs w:val="15"/>
              </w:rPr>
              <w:t>6,102</w:t>
            </w:r>
          </w:p>
        </w:tc>
        <w:tc>
          <w:tcPr>
            <w:tcW w:w="524" w:type="pct"/>
            <w:noWrap/>
            <w:hideMark/>
          </w:tcPr>
          <w:p w14:paraId="253A2BBF" w14:textId="77777777" w:rsidR="00C15F2E" w:rsidRPr="00D96063" w:rsidRDefault="00C15F2E" w:rsidP="007C1B3A">
            <w:pPr>
              <w:keepNext/>
              <w:keepLines/>
              <w:jc w:val="right"/>
              <w:rPr>
                <w:bCs/>
                <w:sz w:val="15"/>
                <w:szCs w:val="15"/>
              </w:rPr>
            </w:pPr>
            <w:r w:rsidRPr="00D96063">
              <w:rPr>
                <w:bCs/>
                <w:sz w:val="15"/>
                <w:szCs w:val="15"/>
              </w:rPr>
              <w:t>5,410</w:t>
            </w:r>
          </w:p>
        </w:tc>
        <w:tc>
          <w:tcPr>
            <w:tcW w:w="524" w:type="pct"/>
            <w:noWrap/>
            <w:hideMark/>
          </w:tcPr>
          <w:p w14:paraId="43AD1262" w14:textId="77777777" w:rsidR="00C15F2E" w:rsidRPr="00D96063" w:rsidRDefault="00C15F2E" w:rsidP="007C1B3A">
            <w:pPr>
              <w:keepNext/>
              <w:keepLines/>
              <w:jc w:val="right"/>
              <w:rPr>
                <w:bCs/>
                <w:sz w:val="15"/>
                <w:szCs w:val="15"/>
              </w:rPr>
            </w:pPr>
            <w:r w:rsidRPr="00D96063">
              <w:rPr>
                <w:bCs/>
                <w:sz w:val="15"/>
                <w:szCs w:val="15"/>
              </w:rPr>
              <w:t>5,514</w:t>
            </w:r>
          </w:p>
        </w:tc>
      </w:tr>
      <w:tr w:rsidR="00C15F2E" w:rsidRPr="00D96063" w14:paraId="536C2A25" w14:textId="77777777" w:rsidTr="00B2548C">
        <w:tc>
          <w:tcPr>
            <w:tcW w:w="1334" w:type="pct"/>
            <w:noWrap/>
            <w:hideMark/>
          </w:tcPr>
          <w:p w14:paraId="5F7120F1" w14:textId="77777777" w:rsidR="00C15F2E" w:rsidRPr="00D96063" w:rsidRDefault="00C15F2E" w:rsidP="002C1DC3">
            <w:pPr>
              <w:keepNext/>
              <w:keepLines/>
              <w:jc w:val="left"/>
              <w:rPr>
                <w:sz w:val="15"/>
                <w:szCs w:val="15"/>
              </w:rPr>
            </w:pPr>
            <w:r w:rsidRPr="00D96063">
              <w:rPr>
                <w:sz w:val="15"/>
                <w:szCs w:val="15"/>
              </w:rPr>
              <w:t>Export duty on cocoa</w:t>
            </w:r>
          </w:p>
        </w:tc>
        <w:tc>
          <w:tcPr>
            <w:tcW w:w="524" w:type="pct"/>
            <w:noWrap/>
            <w:hideMark/>
          </w:tcPr>
          <w:p w14:paraId="120994EC" w14:textId="77777777" w:rsidR="00C15F2E" w:rsidRPr="00D96063" w:rsidRDefault="00C15F2E" w:rsidP="007C1B3A">
            <w:pPr>
              <w:keepNext/>
              <w:keepLines/>
              <w:jc w:val="right"/>
              <w:rPr>
                <w:bCs/>
                <w:sz w:val="15"/>
                <w:szCs w:val="15"/>
              </w:rPr>
            </w:pPr>
            <w:r w:rsidRPr="00D96063">
              <w:rPr>
                <w:bCs/>
                <w:sz w:val="15"/>
                <w:szCs w:val="15"/>
              </w:rPr>
              <w:t>319</w:t>
            </w:r>
          </w:p>
        </w:tc>
        <w:tc>
          <w:tcPr>
            <w:tcW w:w="524" w:type="pct"/>
            <w:noWrap/>
            <w:hideMark/>
          </w:tcPr>
          <w:p w14:paraId="14A2CD45" w14:textId="77777777" w:rsidR="00C15F2E" w:rsidRPr="00D96063" w:rsidRDefault="00C15F2E" w:rsidP="007C1B3A">
            <w:pPr>
              <w:keepNext/>
              <w:keepLines/>
              <w:jc w:val="right"/>
              <w:rPr>
                <w:bCs/>
                <w:sz w:val="15"/>
                <w:szCs w:val="15"/>
              </w:rPr>
            </w:pPr>
            <w:r w:rsidRPr="00D96063">
              <w:rPr>
                <w:bCs/>
                <w:sz w:val="15"/>
                <w:szCs w:val="15"/>
              </w:rPr>
              <w:t>371</w:t>
            </w:r>
          </w:p>
        </w:tc>
        <w:tc>
          <w:tcPr>
            <w:tcW w:w="524" w:type="pct"/>
            <w:noWrap/>
            <w:hideMark/>
          </w:tcPr>
          <w:p w14:paraId="44A997FF" w14:textId="77777777" w:rsidR="00C15F2E" w:rsidRPr="00D96063" w:rsidRDefault="00C15F2E" w:rsidP="007C1B3A">
            <w:pPr>
              <w:keepNext/>
              <w:keepLines/>
              <w:jc w:val="right"/>
              <w:rPr>
                <w:bCs/>
                <w:sz w:val="15"/>
                <w:szCs w:val="15"/>
              </w:rPr>
            </w:pPr>
            <w:r w:rsidRPr="00D96063">
              <w:rPr>
                <w:rFonts w:eastAsia="Times New Roman" w:cs="Arial"/>
                <w:bCs/>
                <w:sz w:val="15"/>
                <w:szCs w:val="15"/>
              </w:rPr>
              <w:t>n.a.</w:t>
            </w:r>
          </w:p>
        </w:tc>
        <w:tc>
          <w:tcPr>
            <w:tcW w:w="524" w:type="pct"/>
            <w:noWrap/>
            <w:hideMark/>
          </w:tcPr>
          <w:p w14:paraId="3938F9DD" w14:textId="77777777" w:rsidR="00C15F2E" w:rsidRPr="00D96063" w:rsidRDefault="00C15F2E" w:rsidP="007C1B3A">
            <w:pPr>
              <w:keepNext/>
              <w:keepLines/>
              <w:jc w:val="right"/>
              <w:rPr>
                <w:bCs/>
                <w:sz w:val="15"/>
                <w:szCs w:val="15"/>
              </w:rPr>
            </w:pPr>
            <w:r w:rsidRPr="00D96063">
              <w:rPr>
                <w:rFonts w:eastAsia="Times New Roman" w:cs="Arial"/>
                <w:bCs/>
                <w:sz w:val="15"/>
                <w:szCs w:val="15"/>
              </w:rPr>
              <w:t>n.a.</w:t>
            </w:r>
          </w:p>
        </w:tc>
        <w:tc>
          <w:tcPr>
            <w:tcW w:w="524" w:type="pct"/>
            <w:noWrap/>
            <w:hideMark/>
          </w:tcPr>
          <w:p w14:paraId="59D66029" w14:textId="77777777" w:rsidR="00C15F2E" w:rsidRPr="00D96063" w:rsidRDefault="00C15F2E" w:rsidP="007C1B3A">
            <w:pPr>
              <w:keepNext/>
              <w:keepLines/>
              <w:jc w:val="right"/>
              <w:rPr>
                <w:bCs/>
                <w:sz w:val="15"/>
                <w:szCs w:val="15"/>
              </w:rPr>
            </w:pPr>
            <w:r w:rsidRPr="00D96063">
              <w:rPr>
                <w:rFonts w:eastAsia="Times New Roman" w:cs="Arial"/>
                <w:bCs/>
                <w:sz w:val="15"/>
                <w:szCs w:val="15"/>
              </w:rPr>
              <w:t>n.a.</w:t>
            </w:r>
          </w:p>
        </w:tc>
        <w:tc>
          <w:tcPr>
            <w:tcW w:w="524" w:type="pct"/>
            <w:noWrap/>
            <w:hideMark/>
          </w:tcPr>
          <w:p w14:paraId="1033ECAC"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330B4BEA"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r>
      <w:tr w:rsidR="00C15F2E" w:rsidRPr="00D96063" w14:paraId="2D5E8DB1"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7799BAFC" w14:textId="77777777" w:rsidR="00C15F2E" w:rsidRPr="00D96063" w:rsidRDefault="00C15F2E" w:rsidP="002C1DC3">
            <w:pPr>
              <w:keepNext/>
              <w:keepLines/>
              <w:jc w:val="left"/>
              <w:rPr>
                <w:sz w:val="15"/>
                <w:szCs w:val="15"/>
              </w:rPr>
            </w:pPr>
            <w:r w:rsidRPr="00D96063">
              <w:rPr>
                <w:sz w:val="15"/>
                <w:szCs w:val="15"/>
              </w:rPr>
              <w:t>Import exemptions</w:t>
            </w:r>
          </w:p>
        </w:tc>
        <w:tc>
          <w:tcPr>
            <w:tcW w:w="524" w:type="pct"/>
            <w:noWrap/>
            <w:hideMark/>
          </w:tcPr>
          <w:p w14:paraId="5FA744D0" w14:textId="77777777" w:rsidR="00C15F2E" w:rsidRPr="00D96063" w:rsidRDefault="00C15F2E" w:rsidP="007C1B3A">
            <w:pPr>
              <w:keepNext/>
              <w:keepLines/>
              <w:jc w:val="right"/>
              <w:rPr>
                <w:bCs/>
                <w:sz w:val="15"/>
                <w:szCs w:val="15"/>
              </w:rPr>
            </w:pPr>
            <w:r w:rsidRPr="00D96063">
              <w:rPr>
                <w:bCs/>
                <w:sz w:val="15"/>
                <w:szCs w:val="15"/>
              </w:rPr>
              <w:t>1,</w:t>
            </w:r>
            <w:r w:rsidRPr="00D96063">
              <w:rPr>
                <w:rFonts w:eastAsia="Times New Roman" w:cs="Arial"/>
                <w:bCs/>
                <w:sz w:val="15"/>
                <w:szCs w:val="15"/>
              </w:rPr>
              <w:t>218</w:t>
            </w:r>
          </w:p>
        </w:tc>
        <w:tc>
          <w:tcPr>
            <w:tcW w:w="524" w:type="pct"/>
            <w:noWrap/>
            <w:hideMark/>
          </w:tcPr>
          <w:p w14:paraId="2F07D5BA" w14:textId="77777777" w:rsidR="00C15F2E" w:rsidRPr="00D96063" w:rsidRDefault="00C15F2E" w:rsidP="007C1B3A">
            <w:pPr>
              <w:keepNext/>
              <w:keepLines/>
              <w:jc w:val="right"/>
              <w:rPr>
                <w:bCs/>
                <w:sz w:val="15"/>
                <w:szCs w:val="15"/>
              </w:rPr>
            </w:pPr>
            <w:r w:rsidRPr="00D96063">
              <w:rPr>
                <w:bCs/>
                <w:sz w:val="15"/>
                <w:szCs w:val="15"/>
              </w:rPr>
              <w:t>2,</w:t>
            </w:r>
            <w:r w:rsidRPr="00D96063">
              <w:rPr>
                <w:rFonts w:eastAsia="Times New Roman" w:cs="Arial"/>
                <w:bCs/>
                <w:sz w:val="15"/>
                <w:szCs w:val="15"/>
              </w:rPr>
              <w:t>059</w:t>
            </w:r>
          </w:p>
        </w:tc>
        <w:tc>
          <w:tcPr>
            <w:tcW w:w="524" w:type="pct"/>
            <w:noWrap/>
            <w:hideMark/>
          </w:tcPr>
          <w:p w14:paraId="5A9F0534"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2197846B"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4CBFBF42"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73191E44"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25AB07FF"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r>
      <w:tr w:rsidR="00C15F2E" w:rsidRPr="00D96063" w14:paraId="1DAD0189" w14:textId="77777777" w:rsidTr="00B2548C">
        <w:tc>
          <w:tcPr>
            <w:tcW w:w="1334" w:type="pct"/>
            <w:noWrap/>
            <w:hideMark/>
          </w:tcPr>
          <w:p w14:paraId="1F6E80CA" w14:textId="77777777" w:rsidR="00C15F2E" w:rsidRPr="00D96063" w:rsidRDefault="00C15F2E" w:rsidP="002C1DC3">
            <w:pPr>
              <w:keepNext/>
              <w:keepLines/>
              <w:ind w:left="284" w:hanging="284"/>
              <w:jc w:val="left"/>
              <w:rPr>
                <w:b/>
                <w:sz w:val="15"/>
                <w:szCs w:val="15"/>
              </w:rPr>
            </w:pPr>
            <w:r w:rsidRPr="00D96063">
              <w:rPr>
                <w:b/>
                <w:sz w:val="15"/>
                <w:szCs w:val="15"/>
              </w:rPr>
              <w:t>Tax refund</w:t>
            </w:r>
          </w:p>
        </w:tc>
        <w:tc>
          <w:tcPr>
            <w:tcW w:w="524" w:type="pct"/>
            <w:noWrap/>
            <w:hideMark/>
          </w:tcPr>
          <w:p w14:paraId="6D4F95C7" w14:textId="77777777" w:rsidR="00C15F2E" w:rsidRPr="00D96063" w:rsidRDefault="00C15F2E" w:rsidP="007C1B3A">
            <w:pPr>
              <w:keepNext/>
              <w:keepLines/>
              <w:jc w:val="right"/>
              <w:rPr>
                <w:bCs/>
                <w:sz w:val="15"/>
                <w:szCs w:val="15"/>
              </w:rPr>
            </w:pPr>
            <w:r w:rsidRPr="00D96063">
              <w:rPr>
                <w:rFonts w:eastAsia="Times New Roman" w:cs="Arial"/>
                <w:bCs/>
                <w:sz w:val="15"/>
                <w:szCs w:val="15"/>
              </w:rPr>
              <w:t>-157</w:t>
            </w:r>
          </w:p>
        </w:tc>
        <w:tc>
          <w:tcPr>
            <w:tcW w:w="524" w:type="pct"/>
            <w:noWrap/>
            <w:hideMark/>
          </w:tcPr>
          <w:p w14:paraId="2131EFAD" w14:textId="77777777" w:rsidR="00C15F2E" w:rsidRPr="00D96063" w:rsidRDefault="00C15F2E" w:rsidP="007C1B3A">
            <w:pPr>
              <w:keepNext/>
              <w:keepLines/>
              <w:jc w:val="right"/>
              <w:rPr>
                <w:bCs/>
                <w:sz w:val="15"/>
                <w:szCs w:val="15"/>
              </w:rPr>
            </w:pPr>
            <w:r w:rsidRPr="00D96063">
              <w:rPr>
                <w:rFonts w:eastAsia="Times New Roman" w:cs="Arial"/>
                <w:bCs/>
                <w:sz w:val="15"/>
                <w:szCs w:val="15"/>
              </w:rPr>
              <w:t>-627</w:t>
            </w:r>
          </w:p>
        </w:tc>
        <w:tc>
          <w:tcPr>
            <w:tcW w:w="524" w:type="pct"/>
            <w:noWrap/>
            <w:hideMark/>
          </w:tcPr>
          <w:p w14:paraId="13C48768" w14:textId="77777777" w:rsidR="00C15F2E" w:rsidRPr="00D96063" w:rsidRDefault="00C15F2E" w:rsidP="007C1B3A">
            <w:pPr>
              <w:keepNext/>
              <w:keepLines/>
              <w:jc w:val="right"/>
              <w:rPr>
                <w:bCs/>
                <w:sz w:val="15"/>
                <w:szCs w:val="15"/>
              </w:rPr>
            </w:pPr>
            <w:r w:rsidRPr="00D96063">
              <w:rPr>
                <w:rFonts w:eastAsia="Times New Roman" w:cs="Arial"/>
                <w:bCs/>
                <w:sz w:val="15"/>
                <w:szCs w:val="15"/>
              </w:rPr>
              <w:t>-1,445</w:t>
            </w:r>
          </w:p>
        </w:tc>
        <w:tc>
          <w:tcPr>
            <w:tcW w:w="524" w:type="pct"/>
            <w:noWrap/>
            <w:hideMark/>
          </w:tcPr>
          <w:p w14:paraId="758B6629" w14:textId="77777777" w:rsidR="00C15F2E" w:rsidRPr="00D96063" w:rsidRDefault="00C15F2E" w:rsidP="007C1B3A">
            <w:pPr>
              <w:keepNext/>
              <w:keepLines/>
              <w:jc w:val="right"/>
              <w:rPr>
                <w:bCs/>
                <w:sz w:val="15"/>
                <w:szCs w:val="15"/>
              </w:rPr>
            </w:pPr>
            <w:r w:rsidRPr="00D96063">
              <w:rPr>
                <w:rFonts w:eastAsia="Times New Roman" w:cs="Arial"/>
                <w:bCs/>
                <w:sz w:val="15"/>
                <w:szCs w:val="15"/>
              </w:rPr>
              <w:t>-1,803</w:t>
            </w:r>
          </w:p>
        </w:tc>
        <w:tc>
          <w:tcPr>
            <w:tcW w:w="524" w:type="pct"/>
            <w:noWrap/>
            <w:hideMark/>
          </w:tcPr>
          <w:p w14:paraId="7FDB3ABC" w14:textId="77777777" w:rsidR="00C15F2E" w:rsidRPr="00D96063" w:rsidRDefault="00C15F2E" w:rsidP="007C1B3A">
            <w:pPr>
              <w:keepNext/>
              <w:keepLines/>
              <w:jc w:val="right"/>
              <w:rPr>
                <w:bCs/>
                <w:sz w:val="15"/>
                <w:szCs w:val="15"/>
              </w:rPr>
            </w:pPr>
            <w:r w:rsidRPr="00D96063">
              <w:rPr>
                <w:bCs/>
                <w:sz w:val="15"/>
                <w:szCs w:val="15"/>
              </w:rPr>
              <w:t>-2,125</w:t>
            </w:r>
          </w:p>
        </w:tc>
        <w:tc>
          <w:tcPr>
            <w:tcW w:w="524" w:type="pct"/>
            <w:noWrap/>
            <w:hideMark/>
          </w:tcPr>
          <w:p w14:paraId="18694AA4" w14:textId="77777777" w:rsidR="00C15F2E" w:rsidRPr="00D96063" w:rsidRDefault="00C15F2E" w:rsidP="007C1B3A">
            <w:pPr>
              <w:keepNext/>
              <w:keepLines/>
              <w:jc w:val="right"/>
              <w:rPr>
                <w:bCs/>
                <w:sz w:val="15"/>
                <w:szCs w:val="15"/>
              </w:rPr>
            </w:pPr>
            <w:r w:rsidRPr="00D96063">
              <w:rPr>
                <w:bCs/>
                <w:sz w:val="15"/>
                <w:szCs w:val="15"/>
              </w:rPr>
              <w:t>-2,470</w:t>
            </w:r>
          </w:p>
        </w:tc>
        <w:tc>
          <w:tcPr>
            <w:tcW w:w="524" w:type="pct"/>
            <w:noWrap/>
            <w:hideMark/>
          </w:tcPr>
          <w:p w14:paraId="1A61314C" w14:textId="77777777" w:rsidR="00C15F2E" w:rsidRPr="00D96063" w:rsidRDefault="00C15F2E" w:rsidP="007C1B3A">
            <w:pPr>
              <w:keepNext/>
              <w:keepLines/>
              <w:jc w:val="right"/>
              <w:rPr>
                <w:bCs/>
                <w:sz w:val="15"/>
                <w:szCs w:val="15"/>
              </w:rPr>
            </w:pPr>
            <w:r w:rsidRPr="00D96063">
              <w:rPr>
                <w:bCs/>
                <w:sz w:val="15"/>
                <w:szCs w:val="15"/>
              </w:rPr>
              <w:t>-2,587</w:t>
            </w:r>
          </w:p>
        </w:tc>
      </w:tr>
      <w:tr w:rsidR="00C15F2E" w:rsidRPr="00D96063" w14:paraId="22D5AA42"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11209ED8" w14:textId="77777777" w:rsidR="00C15F2E" w:rsidRPr="00D96063" w:rsidRDefault="00C15F2E" w:rsidP="002C1DC3">
            <w:pPr>
              <w:keepNext/>
              <w:keepLines/>
              <w:jc w:val="left"/>
              <w:rPr>
                <w:b/>
                <w:sz w:val="15"/>
                <w:szCs w:val="15"/>
              </w:rPr>
            </w:pPr>
            <w:r w:rsidRPr="00D96063">
              <w:rPr>
                <w:b/>
                <w:sz w:val="15"/>
                <w:szCs w:val="15"/>
              </w:rPr>
              <w:t>Other revenue</w:t>
            </w:r>
          </w:p>
        </w:tc>
        <w:tc>
          <w:tcPr>
            <w:tcW w:w="524" w:type="pct"/>
            <w:noWrap/>
          </w:tcPr>
          <w:p w14:paraId="2B7A6F2E" w14:textId="77777777" w:rsidR="00C15F2E" w:rsidRPr="00D96063" w:rsidRDefault="00C15F2E" w:rsidP="007C1B3A">
            <w:pPr>
              <w:keepNext/>
              <w:keepLines/>
              <w:jc w:val="right"/>
              <w:rPr>
                <w:bCs/>
                <w:sz w:val="15"/>
                <w:szCs w:val="15"/>
              </w:rPr>
            </w:pPr>
          </w:p>
        </w:tc>
        <w:tc>
          <w:tcPr>
            <w:tcW w:w="524" w:type="pct"/>
            <w:noWrap/>
          </w:tcPr>
          <w:p w14:paraId="1307FFB8" w14:textId="77777777" w:rsidR="00C15F2E" w:rsidRPr="00D96063" w:rsidRDefault="00C15F2E" w:rsidP="007C1B3A">
            <w:pPr>
              <w:keepNext/>
              <w:keepLines/>
              <w:jc w:val="right"/>
              <w:rPr>
                <w:bCs/>
                <w:sz w:val="15"/>
                <w:szCs w:val="15"/>
              </w:rPr>
            </w:pPr>
          </w:p>
        </w:tc>
        <w:tc>
          <w:tcPr>
            <w:tcW w:w="524" w:type="pct"/>
            <w:noWrap/>
          </w:tcPr>
          <w:p w14:paraId="34E9FEAD" w14:textId="77777777" w:rsidR="00C15F2E" w:rsidRPr="00D96063" w:rsidRDefault="00C15F2E" w:rsidP="007C1B3A">
            <w:pPr>
              <w:keepNext/>
              <w:keepLines/>
              <w:jc w:val="right"/>
              <w:rPr>
                <w:bCs/>
                <w:sz w:val="15"/>
                <w:szCs w:val="15"/>
              </w:rPr>
            </w:pPr>
          </w:p>
        </w:tc>
        <w:tc>
          <w:tcPr>
            <w:tcW w:w="524" w:type="pct"/>
            <w:noWrap/>
          </w:tcPr>
          <w:p w14:paraId="0FDBFB9B" w14:textId="77777777" w:rsidR="00C15F2E" w:rsidRPr="00D96063" w:rsidRDefault="00C15F2E" w:rsidP="007C1B3A">
            <w:pPr>
              <w:keepNext/>
              <w:keepLines/>
              <w:jc w:val="right"/>
              <w:rPr>
                <w:bCs/>
                <w:sz w:val="15"/>
                <w:szCs w:val="15"/>
              </w:rPr>
            </w:pPr>
          </w:p>
        </w:tc>
        <w:tc>
          <w:tcPr>
            <w:tcW w:w="524" w:type="pct"/>
            <w:noWrap/>
          </w:tcPr>
          <w:p w14:paraId="05502B19" w14:textId="77777777" w:rsidR="00C15F2E" w:rsidRPr="00D96063" w:rsidRDefault="00C15F2E" w:rsidP="007C1B3A">
            <w:pPr>
              <w:keepNext/>
              <w:keepLines/>
              <w:jc w:val="right"/>
              <w:rPr>
                <w:bCs/>
                <w:sz w:val="15"/>
                <w:szCs w:val="15"/>
              </w:rPr>
            </w:pPr>
          </w:p>
        </w:tc>
        <w:tc>
          <w:tcPr>
            <w:tcW w:w="524" w:type="pct"/>
            <w:noWrap/>
          </w:tcPr>
          <w:p w14:paraId="6F9223FD" w14:textId="77777777" w:rsidR="00C15F2E" w:rsidRPr="00D96063" w:rsidRDefault="00C15F2E" w:rsidP="007C1B3A">
            <w:pPr>
              <w:keepNext/>
              <w:keepLines/>
              <w:jc w:val="right"/>
              <w:rPr>
                <w:bCs/>
                <w:sz w:val="15"/>
                <w:szCs w:val="15"/>
              </w:rPr>
            </w:pPr>
          </w:p>
        </w:tc>
        <w:tc>
          <w:tcPr>
            <w:tcW w:w="524" w:type="pct"/>
            <w:noWrap/>
          </w:tcPr>
          <w:p w14:paraId="547B8CCE" w14:textId="77777777" w:rsidR="00C15F2E" w:rsidRPr="00D96063" w:rsidRDefault="00C15F2E" w:rsidP="007C1B3A">
            <w:pPr>
              <w:keepNext/>
              <w:keepLines/>
              <w:jc w:val="right"/>
              <w:rPr>
                <w:bCs/>
                <w:sz w:val="15"/>
                <w:szCs w:val="15"/>
              </w:rPr>
            </w:pPr>
          </w:p>
        </w:tc>
      </w:tr>
      <w:tr w:rsidR="00C15F2E" w:rsidRPr="00D96063" w14:paraId="3D386E39" w14:textId="77777777" w:rsidTr="00B2548C">
        <w:tc>
          <w:tcPr>
            <w:tcW w:w="1334" w:type="pct"/>
            <w:noWrap/>
          </w:tcPr>
          <w:p w14:paraId="79F15D45" w14:textId="77777777" w:rsidR="00C15F2E" w:rsidRPr="00D96063" w:rsidRDefault="00C15F2E" w:rsidP="002C1DC3">
            <w:pPr>
              <w:keepNext/>
              <w:keepLines/>
              <w:ind w:left="170" w:hanging="170"/>
              <w:jc w:val="left"/>
              <w:rPr>
                <w:sz w:val="15"/>
                <w:szCs w:val="15"/>
              </w:rPr>
            </w:pPr>
            <w:r w:rsidRPr="00D96063">
              <w:rPr>
                <w:sz w:val="15"/>
                <w:szCs w:val="15"/>
              </w:rPr>
              <w:tab/>
              <w:t xml:space="preserve">Energy sector levies and accounts (ESLA) </w:t>
            </w:r>
          </w:p>
        </w:tc>
        <w:tc>
          <w:tcPr>
            <w:tcW w:w="524" w:type="pct"/>
            <w:noWrap/>
            <w:hideMark/>
          </w:tcPr>
          <w:p w14:paraId="3B942238"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3CF18574" w14:textId="77777777" w:rsidR="00C15F2E" w:rsidRPr="00D96063" w:rsidRDefault="00C15F2E" w:rsidP="007C1B3A">
            <w:pPr>
              <w:keepNext/>
              <w:keepLines/>
              <w:jc w:val="right"/>
              <w:rPr>
                <w:bCs/>
                <w:sz w:val="15"/>
                <w:szCs w:val="15"/>
              </w:rPr>
            </w:pPr>
            <w:r w:rsidRPr="00D96063">
              <w:rPr>
                <w:bCs/>
                <w:sz w:val="15"/>
                <w:szCs w:val="15"/>
              </w:rPr>
              <w:t>n.a</w:t>
            </w:r>
            <w:r w:rsidRPr="00D96063">
              <w:rPr>
                <w:rFonts w:eastAsia="Times New Roman" w:cs="Arial"/>
                <w:bCs/>
                <w:sz w:val="15"/>
                <w:szCs w:val="15"/>
              </w:rPr>
              <w:t>.</w:t>
            </w:r>
          </w:p>
        </w:tc>
        <w:tc>
          <w:tcPr>
            <w:tcW w:w="524" w:type="pct"/>
            <w:noWrap/>
            <w:hideMark/>
          </w:tcPr>
          <w:p w14:paraId="18997515" w14:textId="77777777" w:rsidR="00C15F2E" w:rsidRPr="00D96063" w:rsidRDefault="00C15F2E" w:rsidP="007C1B3A">
            <w:pPr>
              <w:keepNext/>
              <w:keepLines/>
              <w:jc w:val="right"/>
              <w:rPr>
                <w:bCs/>
                <w:sz w:val="15"/>
                <w:szCs w:val="15"/>
              </w:rPr>
            </w:pPr>
            <w:r w:rsidRPr="00D96063">
              <w:rPr>
                <w:bCs/>
                <w:sz w:val="15"/>
                <w:szCs w:val="15"/>
              </w:rPr>
              <w:t>1,646</w:t>
            </w:r>
          </w:p>
        </w:tc>
        <w:tc>
          <w:tcPr>
            <w:tcW w:w="524" w:type="pct"/>
            <w:noWrap/>
            <w:hideMark/>
          </w:tcPr>
          <w:p w14:paraId="522D541C" w14:textId="77777777" w:rsidR="00C15F2E" w:rsidRPr="00D96063" w:rsidRDefault="00C15F2E" w:rsidP="007C1B3A">
            <w:pPr>
              <w:keepNext/>
              <w:keepLines/>
              <w:jc w:val="right"/>
              <w:rPr>
                <w:bCs/>
                <w:sz w:val="15"/>
                <w:szCs w:val="15"/>
              </w:rPr>
            </w:pPr>
            <w:r w:rsidRPr="00D96063">
              <w:rPr>
                <w:bCs/>
                <w:sz w:val="15"/>
                <w:szCs w:val="15"/>
              </w:rPr>
              <w:t>1,970</w:t>
            </w:r>
          </w:p>
        </w:tc>
        <w:tc>
          <w:tcPr>
            <w:tcW w:w="524" w:type="pct"/>
            <w:noWrap/>
            <w:hideMark/>
          </w:tcPr>
          <w:p w14:paraId="300099D4" w14:textId="77777777" w:rsidR="00C15F2E" w:rsidRPr="00D96063" w:rsidRDefault="00C15F2E" w:rsidP="007C1B3A">
            <w:pPr>
              <w:keepNext/>
              <w:keepLines/>
              <w:jc w:val="right"/>
              <w:rPr>
                <w:bCs/>
                <w:sz w:val="15"/>
                <w:szCs w:val="15"/>
              </w:rPr>
            </w:pPr>
            <w:r w:rsidRPr="00D96063">
              <w:rPr>
                <w:bCs/>
                <w:sz w:val="15"/>
                <w:szCs w:val="15"/>
              </w:rPr>
              <w:t>1,817</w:t>
            </w:r>
          </w:p>
        </w:tc>
        <w:tc>
          <w:tcPr>
            <w:tcW w:w="524" w:type="pct"/>
            <w:noWrap/>
            <w:hideMark/>
          </w:tcPr>
          <w:p w14:paraId="221A23D2" w14:textId="77777777" w:rsidR="00C15F2E" w:rsidRPr="00D96063" w:rsidRDefault="00C15F2E" w:rsidP="007C1B3A">
            <w:pPr>
              <w:keepNext/>
              <w:keepLines/>
              <w:jc w:val="right"/>
              <w:rPr>
                <w:bCs/>
                <w:sz w:val="15"/>
                <w:szCs w:val="15"/>
              </w:rPr>
            </w:pPr>
            <w:r w:rsidRPr="00D96063">
              <w:rPr>
                <w:bCs/>
                <w:sz w:val="15"/>
                <w:szCs w:val="15"/>
              </w:rPr>
              <w:t>1,898</w:t>
            </w:r>
          </w:p>
        </w:tc>
        <w:tc>
          <w:tcPr>
            <w:tcW w:w="524" w:type="pct"/>
            <w:noWrap/>
            <w:hideMark/>
          </w:tcPr>
          <w:p w14:paraId="5FDD05E8" w14:textId="77777777" w:rsidR="00C15F2E" w:rsidRPr="00D96063" w:rsidRDefault="00C15F2E" w:rsidP="007C1B3A">
            <w:pPr>
              <w:keepNext/>
              <w:keepLines/>
              <w:jc w:val="right"/>
              <w:rPr>
                <w:bCs/>
                <w:sz w:val="15"/>
                <w:szCs w:val="15"/>
              </w:rPr>
            </w:pPr>
            <w:r w:rsidRPr="00D96063">
              <w:rPr>
                <w:bCs/>
                <w:sz w:val="15"/>
                <w:szCs w:val="15"/>
              </w:rPr>
              <w:t>2,749</w:t>
            </w:r>
          </w:p>
        </w:tc>
      </w:tr>
      <w:tr w:rsidR="00C15F2E" w:rsidRPr="00D96063" w14:paraId="6901B886" w14:textId="77777777" w:rsidTr="00B2548C">
        <w:trPr>
          <w:cnfStyle w:val="000000010000" w:firstRow="0" w:lastRow="0" w:firstColumn="0" w:lastColumn="0" w:oddVBand="0" w:evenVBand="0" w:oddHBand="0" w:evenHBand="1" w:firstRowFirstColumn="0" w:firstRowLastColumn="0" w:lastRowFirstColumn="0" w:lastRowLastColumn="0"/>
        </w:trPr>
        <w:tc>
          <w:tcPr>
            <w:tcW w:w="5000" w:type="pct"/>
            <w:gridSpan w:val="8"/>
            <w:noWrap/>
            <w:hideMark/>
          </w:tcPr>
          <w:p w14:paraId="38E94B7C" w14:textId="77777777" w:rsidR="00C15F2E" w:rsidRPr="00D96063" w:rsidRDefault="00C15F2E" w:rsidP="002C1DC3">
            <w:pPr>
              <w:keepNext/>
              <w:keepLines/>
              <w:jc w:val="left"/>
              <w:rPr>
                <w:b/>
                <w:sz w:val="15"/>
                <w:szCs w:val="15"/>
              </w:rPr>
            </w:pPr>
            <w:r w:rsidRPr="00D96063">
              <w:rPr>
                <w:b/>
                <w:sz w:val="15"/>
                <w:szCs w:val="15"/>
              </w:rPr>
              <w:t>Memo items</w:t>
            </w:r>
          </w:p>
        </w:tc>
      </w:tr>
      <w:tr w:rsidR="00C15F2E" w:rsidRPr="00D96063" w14:paraId="17BDAC4E" w14:textId="77777777" w:rsidTr="00B2548C">
        <w:tc>
          <w:tcPr>
            <w:tcW w:w="1334" w:type="pct"/>
            <w:noWrap/>
            <w:hideMark/>
          </w:tcPr>
          <w:p w14:paraId="0210DCC7" w14:textId="77777777" w:rsidR="00C15F2E" w:rsidRPr="00D96063" w:rsidRDefault="00C15F2E" w:rsidP="002C1DC3">
            <w:pPr>
              <w:keepNext/>
              <w:keepLines/>
              <w:jc w:val="left"/>
              <w:rPr>
                <w:sz w:val="15"/>
                <w:szCs w:val="15"/>
              </w:rPr>
            </w:pPr>
            <w:r w:rsidRPr="00D96063">
              <w:rPr>
                <w:sz w:val="15"/>
                <w:szCs w:val="15"/>
              </w:rPr>
              <w:t>Excises (% of tax revenue)</w:t>
            </w:r>
          </w:p>
        </w:tc>
        <w:tc>
          <w:tcPr>
            <w:tcW w:w="524" w:type="pct"/>
            <w:noWrap/>
            <w:hideMark/>
          </w:tcPr>
          <w:p w14:paraId="5BF26794" w14:textId="77777777" w:rsidR="00C15F2E" w:rsidRPr="00D96063" w:rsidRDefault="00C15F2E" w:rsidP="007C1B3A">
            <w:pPr>
              <w:keepNext/>
              <w:keepLines/>
              <w:jc w:val="right"/>
              <w:rPr>
                <w:bCs/>
                <w:sz w:val="15"/>
                <w:szCs w:val="15"/>
              </w:rPr>
            </w:pPr>
            <w:r w:rsidRPr="00D96063">
              <w:rPr>
                <w:bCs/>
                <w:sz w:val="15"/>
                <w:szCs w:val="15"/>
              </w:rPr>
              <w:t>4.</w:t>
            </w:r>
            <w:r w:rsidRPr="00D96063">
              <w:rPr>
                <w:rFonts w:eastAsia="Times New Roman" w:cs="Arial"/>
                <w:bCs/>
                <w:sz w:val="15"/>
                <w:szCs w:val="15"/>
              </w:rPr>
              <w:t>3</w:t>
            </w:r>
            <w:r w:rsidRPr="00D96063">
              <w:rPr>
                <w:bCs/>
                <w:sz w:val="15"/>
                <w:szCs w:val="15"/>
              </w:rPr>
              <w:t>%</w:t>
            </w:r>
          </w:p>
        </w:tc>
        <w:tc>
          <w:tcPr>
            <w:tcW w:w="524" w:type="pct"/>
            <w:noWrap/>
            <w:hideMark/>
          </w:tcPr>
          <w:p w14:paraId="7D7C75D3" w14:textId="77777777" w:rsidR="00C15F2E" w:rsidRPr="00D96063" w:rsidRDefault="00C15F2E" w:rsidP="007C1B3A">
            <w:pPr>
              <w:keepNext/>
              <w:keepLines/>
              <w:jc w:val="right"/>
              <w:rPr>
                <w:bCs/>
                <w:sz w:val="15"/>
                <w:szCs w:val="15"/>
              </w:rPr>
            </w:pPr>
            <w:r w:rsidRPr="00D96063">
              <w:rPr>
                <w:rFonts w:eastAsia="Times New Roman" w:cs="Arial"/>
                <w:bCs/>
                <w:sz w:val="15"/>
                <w:szCs w:val="15"/>
              </w:rPr>
              <w:t>11.2</w:t>
            </w:r>
            <w:r w:rsidRPr="00D96063">
              <w:rPr>
                <w:bCs/>
                <w:sz w:val="15"/>
                <w:szCs w:val="15"/>
              </w:rPr>
              <w:t>%</w:t>
            </w:r>
          </w:p>
        </w:tc>
        <w:tc>
          <w:tcPr>
            <w:tcW w:w="524" w:type="pct"/>
            <w:noWrap/>
            <w:hideMark/>
          </w:tcPr>
          <w:p w14:paraId="2AC1276D" w14:textId="77777777" w:rsidR="00C15F2E" w:rsidRPr="00D96063" w:rsidRDefault="00C15F2E" w:rsidP="007C1B3A">
            <w:pPr>
              <w:keepNext/>
              <w:keepLines/>
              <w:jc w:val="right"/>
              <w:rPr>
                <w:bCs/>
                <w:sz w:val="15"/>
                <w:szCs w:val="15"/>
              </w:rPr>
            </w:pPr>
            <w:r w:rsidRPr="00D96063">
              <w:rPr>
                <w:rFonts w:eastAsia="Times New Roman" w:cs="Arial"/>
                <w:bCs/>
                <w:sz w:val="15"/>
                <w:szCs w:val="15"/>
              </w:rPr>
              <w:t>15.0</w:t>
            </w:r>
            <w:r w:rsidRPr="00D96063">
              <w:rPr>
                <w:bCs/>
                <w:sz w:val="15"/>
                <w:szCs w:val="15"/>
              </w:rPr>
              <w:t>%</w:t>
            </w:r>
          </w:p>
        </w:tc>
        <w:tc>
          <w:tcPr>
            <w:tcW w:w="524" w:type="pct"/>
            <w:noWrap/>
            <w:hideMark/>
          </w:tcPr>
          <w:p w14:paraId="4F12392B" w14:textId="77777777" w:rsidR="00C15F2E" w:rsidRPr="00D96063" w:rsidRDefault="00C15F2E" w:rsidP="007C1B3A">
            <w:pPr>
              <w:keepNext/>
              <w:keepLines/>
              <w:jc w:val="right"/>
              <w:rPr>
                <w:bCs/>
                <w:sz w:val="15"/>
                <w:szCs w:val="15"/>
              </w:rPr>
            </w:pPr>
            <w:r w:rsidRPr="00D96063">
              <w:rPr>
                <w:rFonts w:eastAsia="Times New Roman" w:cs="Arial"/>
                <w:bCs/>
                <w:sz w:val="15"/>
                <w:szCs w:val="15"/>
              </w:rPr>
              <w:t>10.2</w:t>
            </w:r>
            <w:r w:rsidRPr="00D96063">
              <w:rPr>
                <w:bCs/>
                <w:sz w:val="15"/>
                <w:szCs w:val="15"/>
              </w:rPr>
              <w:t>%</w:t>
            </w:r>
          </w:p>
        </w:tc>
        <w:tc>
          <w:tcPr>
            <w:tcW w:w="524" w:type="pct"/>
            <w:noWrap/>
            <w:hideMark/>
          </w:tcPr>
          <w:p w14:paraId="092805C9" w14:textId="77777777" w:rsidR="00C15F2E" w:rsidRPr="00D96063" w:rsidRDefault="00C15F2E" w:rsidP="007C1B3A">
            <w:pPr>
              <w:keepNext/>
              <w:keepLines/>
              <w:jc w:val="right"/>
              <w:rPr>
                <w:bCs/>
                <w:sz w:val="15"/>
                <w:szCs w:val="15"/>
              </w:rPr>
            </w:pPr>
            <w:r w:rsidRPr="00D96063">
              <w:rPr>
                <w:bCs/>
                <w:sz w:val="15"/>
                <w:szCs w:val="15"/>
              </w:rPr>
              <w:t>9.7%</w:t>
            </w:r>
          </w:p>
        </w:tc>
        <w:tc>
          <w:tcPr>
            <w:tcW w:w="524" w:type="pct"/>
            <w:noWrap/>
            <w:hideMark/>
          </w:tcPr>
          <w:p w14:paraId="5F72975B" w14:textId="77777777" w:rsidR="00C15F2E" w:rsidRPr="00D96063" w:rsidRDefault="00C15F2E" w:rsidP="007C1B3A">
            <w:pPr>
              <w:keepNext/>
              <w:keepLines/>
              <w:jc w:val="right"/>
              <w:rPr>
                <w:bCs/>
                <w:sz w:val="15"/>
                <w:szCs w:val="15"/>
              </w:rPr>
            </w:pPr>
            <w:r w:rsidRPr="00D96063">
              <w:rPr>
                <w:bCs/>
                <w:sz w:val="15"/>
                <w:szCs w:val="15"/>
              </w:rPr>
              <w:t>9.2%</w:t>
            </w:r>
          </w:p>
        </w:tc>
        <w:tc>
          <w:tcPr>
            <w:tcW w:w="524" w:type="pct"/>
            <w:noWrap/>
            <w:hideMark/>
          </w:tcPr>
          <w:p w14:paraId="4A2565C2" w14:textId="77777777" w:rsidR="00C15F2E" w:rsidRPr="00D96063" w:rsidRDefault="00C15F2E" w:rsidP="007C1B3A">
            <w:pPr>
              <w:keepNext/>
              <w:keepLines/>
              <w:jc w:val="right"/>
              <w:rPr>
                <w:bCs/>
                <w:sz w:val="15"/>
                <w:szCs w:val="15"/>
              </w:rPr>
            </w:pPr>
            <w:r w:rsidRPr="00D96063">
              <w:rPr>
                <w:bCs/>
                <w:sz w:val="15"/>
                <w:szCs w:val="15"/>
              </w:rPr>
              <w:t>9.9%</w:t>
            </w:r>
          </w:p>
        </w:tc>
      </w:tr>
      <w:tr w:rsidR="00C15F2E" w:rsidRPr="00D96063" w14:paraId="2DB2B38D" w14:textId="77777777" w:rsidTr="00B2548C">
        <w:trPr>
          <w:cnfStyle w:val="000000010000" w:firstRow="0" w:lastRow="0" w:firstColumn="0" w:lastColumn="0" w:oddVBand="0" w:evenVBand="0" w:oddHBand="0" w:evenHBand="1" w:firstRowFirstColumn="0" w:firstRowLastColumn="0" w:lastRowFirstColumn="0" w:lastRowLastColumn="0"/>
        </w:trPr>
        <w:tc>
          <w:tcPr>
            <w:tcW w:w="1334" w:type="pct"/>
            <w:noWrap/>
            <w:hideMark/>
          </w:tcPr>
          <w:p w14:paraId="6287E43B" w14:textId="77777777" w:rsidR="00C15F2E" w:rsidRPr="00D96063" w:rsidRDefault="00C15F2E" w:rsidP="002C1DC3">
            <w:pPr>
              <w:keepNext/>
              <w:keepLines/>
              <w:jc w:val="left"/>
              <w:rPr>
                <w:sz w:val="15"/>
                <w:szCs w:val="15"/>
              </w:rPr>
            </w:pPr>
            <w:r w:rsidRPr="00D96063">
              <w:rPr>
                <w:sz w:val="15"/>
                <w:szCs w:val="15"/>
              </w:rPr>
              <w:t>VAT (% of tax revenue)</w:t>
            </w:r>
          </w:p>
        </w:tc>
        <w:tc>
          <w:tcPr>
            <w:tcW w:w="524" w:type="pct"/>
            <w:noWrap/>
            <w:hideMark/>
          </w:tcPr>
          <w:p w14:paraId="124B989B" w14:textId="77777777" w:rsidR="00C15F2E" w:rsidRPr="00D96063" w:rsidRDefault="00C15F2E" w:rsidP="007C1B3A">
            <w:pPr>
              <w:keepNext/>
              <w:keepLines/>
              <w:jc w:val="right"/>
              <w:rPr>
                <w:bCs/>
                <w:sz w:val="15"/>
                <w:szCs w:val="15"/>
              </w:rPr>
            </w:pPr>
            <w:r w:rsidRPr="00D96063">
              <w:rPr>
                <w:rFonts w:eastAsia="Times New Roman" w:cs="Arial"/>
                <w:bCs/>
                <w:sz w:val="15"/>
                <w:szCs w:val="15"/>
              </w:rPr>
              <w:t>26.2</w:t>
            </w:r>
            <w:r w:rsidRPr="00D96063">
              <w:rPr>
                <w:bCs/>
                <w:sz w:val="15"/>
                <w:szCs w:val="15"/>
              </w:rPr>
              <w:t>%</w:t>
            </w:r>
          </w:p>
        </w:tc>
        <w:tc>
          <w:tcPr>
            <w:tcW w:w="524" w:type="pct"/>
            <w:noWrap/>
            <w:hideMark/>
          </w:tcPr>
          <w:p w14:paraId="792A3EBB" w14:textId="77777777" w:rsidR="00C15F2E" w:rsidRPr="00D96063" w:rsidRDefault="00C15F2E" w:rsidP="007C1B3A">
            <w:pPr>
              <w:keepNext/>
              <w:keepLines/>
              <w:jc w:val="right"/>
              <w:rPr>
                <w:bCs/>
                <w:sz w:val="15"/>
                <w:szCs w:val="15"/>
              </w:rPr>
            </w:pPr>
            <w:r w:rsidRPr="00D96063">
              <w:rPr>
                <w:rFonts w:eastAsia="Times New Roman" w:cs="Arial"/>
                <w:bCs/>
                <w:sz w:val="15"/>
                <w:szCs w:val="15"/>
              </w:rPr>
              <w:t>29.2</w:t>
            </w:r>
            <w:r w:rsidRPr="00D96063">
              <w:rPr>
                <w:bCs/>
                <w:sz w:val="15"/>
                <w:szCs w:val="15"/>
              </w:rPr>
              <w:t>%</w:t>
            </w:r>
          </w:p>
        </w:tc>
        <w:tc>
          <w:tcPr>
            <w:tcW w:w="524" w:type="pct"/>
            <w:noWrap/>
            <w:hideMark/>
          </w:tcPr>
          <w:p w14:paraId="64B596A0" w14:textId="77777777" w:rsidR="00C15F2E" w:rsidRPr="00D96063" w:rsidRDefault="00C15F2E" w:rsidP="007C1B3A">
            <w:pPr>
              <w:keepNext/>
              <w:keepLines/>
              <w:jc w:val="right"/>
              <w:rPr>
                <w:bCs/>
                <w:sz w:val="15"/>
                <w:szCs w:val="15"/>
              </w:rPr>
            </w:pPr>
            <w:r w:rsidRPr="00D96063">
              <w:rPr>
                <w:rFonts w:eastAsia="Times New Roman" w:cs="Arial"/>
                <w:bCs/>
                <w:sz w:val="15"/>
                <w:szCs w:val="15"/>
              </w:rPr>
              <w:t>29.4</w:t>
            </w:r>
            <w:r w:rsidRPr="00D96063">
              <w:rPr>
                <w:bCs/>
                <w:sz w:val="15"/>
                <w:szCs w:val="15"/>
              </w:rPr>
              <w:t>%</w:t>
            </w:r>
          </w:p>
        </w:tc>
        <w:tc>
          <w:tcPr>
            <w:tcW w:w="524" w:type="pct"/>
            <w:noWrap/>
            <w:hideMark/>
          </w:tcPr>
          <w:p w14:paraId="25605A5C" w14:textId="77777777" w:rsidR="00C15F2E" w:rsidRPr="00D96063" w:rsidRDefault="00C15F2E" w:rsidP="007C1B3A">
            <w:pPr>
              <w:keepNext/>
              <w:keepLines/>
              <w:jc w:val="right"/>
              <w:rPr>
                <w:bCs/>
                <w:sz w:val="15"/>
                <w:szCs w:val="15"/>
              </w:rPr>
            </w:pPr>
            <w:r w:rsidRPr="00D96063">
              <w:rPr>
                <w:rFonts w:eastAsia="Times New Roman" w:cs="Arial"/>
                <w:bCs/>
                <w:sz w:val="15"/>
                <w:szCs w:val="15"/>
              </w:rPr>
              <w:t>28.1</w:t>
            </w:r>
            <w:r w:rsidRPr="00D96063">
              <w:rPr>
                <w:bCs/>
                <w:sz w:val="15"/>
                <w:szCs w:val="15"/>
              </w:rPr>
              <w:t>%</w:t>
            </w:r>
          </w:p>
        </w:tc>
        <w:tc>
          <w:tcPr>
            <w:tcW w:w="524" w:type="pct"/>
            <w:noWrap/>
            <w:hideMark/>
          </w:tcPr>
          <w:p w14:paraId="7C7733EA" w14:textId="77777777" w:rsidR="00C15F2E" w:rsidRPr="00D96063" w:rsidRDefault="00C15F2E" w:rsidP="007C1B3A">
            <w:pPr>
              <w:keepNext/>
              <w:keepLines/>
              <w:jc w:val="right"/>
              <w:rPr>
                <w:bCs/>
                <w:sz w:val="15"/>
                <w:szCs w:val="15"/>
              </w:rPr>
            </w:pPr>
            <w:r w:rsidRPr="00D96063">
              <w:rPr>
                <w:bCs/>
                <w:sz w:val="15"/>
                <w:szCs w:val="15"/>
              </w:rPr>
              <w:t>23.5%</w:t>
            </w:r>
          </w:p>
        </w:tc>
        <w:tc>
          <w:tcPr>
            <w:tcW w:w="524" w:type="pct"/>
            <w:noWrap/>
            <w:hideMark/>
          </w:tcPr>
          <w:p w14:paraId="040F9691" w14:textId="77777777" w:rsidR="00C15F2E" w:rsidRPr="00D96063" w:rsidRDefault="00C15F2E" w:rsidP="007C1B3A">
            <w:pPr>
              <w:keepNext/>
              <w:keepLines/>
              <w:jc w:val="right"/>
              <w:rPr>
                <w:bCs/>
                <w:sz w:val="15"/>
                <w:szCs w:val="15"/>
              </w:rPr>
            </w:pPr>
            <w:r w:rsidRPr="00D96063">
              <w:rPr>
                <w:bCs/>
                <w:sz w:val="15"/>
                <w:szCs w:val="15"/>
              </w:rPr>
              <w:t>21.8%</w:t>
            </w:r>
          </w:p>
        </w:tc>
        <w:tc>
          <w:tcPr>
            <w:tcW w:w="524" w:type="pct"/>
            <w:noWrap/>
            <w:hideMark/>
          </w:tcPr>
          <w:p w14:paraId="650FE435" w14:textId="77777777" w:rsidR="00C15F2E" w:rsidRPr="00D96063" w:rsidRDefault="00C15F2E" w:rsidP="007C1B3A">
            <w:pPr>
              <w:keepNext/>
              <w:keepLines/>
              <w:jc w:val="right"/>
              <w:rPr>
                <w:bCs/>
                <w:sz w:val="15"/>
                <w:szCs w:val="15"/>
              </w:rPr>
            </w:pPr>
            <w:r w:rsidRPr="00D96063">
              <w:rPr>
                <w:bCs/>
                <w:sz w:val="15"/>
                <w:szCs w:val="15"/>
              </w:rPr>
              <w:t>20.7%</w:t>
            </w:r>
          </w:p>
        </w:tc>
      </w:tr>
      <w:tr w:rsidR="00C15F2E" w:rsidRPr="00D96063" w14:paraId="4A39512E" w14:textId="77777777" w:rsidTr="00B2548C">
        <w:tc>
          <w:tcPr>
            <w:tcW w:w="1334" w:type="pct"/>
            <w:noWrap/>
            <w:hideMark/>
          </w:tcPr>
          <w:p w14:paraId="3B9EEA16" w14:textId="77777777" w:rsidR="00C15F2E" w:rsidRPr="00D96063" w:rsidRDefault="00C15F2E" w:rsidP="002C1DC3">
            <w:pPr>
              <w:jc w:val="left"/>
              <w:rPr>
                <w:sz w:val="15"/>
                <w:szCs w:val="15"/>
              </w:rPr>
            </w:pPr>
            <w:r w:rsidRPr="00D96063">
              <w:rPr>
                <w:sz w:val="15"/>
                <w:szCs w:val="15"/>
              </w:rPr>
              <w:t>Import duties (% tax revenue)</w:t>
            </w:r>
          </w:p>
        </w:tc>
        <w:tc>
          <w:tcPr>
            <w:tcW w:w="524" w:type="pct"/>
            <w:noWrap/>
            <w:hideMark/>
          </w:tcPr>
          <w:p w14:paraId="5A871ADE" w14:textId="77777777" w:rsidR="00C15F2E" w:rsidRPr="00D96063" w:rsidRDefault="00C15F2E" w:rsidP="007C1B3A">
            <w:pPr>
              <w:jc w:val="right"/>
              <w:rPr>
                <w:bCs/>
                <w:sz w:val="15"/>
                <w:szCs w:val="15"/>
              </w:rPr>
            </w:pPr>
            <w:r w:rsidRPr="00D96063">
              <w:rPr>
                <w:rFonts w:eastAsia="Times New Roman" w:cs="Arial"/>
                <w:bCs/>
                <w:sz w:val="15"/>
                <w:szCs w:val="15"/>
              </w:rPr>
              <w:t>15.5</w:t>
            </w:r>
            <w:r w:rsidRPr="00D96063">
              <w:rPr>
                <w:bCs/>
                <w:sz w:val="15"/>
                <w:szCs w:val="15"/>
              </w:rPr>
              <w:t>%</w:t>
            </w:r>
          </w:p>
        </w:tc>
        <w:tc>
          <w:tcPr>
            <w:tcW w:w="524" w:type="pct"/>
            <w:noWrap/>
            <w:hideMark/>
          </w:tcPr>
          <w:p w14:paraId="0C1E9E6D" w14:textId="77777777" w:rsidR="00C15F2E" w:rsidRPr="00D96063" w:rsidRDefault="00C15F2E" w:rsidP="007C1B3A">
            <w:pPr>
              <w:jc w:val="right"/>
              <w:rPr>
                <w:bCs/>
                <w:sz w:val="15"/>
                <w:szCs w:val="15"/>
              </w:rPr>
            </w:pPr>
            <w:r w:rsidRPr="00D96063">
              <w:rPr>
                <w:rFonts w:eastAsia="Times New Roman" w:cs="Arial"/>
                <w:bCs/>
                <w:sz w:val="15"/>
                <w:szCs w:val="15"/>
              </w:rPr>
              <w:t>14.3</w:t>
            </w:r>
            <w:r w:rsidRPr="00D96063">
              <w:rPr>
                <w:bCs/>
                <w:sz w:val="15"/>
                <w:szCs w:val="15"/>
              </w:rPr>
              <w:t>%</w:t>
            </w:r>
          </w:p>
        </w:tc>
        <w:tc>
          <w:tcPr>
            <w:tcW w:w="524" w:type="pct"/>
            <w:noWrap/>
            <w:hideMark/>
          </w:tcPr>
          <w:p w14:paraId="0DB08508" w14:textId="77777777" w:rsidR="00C15F2E" w:rsidRPr="00D96063" w:rsidRDefault="00C15F2E" w:rsidP="007C1B3A">
            <w:pPr>
              <w:jc w:val="right"/>
              <w:rPr>
                <w:bCs/>
                <w:sz w:val="15"/>
                <w:szCs w:val="15"/>
              </w:rPr>
            </w:pPr>
            <w:r w:rsidRPr="00D96063">
              <w:rPr>
                <w:rFonts w:eastAsia="Times New Roman" w:cs="Arial"/>
                <w:bCs/>
                <w:sz w:val="15"/>
                <w:szCs w:val="15"/>
              </w:rPr>
              <w:t>17</w:t>
            </w:r>
            <w:r w:rsidRPr="00D96063">
              <w:rPr>
                <w:bCs/>
                <w:sz w:val="15"/>
                <w:szCs w:val="15"/>
              </w:rPr>
              <w:t>.0%</w:t>
            </w:r>
          </w:p>
        </w:tc>
        <w:tc>
          <w:tcPr>
            <w:tcW w:w="524" w:type="pct"/>
            <w:noWrap/>
            <w:hideMark/>
          </w:tcPr>
          <w:p w14:paraId="47EC37AE" w14:textId="77777777" w:rsidR="00C15F2E" w:rsidRPr="00D96063" w:rsidRDefault="00C15F2E" w:rsidP="007C1B3A">
            <w:pPr>
              <w:jc w:val="right"/>
              <w:rPr>
                <w:bCs/>
                <w:sz w:val="15"/>
                <w:szCs w:val="15"/>
              </w:rPr>
            </w:pPr>
            <w:r w:rsidRPr="00D96063">
              <w:rPr>
                <w:rFonts w:eastAsia="Times New Roman" w:cs="Arial"/>
                <w:bCs/>
                <w:sz w:val="15"/>
                <w:szCs w:val="15"/>
              </w:rPr>
              <w:t>18</w:t>
            </w:r>
            <w:r w:rsidRPr="00D96063">
              <w:rPr>
                <w:bCs/>
                <w:sz w:val="15"/>
                <w:szCs w:val="15"/>
              </w:rPr>
              <w:t>.0%</w:t>
            </w:r>
          </w:p>
        </w:tc>
        <w:tc>
          <w:tcPr>
            <w:tcW w:w="524" w:type="pct"/>
            <w:noWrap/>
            <w:hideMark/>
          </w:tcPr>
          <w:p w14:paraId="4C20FBC1" w14:textId="77777777" w:rsidR="00C15F2E" w:rsidRPr="00D96063" w:rsidRDefault="00C15F2E" w:rsidP="007C1B3A">
            <w:pPr>
              <w:jc w:val="right"/>
              <w:rPr>
                <w:bCs/>
                <w:sz w:val="15"/>
                <w:szCs w:val="15"/>
              </w:rPr>
            </w:pPr>
            <w:r w:rsidRPr="00D96063">
              <w:rPr>
                <w:bCs/>
                <w:sz w:val="15"/>
                <w:szCs w:val="15"/>
              </w:rPr>
              <w:t>16.1%</w:t>
            </w:r>
          </w:p>
        </w:tc>
        <w:tc>
          <w:tcPr>
            <w:tcW w:w="524" w:type="pct"/>
            <w:noWrap/>
            <w:hideMark/>
          </w:tcPr>
          <w:p w14:paraId="28670A62" w14:textId="77777777" w:rsidR="00C15F2E" w:rsidRPr="00D96063" w:rsidRDefault="00C15F2E" w:rsidP="007C1B3A">
            <w:pPr>
              <w:jc w:val="right"/>
              <w:rPr>
                <w:bCs/>
                <w:sz w:val="15"/>
                <w:szCs w:val="15"/>
              </w:rPr>
            </w:pPr>
            <w:r w:rsidRPr="00D96063">
              <w:rPr>
                <w:bCs/>
                <w:sz w:val="15"/>
                <w:szCs w:val="15"/>
              </w:rPr>
              <w:t>12.6%</w:t>
            </w:r>
          </w:p>
        </w:tc>
        <w:tc>
          <w:tcPr>
            <w:tcW w:w="524" w:type="pct"/>
            <w:noWrap/>
            <w:hideMark/>
          </w:tcPr>
          <w:p w14:paraId="14062154" w14:textId="77777777" w:rsidR="00C15F2E" w:rsidRPr="00D96063" w:rsidRDefault="00C15F2E" w:rsidP="007C1B3A">
            <w:pPr>
              <w:jc w:val="right"/>
              <w:rPr>
                <w:bCs/>
                <w:sz w:val="15"/>
                <w:szCs w:val="15"/>
              </w:rPr>
            </w:pPr>
            <w:r w:rsidRPr="00D96063">
              <w:rPr>
                <w:bCs/>
                <w:sz w:val="15"/>
                <w:szCs w:val="15"/>
              </w:rPr>
              <w:t>12.4%</w:t>
            </w:r>
          </w:p>
        </w:tc>
      </w:tr>
    </w:tbl>
    <w:p w14:paraId="13EC3E5C" w14:textId="77777777" w:rsidR="00C15F2E" w:rsidRPr="00D96063" w:rsidRDefault="00C15F2E" w:rsidP="00E101A6">
      <w:pPr>
        <w:pStyle w:val="NoteText"/>
        <w:spacing w:before="120" w:after="120"/>
        <w:rPr>
          <w:lang w:eastAsia="en-GB"/>
        </w:rPr>
      </w:pPr>
      <w:r w:rsidRPr="00D96063">
        <w:rPr>
          <w:lang w:eastAsia="en-GB"/>
        </w:rPr>
        <w:t>n.a.</w:t>
      </w:r>
      <w:r w:rsidRPr="00D96063">
        <w:rPr>
          <w:lang w:eastAsia="en-GB"/>
        </w:rPr>
        <w:tab/>
        <w:t>Not applicable.</w:t>
      </w:r>
    </w:p>
    <w:p w14:paraId="6921116E" w14:textId="77777777" w:rsidR="00C15F2E" w:rsidRPr="00D96063" w:rsidRDefault="00C15F2E" w:rsidP="00E101A6">
      <w:pPr>
        <w:pStyle w:val="NoteText"/>
        <w:spacing w:before="120" w:after="240"/>
        <w:rPr>
          <w:lang w:eastAsia="en-GB"/>
        </w:rPr>
      </w:pPr>
      <w:r w:rsidRPr="00D96063">
        <w:rPr>
          <w:lang w:eastAsia="en-GB"/>
        </w:rPr>
        <w:t>Source:</w:t>
      </w:r>
      <w:r w:rsidRPr="00D96063">
        <w:rPr>
          <w:lang w:eastAsia="en-GB"/>
        </w:rPr>
        <w:tab/>
        <w:t xml:space="preserve">WTO Secretariat calculations, based on Ministry of Finance, </w:t>
      </w:r>
      <w:r w:rsidRPr="00D96063">
        <w:rPr>
          <w:i/>
          <w:iCs/>
          <w:lang w:eastAsia="en-GB"/>
        </w:rPr>
        <w:t>Fiscal Data</w:t>
      </w:r>
      <w:r w:rsidRPr="00D96063">
        <w:rPr>
          <w:lang w:eastAsia="en-GB"/>
        </w:rPr>
        <w:t xml:space="preserve">. Viewed at: </w:t>
      </w:r>
      <w:hyperlink r:id="rId67" w:history="1">
        <w:r w:rsidRPr="00D96063">
          <w:rPr>
            <w:rStyle w:val="Hyperlink"/>
          </w:rPr>
          <w:t>https://www.mofep.gov.gh/fiscal-data</w:t>
        </w:r>
      </w:hyperlink>
      <w:r w:rsidRPr="00D96063">
        <w:rPr>
          <w:lang w:eastAsia="en-GB"/>
        </w:rPr>
        <w:t>.</w:t>
      </w:r>
    </w:p>
    <w:p w14:paraId="34A6AA23" w14:textId="77777777" w:rsidR="00C15F2E" w:rsidRPr="00D96063" w:rsidRDefault="00C15F2E" w:rsidP="00E101A6">
      <w:pPr>
        <w:pStyle w:val="Heading4"/>
        <w:numPr>
          <w:ilvl w:val="3"/>
          <w:numId w:val="16"/>
        </w:numPr>
      </w:pPr>
      <w:bookmarkStart w:id="92" w:name="_Toc392845101"/>
      <w:bookmarkStart w:id="93" w:name="_Toc103607669"/>
      <w:r w:rsidRPr="00D96063">
        <w:t>Applied MFN tariffs</w:t>
      </w:r>
      <w:bookmarkEnd w:id="92"/>
      <w:bookmarkEnd w:id="93"/>
    </w:p>
    <w:p w14:paraId="78D9E03F" w14:textId="5E9AC1D0" w:rsidR="00C15F2E" w:rsidRPr="00D96063" w:rsidRDefault="00C15F2E" w:rsidP="00E101A6">
      <w:pPr>
        <w:pStyle w:val="BodyText"/>
        <w:numPr>
          <w:ilvl w:val="6"/>
          <w:numId w:val="16"/>
        </w:numPr>
      </w:pPr>
      <w:bookmarkStart w:id="94" w:name="_Hlk95376118"/>
      <w:r w:rsidRPr="00D96063">
        <w:t>Ghana started to implement the ECOWAS Common External Tariff (CET) on 1 January 201</w:t>
      </w:r>
      <w:r w:rsidR="007F4005">
        <w:t>6</w:t>
      </w:r>
      <w:r w:rsidRPr="00D96063">
        <w:t xml:space="preserve">. This brought greater stability to its MFN tariff, which before then tended to be modified frequently. </w:t>
      </w:r>
      <w:bookmarkEnd w:id="94"/>
      <w:r w:rsidRPr="00D96063">
        <w:t>Indeed, in principle, Ghana's import taxes can be changed by Parliament through an Act, generally in the context of the annual Budget Law. Tariff Interpretation Orders can be also issued directly by Customs, for example to interpret the Budget Law concerning tariffs.</w:t>
      </w:r>
    </w:p>
    <w:p w14:paraId="597CC16E" w14:textId="65F6CB6E" w:rsidR="00C15F2E" w:rsidRPr="00D96063" w:rsidRDefault="00C15F2E" w:rsidP="00447773">
      <w:pPr>
        <w:pStyle w:val="BodyText"/>
        <w:numPr>
          <w:ilvl w:val="6"/>
          <w:numId w:val="16"/>
        </w:numPr>
      </w:pPr>
      <w:r w:rsidRPr="00D96063">
        <w:t>Ghana's 2022 applied MFN tariff (unchanged since 2019) is based on the CET and the HS17 classification</w:t>
      </w:r>
      <w:r w:rsidR="007F4005">
        <w:t>, with some national exceptions as provided for by regional provisions; the exceptions are not available to the WTO Secretariat.</w:t>
      </w:r>
      <w:r w:rsidRPr="00D96063">
        <w:t xml:space="preserve"> In March 2022, the average unweighted applied MFN tariff rate was 12.2%, down from 12.8% in 2013 (Table 3.3). Ghana does not administer any tariff quotas</w:t>
      </w:r>
      <w:r w:rsidR="007F4005">
        <w:t>, according to the authorities.</w:t>
      </w:r>
    </w:p>
    <w:p w14:paraId="22156C35" w14:textId="6531DF0F" w:rsidR="00C15F2E" w:rsidRPr="00D96063" w:rsidRDefault="00C15F2E" w:rsidP="00F11486">
      <w:pPr>
        <w:pStyle w:val="Caption"/>
        <w:keepLines/>
      </w:pPr>
      <w:bookmarkStart w:id="95" w:name="_Toc103607884"/>
      <w:r w:rsidRPr="00D96063">
        <w:lastRenderedPageBreak/>
        <w:t xml:space="preserve">Table </w:t>
      </w:r>
      <w:fldSimple w:instr=" STYLEREF 1 \s ">
        <w:r w:rsidR="004B63B1">
          <w:rPr>
            <w:noProof/>
          </w:rPr>
          <w:t>3</w:t>
        </w:r>
      </w:fldSimple>
      <w:r w:rsidR="00BF3184">
        <w:t>.</w:t>
      </w:r>
      <w:fldSimple w:instr=" SEQ Table \* ARABIC \s 1 ">
        <w:r w:rsidR="004B63B1">
          <w:rPr>
            <w:noProof/>
          </w:rPr>
          <w:t>3</w:t>
        </w:r>
      </w:fldSimple>
      <w:r w:rsidRPr="00D96063">
        <w:t xml:space="preserve"> Structure of MFN tariffs, 2013 and 2022</w:t>
      </w:r>
      <w:bookmarkEnd w:id="95"/>
    </w:p>
    <w:tbl>
      <w:tblPr>
        <w:tblStyle w:val="WTOTable1"/>
        <w:tblW w:w="5000" w:type="pct"/>
        <w:tblLook w:val="04A0" w:firstRow="1" w:lastRow="0" w:firstColumn="1" w:lastColumn="0" w:noHBand="0" w:noVBand="1"/>
      </w:tblPr>
      <w:tblGrid>
        <w:gridCol w:w="4958"/>
        <w:gridCol w:w="1361"/>
        <w:gridCol w:w="1363"/>
        <w:gridCol w:w="1334"/>
      </w:tblGrid>
      <w:tr w:rsidR="002C1DC3" w:rsidRPr="00D96063" w14:paraId="45DD7A97" w14:textId="77777777" w:rsidTr="002C1DC3">
        <w:trPr>
          <w:cnfStyle w:val="100000000000" w:firstRow="1" w:lastRow="0" w:firstColumn="0" w:lastColumn="0" w:oddVBand="0" w:evenVBand="0" w:oddHBand="0" w:evenHBand="0" w:firstRowFirstColumn="0" w:firstRowLastColumn="0" w:lastRowFirstColumn="0" w:lastRowLastColumn="0"/>
          <w:trHeight w:val="240"/>
          <w:tblHeader/>
        </w:trPr>
        <w:tc>
          <w:tcPr>
            <w:tcW w:w="2750" w:type="pct"/>
            <w:tcBorders>
              <w:bottom w:val="nil"/>
            </w:tcBorders>
            <w:noWrap/>
            <w:hideMark/>
          </w:tcPr>
          <w:p w14:paraId="2AE4FF87" w14:textId="77777777" w:rsidR="002C1DC3" w:rsidRPr="00D96063" w:rsidRDefault="002C1DC3" w:rsidP="00F11486">
            <w:pPr>
              <w:keepNext/>
              <w:keepLines/>
              <w:jc w:val="center"/>
              <w:rPr>
                <w:rFonts w:eastAsia="Times New Roman"/>
                <w:sz w:val="16"/>
                <w:szCs w:val="16"/>
              </w:rPr>
            </w:pPr>
          </w:p>
        </w:tc>
        <w:tc>
          <w:tcPr>
            <w:tcW w:w="1511" w:type="pct"/>
            <w:gridSpan w:val="2"/>
            <w:tcBorders>
              <w:top w:val="single" w:sz="4" w:space="0" w:color="auto"/>
              <w:bottom w:val="single" w:sz="4" w:space="0" w:color="auto"/>
            </w:tcBorders>
            <w:noWrap/>
            <w:hideMark/>
          </w:tcPr>
          <w:p w14:paraId="2E2BA274" w14:textId="77777777" w:rsidR="002C1DC3" w:rsidRPr="00D96063" w:rsidRDefault="002C1DC3" w:rsidP="002C1DC3">
            <w:pPr>
              <w:keepNext/>
              <w:keepLines/>
              <w:jc w:val="center"/>
              <w:rPr>
                <w:sz w:val="16"/>
                <w:szCs w:val="16"/>
              </w:rPr>
            </w:pPr>
            <w:r w:rsidRPr="00D96063">
              <w:rPr>
                <w:sz w:val="16"/>
                <w:szCs w:val="16"/>
              </w:rPr>
              <w:t>MFN applied</w:t>
            </w:r>
          </w:p>
        </w:tc>
        <w:tc>
          <w:tcPr>
            <w:tcW w:w="740" w:type="pct"/>
            <w:vMerge w:val="restart"/>
            <w:tcBorders>
              <w:top w:val="single" w:sz="4" w:space="0" w:color="auto"/>
            </w:tcBorders>
            <w:noWrap/>
            <w:vAlign w:val="center"/>
            <w:hideMark/>
          </w:tcPr>
          <w:p w14:paraId="5B040FC2" w14:textId="5850EAC8" w:rsidR="002C1DC3" w:rsidRPr="00D96063" w:rsidRDefault="002C1DC3" w:rsidP="00F11486">
            <w:pPr>
              <w:keepNext/>
              <w:keepLines/>
              <w:jc w:val="center"/>
              <w:rPr>
                <w:sz w:val="16"/>
                <w:szCs w:val="16"/>
              </w:rPr>
            </w:pPr>
            <w:r w:rsidRPr="00D96063">
              <w:rPr>
                <w:sz w:val="16"/>
                <w:szCs w:val="16"/>
              </w:rPr>
              <w:t>Final</w:t>
            </w:r>
            <w:r>
              <w:rPr>
                <w:sz w:val="16"/>
                <w:szCs w:val="16"/>
              </w:rPr>
              <w:t xml:space="preserve"> </w:t>
            </w:r>
            <w:r w:rsidRPr="00D96063">
              <w:rPr>
                <w:color w:val="FFFFFF" w:themeColor="background1"/>
                <w:sz w:val="16"/>
              </w:rPr>
              <w:t>bound</w:t>
            </w:r>
            <w:r w:rsidRPr="00D96063">
              <w:rPr>
                <w:color w:val="FFFFFF" w:themeColor="background1"/>
                <w:sz w:val="16"/>
                <w:vertAlign w:val="superscript"/>
              </w:rPr>
              <w:t>a</w:t>
            </w:r>
          </w:p>
        </w:tc>
      </w:tr>
      <w:tr w:rsidR="002C1DC3" w:rsidRPr="00D96063" w14:paraId="68C1D0EF" w14:textId="77777777" w:rsidTr="002C1DC3">
        <w:trPr>
          <w:trHeight w:val="240"/>
        </w:trPr>
        <w:tc>
          <w:tcPr>
            <w:tcW w:w="2750" w:type="pct"/>
            <w:tcBorders>
              <w:top w:val="nil"/>
              <w:bottom w:val="nil"/>
            </w:tcBorders>
            <w:shd w:val="clear" w:color="auto" w:fill="006283"/>
            <w:noWrap/>
            <w:hideMark/>
          </w:tcPr>
          <w:p w14:paraId="5CB4C906" w14:textId="77777777" w:rsidR="002C1DC3" w:rsidRPr="00D96063" w:rsidRDefault="002C1DC3" w:rsidP="00F11486">
            <w:pPr>
              <w:keepNext/>
              <w:keepLines/>
              <w:jc w:val="left"/>
              <w:rPr>
                <w:b/>
                <w:color w:val="FFFFFF" w:themeColor="background1"/>
                <w:sz w:val="16"/>
              </w:rPr>
            </w:pPr>
          </w:p>
        </w:tc>
        <w:tc>
          <w:tcPr>
            <w:tcW w:w="755" w:type="pct"/>
            <w:tcBorders>
              <w:top w:val="single" w:sz="4" w:space="0" w:color="auto"/>
              <w:bottom w:val="nil"/>
            </w:tcBorders>
            <w:shd w:val="clear" w:color="auto" w:fill="006283"/>
            <w:noWrap/>
            <w:hideMark/>
          </w:tcPr>
          <w:p w14:paraId="1E90C0AD" w14:textId="77777777" w:rsidR="002C1DC3" w:rsidRPr="00D96063" w:rsidRDefault="002C1DC3" w:rsidP="002C1DC3">
            <w:pPr>
              <w:keepNext/>
              <w:keepLines/>
              <w:jc w:val="center"/>
              <w:rPr>
                <w:b/>
                <w:color w:val="FFFFFF" w:themeColor="background1"/>
                <w:sz w:val="16"/>
              </w:rPr>
            </w:pPr>
            <w:r w:rsidRPr="00D96063">
              <w:rPr>
                <w:b/>
                <w:color w:val="FFFFFF" w:themeColor="background1"/>
                <w:sz w:val="16"/>
              </w:rPr>
              <w:t>2013</w:t>
            </w:r>
          </w:p>
        </w:tc>
        <w:tc>
          <w:tcPr>
            <w:tcW w:w="755" w:type="pct"/>
            <w:tcBorders>
              <w:top w:val="single" w:sz="4" w:space="0" w:color="auto"/>
              <w:bottom w:val="nil"/>
            </w:tcBorders>
            <w:shd w:val="clear" w:color="auto" w:fill="006283"/>
            <w:noWrap/>
            <w:hideMark/>
          </w:tcPr>
          <w:p w14:paraId="323C69FE" w14:textId="77777777" w:rsidR="002C1DC3" w:rsidRPr="00D96063" w:rsidRDefault="002C1DC3" w:rsidP="002C1DC3">
            <w:pPr>
              <w:keepNext/>
              <w:keepLines/>
              <w:jc w:val="center"/>
              <w:rPr>
                <w:b/>
                <w:color w:val="FFFFFF" w:themeColor="background1"/>
                <w:sz w:val="16"/>
              </w:rPr>
            </w:pPr>
            <w:r w:rsidRPr="00D96063">
              <w:rPr>
                <w:b/>
                <w:color w:val="FFFFFF" w:themeColor="background1"/>
                <w:sz w:val="16"/>
              </w:rPr>
              <w:t>2022</w:t>
            </w:r>
          </w:p>
        </w:tc>
        <w:tc>
          <w:tcPr>
            <w:tcW w:w="740" w:type="pct"/>
            <w:vMerge/>
            <w:tcBorders>
              <w:bottom w:val="nil"/>
            </w:tcBorders>
            <w:shd w:val="clear" w:color="auto" w:fill="006283"/>
            <w:noWrap/>
            <w:hideMark/>
          </w:tcPr>
          <w:p w14:paraId="52BAF124" w14:textId="514C50E5" w:rsidR="002C1DC3" w:rsidRPr="00D96063" w:rsidRDefault="002C1DC3" w:rsidP="00F11486">
            <w:pPr>
              <w:keepNext/>
              <w:keepLines/>
              <w:ind w:right="170"/>
              <w:jc w:val="right"/>
              <w:rPr>
                <w:b/>
                <w:color w:val="FFFFFF" w:themeColor="background1"/>
                <w:sz w:val="16"/>
              </w:rPr>
            </w:pPr>
          </w:p>
        </w:tc>
      </w:tr>
      <w:tr w:rsidR="00C15F2E" w:rsidRPr="00D96063" w14:paraId="6203D44B" w14:textId="77777777" w:rsidTr="002C1DC3">
        <w:trPr>
          <w:cnfStyle w:val="000000010000" w:firstRow="0" w:lastRow="0" w:firstColumn="0" w:lastColumn="0" w:oddVBand="0" w:evenVBand="0" w:oddHBand="0" w:evenHBand="1" w:firstRowFirstColumn="0" w:firstRowLastColumn="0" w:lastRowFirstColumn="0" w:lastRowLastColumn="0"/>
          <w:trHeight w:val="240"/>
        </w:trPr>
        <w:tc>
          <w:tcPr>
            <w:tcW w:w="2750" w:type="pct"/>
            <w:tcBorders>
              <w:top w:val="nil"/>
            </w:tcBorders>
            <w:noWrap/>
            <w:hideMark/>
          </w:tcPr>
          <w:p w14:paraId="6E795F60" w14:textId="77777777" w:rsidR="00C15F2E" w:rsidRPr="00D96063" w:rsidRDefault="00C15F2E" w:rsidP="00F11486">
            <w:pPr>
              <w:keepNext/>
              <w:keepLines/>
              <w:jc w:val="left"/>
              <w:rPr>
                <w:sz w:val="16"/>
                <w:szCs w:val="16"/>
              </w:rPr>
            </w:pPr>
            <w:r w:rsidRPr="00D96063">
              <w:rPr>
                <w:sz w:val="16"/>
                <w:szCs w:val="16"/>
              </w:rPr>
              <w:t>Bound tariff lines (% of all tariff lines)</w:t>
            </w:r>
          </w:p>
        </w:tc>
        <w:tc>
          <w:tcPr>
            <w:tcW w:w="755" w:type="pct"/>
            <w:tcBorders>
              <w:top w:val="nil"/>
            </w:tcBorders>
            <w:noWrap/>
            <w:hideMark/>
          </w:tcPr>
          <w:p w14:paraId="414CDE0F" w14:textId="77777777" w:rsidR="00C15F2E" w:rsidRPr="00D96063" w:rsidRDefault="00C15F2E" w:rsidP="002C1DC3">
            <w:pPr>
              <w:keepNext/>
              <w:keepLines/>
              <w:ind w:right="397"/>
              <w:jc w:val="right"/>
              <w:rPr>
                <w:sz w:val="16"/>
                <w:szCs w:val="16"/>
              </w:rPr>
            </w:pPr>
            <w:r w:rsidRPr="00D96063">
              <w:rPr>
                <w:sz w:val="16"/>
                <w:szCs w:val="16"/>
              </w:rPr>
              <w:t>n.a.</w:t>
            </w:r>
          </w:p>
        </w:tc>
        <w:tc>
          <w:tcPr>
            <w:tcW w:w="755" w:type="pct"/>
            <w:tcBorders>
              <w:top w:val="nil"/>
            </w:tcBorders>
            <w:noWrap/>
            <w:hideMark/>
          </w:tcPr>
          <w:p w14:paraId="3CEFCCC7" w14:textId="77777777" w:rsidR="00C15F2E" w:rsidRPr="00D96063" w:rsidRDefault="00C15F2E" w:rsidP="002C1DC3">
            <w:pPr>
              <w:keepNext/>
              <w:keepLines/>
              <w:ind w:right="397"/>
              <w:jc w:val="right"/>
              <w:rPr>
                <w:sz w:val="16"/>
                <w:szCs w:val="16"/>
              </w:rPr>
            </w:pPr>
            <w:r w:rsidRPr="00D96063">
              <w:rPr>
                <w:sz w:val="16"/>
                <w:szCs w:val="16"/>
              </w:rPr>
              <w:t>n.a.</w:t>
            </w:r>
          </w:p>
        </w:tc>
        <w:tc>
          <w:tcPr>
            <w:tcW w:w="740" w:type="pct"/>
            <w:tcBorders>
              <w:top w:val="nil"/>
            </w:tcBorders>
            <w:noWrap/>
            <w:hideMark/>
          </w:tcPr>
          <w:p w14:paraId="568FB446" w14:textId="77777777" w:rsidR="00C15F2E" w:rsidRPr="00D96063" w:rsidRDefault="00C15F2E" w:rsidP="002C1DC3">
            <w:pPr>
              <w:keepNext/>
              <w:keepLines/>
              <w:ind w:right="227"/>
              <w:jc w:val="right"/>
              <w:rPr>
                <w:sz w:val="16"/>
                <w:szCs w:val="16"/>
              </w:rPr>
            </w:pPr>
            <w:r w:rsidRPr="00D96063">
              <w:rPr>
                <w:sz w:val="16"/>
                <w:szCs w:val="16"/>
              </w:rPr>
              <w:t>15.1</w:t>
            </w:r>
          </w:p>
        </w:tc>
      </w:tr>
      <w:tr w:rsidR="00C15F2E" w:rsidRPr="00D96063" w14:paraId="1BAE0A61" w14:textId="77777777" w:rsidTr="002C1DC3">
        <w:trPr>
          <w:trHeight w:val="240"/>
        </w:trPr>
        <w:tc>
          <w:tcPr>
            <w:tcW w:w="2750" w:type="pct"/>
            <w:noWrap/>
            <w:hideMark/>
          </w:tcPr>
          <w:p w14:paraId="47F42C8B" w14:textId="77777777" w:rsidR="00C15F2E" w:rsidRPr="00D96063" w:rsidRDefault="00C15F2E" w:rsidP="00F11486">
            <w:pPr>
              <w:keepNext/>
              <w:keepLines/>
              <w:jc w:val="left"/>
              <w:rPr>
                <w:sz w:val="16"/>
                <w:szCs w:val="16"/>
              </w:rPr>
            </w:pPr>
            <w:r w:rsidRPr="00D96063">
              <w:rPr>
                <w:sz w:val="16"/>
                <w:szCs w:val="16"/>
              </w:rPr>
              <w:t>Simple average rate</w:t>
            </w:r>
          </w:p>
        </w:tc>
        <w:tc>
          <w:tcPr>
            <w:tcW w:w="755" w:type="pct"/>
            <w:noWrap/>
            <w:hideMark/>
          </w:tcPr>
          <w:p w14:paraId="7D5DAE87" w14:textId="77777777" w:rsidR="00C15F2E" w:rsidRPr="00D96063" w:rsidRDefault="00C15F2E" w:rsidP="002C1DC3">
            <w:pPr>
              <w:keepNext/>
              <w:keepLines/>
              <w:ind w:right="397"/>
              <w:jc w:val="right"/>
              <w:rPr>
                <w:sz w:val="16"/>
                <w:szCs w:val="16"/>
              </w:rPr>
            </w:pPr>
            <w:r w:rsidRPr="00D96063">
              <w:rPr>
                <w:sz w:val="16"/>
                <w:szCs w:val="16"/>
              </w:rPr>
              <w:t>12.8</w:t>
            </w:r>
          </w:p>
        </w:tc>
        <w:tc>
          <w:tcPr>
            <w:tcW w:w="755" w:type="pct"/>
            <w:noWrap/>
            <w:hideMark/>
          </w:tcPr>
          <w:p w14:paraId="0DFD6FAD" w14:textId="77777777" w:rsidR="00C15F2E" w:rsidRPr="00D96063" w:rsidRDefault="00C15F2E" w:rsidP="002C1DC3">
            <w:pPr>
              <w:keepNext/>
              <w:keepLines/>
              <w:ind w:right="397"/>
              <w:jc w:val="right"/>
              <w:rPr>
                <w:sz w:val="16"/>
                <w:szCs w:val="16"/>
              </w:rPr>
            </w:pPr>
            <w:r w:rsidRPr="00D96063">
              <w:rPr>
                <w:sz w:val="16"/>
                <w:szCs w:val="16"/>
              </w:rPr>
              <w:t>12.2</w:t>
            </w:r>
          </w:p>
        </w:tc>
        <w:tc>
          <w:tcPr>
            <w:tcW w:w="740" w:type="pct"/>
            <w:noWrap/>
            <w:hideMark/>
          </w:tcPr>
          <w:p w14:paraId="4EB1F26C" w14:textId="77777777" w:rsidR="00C15F2E" w:rsidRPr="00D96063" w:rsidRDefault="00C15F2E" w:rsidP="002C1DC3">
            <w:pPr>
              <w:keepNext/>
              <w:keepLines/>
              <w:ind w:right="227"/>
              <w:jc w:val="right"/>
              <w:rPr>
                <w:sz w:val="16"/>
                <w:szCs w:val="16"/>
              </w:rPr>
            </w:pPr>
            <w:r w:rsidRPr="00D96063">
              <w:rPr>
                <w:sz w:val="16"/>
                <w:szCs w:val="16"/>
              </w:rPr>
              <w:t>92.0</w:t>
            </w:r>
          </w:p>
        </w:tc>
      </w:tr>
      <w:tr w:rsidR="00C15F2E" w:rsidRPr="00D96063" w14:paraId="3A0D3980" w14:textId="77777777" w:rsidTr="002C1DC3">
        <w:trPr>
          <w:cnfStyle w:val="000000010000" w:firstRow="0" w:lastRow="0" w:firstColumn="0" w:lastColumn="0" w:oddVBand="0" w:evenVBand="0" w:oddHBand="0" w:evenHBand="1" w:firstRowFirstColumn="0" w:firstRowLastColumn="0" w:lastRowFirstColumn="0" w:lastRowLastColumn="0"/>
          <w:trHeight w:val="240"/>
        </w:trPr>
        <w:tc>
          <w:tcPr>
            <w:tcW w:w="2750" w:type="pct"/>
            <w:noWrap/>
            <w:hideMark/>
          </w:tcPr>
          <w:p w14:paraId="7ED0E95A" w14:textId="77777777" w:rsidR="00C15F2E" w:rsidRPr="00D96063" w:rsidRDefault="00C15F2E" w:rsidP="00F11486">
            <w:pPr>
              <w:keepNext/>
              <w:keepLines/>
              <w:ind w:left="170" w:hanging="170"/>
              <w:jc w:val="left"/>
              <w:rPr>
                <w:sz w:val="16"/>
                <w:szCs w:val="16"/>
              </w:rPr>
            </w:pPr>
            <w:r w:rsidRPr="00D96063">
              <w:rPr>
                <w:sz w:val="16"/>
                <w:szCs w:val="16"/>
              </w:rPr>
              <w:tab/>
              <w:t>WTO agricultural products</w:t>
            </w:r>
          </w:p>
        </w:tc>
        <w:tc>
          <w:tcPr>
            <w:tcW w:w="755" w:type="pct"/>
            <w:noWrap/>
            <w:hideMark/>
          </w:tcPr>
          <w:p w14:paraId="2F9511CA" w14:textId="77777777" w:rsidR="00C15F2E" w:rsidRPr="00D96063" w:rsidRDefault="00C15F2E" w:rsidP="002C1DC3">
            <w:pPr>
              <w:keepNext/>
              <w:keepLines/>
              <w:ind w:right="397"/>
              <w:jc w:val="right"/>
              <w:rPr>
                <w:sz w:val="16"/>
                <w:szCs w:val="16"/>
              </w:rPr>
            </w:pPr>
            <w:r w:rsidRPr="00D96063">
              <w:rPr>
                <w:sz w:val="16"/>
                <w:szCs w:val="16"/>
              </w:rPr>
              <w:t>17.3</w:t>
            </w:r>
          </w:p>
        </w:tc>
        <w:tc>
          <w:tcPr>
            <w:tcW w:w="755" w:type="pct"/>
            <w:noWrap/>
            <w:hideMark/>
          </w:tcPr>
          <w:p w14:paraId="04D84209" w14:textId="77777777" w:rsidR="00C15F2E" w:rsidRPr="00D96063" w:rsidRDefault="00C15F2E" w:rsidP="002C1DC3">
            <w:pPr>
              <w:keepNext/>
              <w:keepLines/>
              <w:ind w:right="397"/>
              <w:jc w:val="right"/>
              <w:rPr>
                <w:sz w:val="16"/>
                <w:szCs w:val="16"/>
              </w:rPr>
            </w:pPr>
            <w:r w:rsidRPr="00D96063">
              <w:rPr>
                <w:sz w:val="16"/>
                <w:szCs w:val="16"/>
              </w:rPr>
              <w:t>15.5</w:t>
            </w:r>
          </w:p>
        </w:tc>
        <w:tc>
          <w:tcPr>
            <w:tcW w:w="740" w:type="pct"/>
            <w:noWrap/>
            <w:hideMark/>
          </w:tcPr>
          <w:p w14:paraId="776A09F7" w14:textId="77777777" w:rsidR="00C15F2E" w:rsidRPr="00D96063" w:rsidRDefault="00C15F2E" w:rsidP="002C1DC3">
            <w:pPr>
              <w:keepNext/>
              <w:keepLines/>
              <w:ind w:right="227"/>
              <w:jc w:val="right"/>
              <w:rPr>
                <w:sz w:val="16"/>
                <w:szCs w:val="16"/>
              </w:rPr>
            </w:pPr>
            <w:r w:rsidRPr="00D96063">
              <w:rPr>
                <w:sz w:val="16"/>
                <w:szCs w:val="16"/>
              </w:rPr>
              <w:t>96.6</w:t>
            </w:r>
          </w:p>
        </w:tc>
      </w:tr>
      <w:tr w:rsidR="00C15F2E" w:rsidRPr="00D96063" w14:paraId="6300FF0E" w14:textId="77777777" w:rsidTr="002C1DC3">
        <w:trPr>
          <w:trHeight w:val="240"/>
        </w:trPr>
        <w:tc>
          <w:tcPr>
            <w:tcW w:w="2750" w:type="pct"/>
            <w:noWrap/>
            <w:hideMark/>
          </w:tcPr>
          <w:p w14:paraId="2863A537" w14:textId="77777777" w:rsidR="00C15F2E" w:rsidRPr="00D96063" w:rsidRDefault="00C15F2E" w:rsidP="00F11486">
            <w:pPr>
              <w:keepNext/>
              <w:keepLines/>
              <w:ind w:left="170" w:hanging="170"/>
              <w:jc w:val="left"/>
              <w:rPr>
                <w:sz w:val="16"/>
                <w:szCs w:val="16"/>
              </w:rPr>
            </w:pPr>
            <w:r w:rsidRPr="00D96063">
              <w:rPr>
                <w:sz w:val="16"/>
                <w:szCs w:val="16"/>
              </w:rPr>
              <w:tab/>
              <w:t>WTO non-agricultural products</w:t>
            </w:r>
          </w:p>
        </w:tc>
        <w:tc>
          <w:tcPr>
            <w:tcW w:w="755" w:type="pct"/>
            <w:noWrap/>
            <w:hideMark/>
          </w:tcPr>
          <w:p w14:paraId="11C5EDEC" w14:textId="77777777" w:rsidR="00C15F2E" w:rsidRPr="00D96063" w:rsidRDefault="00C15F2E" w:rsidP="002C1DC3">
            <w:pPr>
              <w:keepNext/>
              <w:keepLines/>
              <w:ind w:right="397"/>
              <w:jc w:val="right"/>
              <w:rPr>
                <w:sz w:val="16"/>
                <w:szCs w:val="16"/>
              </w:rPr>
            </w:pPr>
            <w:r w:rsidRPr="00D96063">
              <w:rPr>
                <w:sz w:val="16"/>
                <w:szCs w:val="16"/>
              </w:rPr>
              <w:t>12.0</w:t>
            </w:r>
          </w:p>
        </w:tc>
        <w:tc>
          <w:tcPr>
            <w:tcW w:w="755" w:type="pct"/>
            <w:noWrap/>
            <w:hideMark/>
          </w:tcPr>
          <w:p w14:paraId="71454063" w14:textId="77777777" w:rsidR="00C15F2E" w:rsidRPr="00D96063" w:rsidRDefault="00C15F2E" w:rsidP="002C1DC3">
            <w:pPr>
              <w:keepNext/>
              <w:keepLines/>
              <w:ind w:right="397"/>
              <w:jc w:val="right"/>
              <w:rPr>
                <w:sz w:val="16"/>
                <w:szCs w:val="16"/>
              </w:rPr>
            </w:pPr>
            <w:r w:rsidRPr="00D96063">
              <w:rPr>
                <w:sz w:val="16"/>
                <w:szCs w:val="16"/>
              </w:rPr>
              <w:t>11.6</w:t>
            </w:r>
          </w:p>
        </w:tc>
        <w:tc>
          <w:tcPr>
            <w:tcW w:w="740" w:type="pct"/>
            <w:noWrap/>
            <w:hideMark/>
          </w:tcPr>
          <w:p w14:paraId="08C40503" w14:textId="77777777" w:rsidR="00C15F2E" w:rsidRPr="00D96063" w:rsidRDefault="00C15F2E" w:rsidP="002C1DC3">
            <w:pPr>
              <w:keepNext/>
              <w:keepLines/>
              <w:ind w:right="227"/>
              <w:jc w:val="right"/>
              <w:rPr>
                <w:sz w:val="16"/>
                <w:szCs w:val="16"/>
              </w:rPr>
            </w:pPr>
            <w:r w:rsidRPr="00D96063">
              <w:rPr>
                <w:sz w:val="16"/>
                <w:szCs w:val="16"/>
              </w:rPr>
              <w:t>40.4</w:t>
            </w:r>
          </w:p>
        </w:tc>
      </w:tr>
      <w:tr w:rsidR="00C15F2E" w:rsidRPr="00D96063" w14:paraId="188FC4E4" w14:textId="77777777" w:rsidTr="002C1DC3">
        <w:trPr>
          <w:cnfStyle w:val="000000010000" w:firstRow="0" w:lastRow="0" w:firstColumn="0" w:lastColumn="0" w:oddVBand="0" w:evenVBand="0" w:oddHBand="0" w:evenHBand="1" w:firstRowFirstColumn="0" w:firstRowLastColumn="0" w:lastRowFirstColumn="0" w:lastRowLastColumn="0"/>
          <w:trHeight w:val="240"/>
        </w:trPr>
        <w:tc>
          <w:tcPr>
            <w:tcW w:w="2750" w:type="pct"/>
            <w:noWrap/>
            <w:hideMark/>
          </w:tcPr>
          <w:p w14:paraId="3845BA6A" w14:textId="77777777" w:rsidR="00C15F2E" w:rsidRPr="00D96063" w:rsidRDefault="00C15F2E" w:rsidP="00F11486">
            <w:pPr>
              <w:keepNext/>
              <w:keepLines/>
              <w:ind w:left="170" w:hanging="170"/>
              <w:jc w:val="left"/>
              <w:rPr>
                <w:sz w:val="16"/>
                <w:szCs w:val="16"/>
              </w:rPr>
            </w:pPr>
            <w:r w:rsidRPr="00D96063">
              <w:rPr>
                <w:sz w:val="16"/>
                <w:szCs w:val="16"/>
              </w:rPr>
              <w:tab/>
              <w:t>Agriculture, hunting, forestry and fishing (ISIC 1)</w:t>
            </w:r>
          </w:p>
        </w:tc>
        <w:tc>
          <w:tcPr>
            <w:tcW w:w="755" w:type="pct"/>
            <w:noWrap/>
            <w:hideMark/>
          </w:tcPr>
          <w:p w14:paraId="660D57C9" w14:textId="77777777" w:rsidR="00C15F2E" w:rsidRPr="00D96063" w:rsidRDefault="00C15F2E" w:rsidP="002C1DC3">
            <w:pPr>
              <w:keepNext/>
              <w:keepLines/>
              <w:ind w:right="397"/>
              <w:jc w:val="right"/>
              <w:rPr>
                <w:sz w:val="16"/>
                <w:szCs w:val="16"/>
              </w:rPr>
            </w:pPr>
            <w:r w:rsidRPr="00D96063">
              <w:rPr>
                <w:sz w:val="16"/>
                <w:szCs w:val="16"/>
              </w:rPr>
              <w:t>15.1</w:t>
            </w:r>
          </w:p>
        </w:tc>
        <w:tc>
          <w:tcPr>
            <w:tcW w:w="755" w:type="pct"/>
            <w:noWrap/>
            <w:hideMark/>
          </w:tcPr>
          <w:p w14:paraId="28EDADB6" w14:textId="77777777" w:rsidR="00C15F2E" w:rsidRPr="00D96063" w:rsidRDefault="00C15F2E" w:rsidP="002C1DC3">
            <w:pPr>
              <w:keepNext/>
              <w:keepLines/>
              <w:ind w:right="397"/>
              <w:jc w:val="right"/>
              <w:rPr>
                <w:sz w:val="16"/>
                <w:szCs w:val="16"/>
              </w:rPr>
            </w:pPr>
            <w:r w:rsidRPr="00D96063">
              <w:rPr>
                <w:sz w:val="16"/>
                <w:szCs w:val="16"/>
              </w:rPr>
              <w:t>11.8</w:t>
            </w:r>
          </w:p>
        </w:tc>
        <w:tc>
          <w:tcPr>
            <w:tcW w:w="740" w:type="pct"/>
            <w:noWrap/>
            <w:hideMark/>
          </w:tcPr>
          <w:p w14:paraId="412DE3FA" w14:textId="77777777" w:rsidR="00C15F2E" w:rsidRPr="00D96063" w:rsidRDefault="00C15F2E" w:rsidP="002C1DC3">
            <w:pPr>
              <w:keepNext/>
              <w:keepLines/>
              <w:ind w:right="227"/>
              <w:jc w:val="right"/>
              <w:rPr>
                <w:sz w:val="16"/>
                <w:szCs w:val="16"/>
              </w:rPr>
            </w:pPr>
            <w:r w:rsidRPr="00D96063">
              <w:rPr>
                <w:sz w:val="16"/>
                <w:szCs w:val="16"/>
              </w:rPr>
              <w:t>94.9</w:t>
            </w:r>
          </w:p>
        </w:tc>
      </w:tr>
      <w:tr w:rsidR="00C15F2E" w:rsidRPr="00D96063" w14:paraId="582E3CEC" w14:textId="77777777" w:rsidTr="002C1DC3">
        <w:trPr>
          <w:trHeight w:val="240"/>
        </w:trPr>
        <w:tc>
          <w:tcPr>
            <w:tcW w:w="2750" w:type="pct"/>
            <w:noWrap/>
            <w:hideMark/>
          </w:tcPr>
          <w:p w14:paraId="5E8114DA" w14:textId="77777777" w:rsidR="00C15F2E" w:rsidRPr="00D96063" w:rsidRDefault="00C15F2E" w:rsidP="00F11486">
            <w:pPr>
              <w:keepNext/>
              <w:keepLines/>
              <w:ind w:left="170" w:hanging="170"/>
              <w:jc w:val="left"/>
              <w:rPr>
                <w:sz w:val="16"/>
                <w:szCs w:val="16"/>
              </w:rPr>
            </w:pPr>
            <w:r w:rsidRPr="00D96063">
              <w:rPr>
                <w:sz w:val="16"/>
                <w:szCs w:val="16"/>
              </w:rPr>
              <w:tab/>
              <w:t>Mining and quarrying (ISIC 2)</w:t>
            </w:r>
          </w:p>
        </w:tc>
        <w:tc>
          <w:tcPr>
            <w:tcW w:w="755" w:type="pct"/>
            <w:noWrap/>
            <w:hideMark/>
          </w:tcPr>
          <w:p w14:paraId="1909C79D" w14:textId="77777777" w:rsidR="00C15F2E" w:rsidRPr="00D96063" w:rsidRDefault="00C15F2E" w:rsidP="002C1DC3">
            <w:pPr>
              <w:keepNext/>
              <w:keepLines/>
              <w:ind w:right="397"/>
              <w:jc w:val="right"/>
              <w:rPr>
                <w:sz w:val="16"/>
                <w:szCs w:val="16"/>
              </w:rPr>
            </w:pPr>
            <w:r w:rsidRPr="00D96063">
              <w:rPr>
                <w:sz w:val="16"/>
                <w:szCs w:val="16"/>
              </w:rPr>
              <w:t>11.2</w:t>
            </w:r>
          </w:p>
        </w:tc>
        <w:tc>
          <w:tcPr>
            <w:tcW w:w="755" w:type="pct"/>
            <w:noWrap/>
            <w:hideMark/>
          </w:tcPr>
          <w:p w14:paraId="273B9267" w14:textId="77777777" w:rsidR="00C15F2E" w:rsidRPr="00D96063" w:rsidRDefault="00C15F2E" w:rsidP="002C1DC3">
            <w:pPr>
              <w:keepNext/>
              <w:keepLines/>
              <w:ind w:right="397"/>
              <w:jc w:val="right"/>
              <w:rPr>
                <w:sz w:val="16"/>
                <w:szCs w:val="16"/>
              </w:rPr>
            </w:pPr>
            <w:r w:rsidRPr="00D96063">
              <w:rPr>
                <w:sz w:val="16"/>
                <w:szCs w:val="16"/>
              </w:rPr>
              <w:t>5.1</w:t>
            </w:r>
          </w:p>
        </w:tc>
        <w:tc>
          <w:tcPr>
            <w:tcW w:w="740" w:type="pct"/>
            <w:noWrap/>
            <w:hideMark/>
          </w:tcPr>
          <w:p w14:paraId="336C2E05" w14:textId="77777777" w:rsidR="00C15F2E" w:rsidRPr="00D96063" w:rsidRDefault="00C15F2E" w:rsidP="002C1DC3">
            <w:pPr>
              <w:keepNext/>
              <w:keepLines/>
              <w:ind w:right="227"/>
              <w:jc w:val="right"/>
              <w:rPr>
                <w:sz w:val="16"/>
                <w:szCs w:val="16"/>
              </w:rPr>
            </w:pPr>
            <w:r w:rsidRPr="00D96063">
              <w:rPr>
                <w:sz w:val="16"/>
                <w:szCs w:val="16"/>
              </w:rPr>
              <w:t>unbound</w:t>
            </w:r>
          </w:p>
        </w:tc>
      </w:tr>
      <w:tr w:rsidR="00C15F2E" w:rsidRPr="00D96063" w14:paraId="1CC58924" w14:textId="77777777" w:rsidTr="002C1DC3">
        <w:trPr>
          <w:cnfStyle w:val="000000010000" w:firstRow="0" w:lastRow="0" w:firstColumn="0" w:lastColumn="0" w:oddVBand="0" w:evenVBand="0" w:oddHBand="0" w:evenHBand="1" w:firstRowFirstColumn="0" w:firstRowLastColumn="0" w:lastRowFirstColumn="0" w:lastRowLastColumn="0"/>
          <w:trHeight w:val="240"/>
        </w:trPr>
        <w:tc>
          <w:tcPr>
            <w:tcW w:w="2750" w:type="pct"/>
            <w:noWrap/>
            <w:hideMark/>
          </w:tcPr>
          <w:p w14:paraId="00E4120A" w14:textId="77777777" w:rsidR="00C15F2E" w:rsidRPr="00D96063" w:rsidRDefault="00C15F2E" w:rsidP="00F11486">
            <w:pPr>
              <w:keepNext/>
              <w:keepLines/>
              <w:ind w:left="170" w:hanging="170"/>
              <w:jc w:val="left"/>
              <w:rPr>
                <w:sz w:val="16"/>
                <w:szCs w:val="16"/>
              </w:rPr>
            </w:pPr>
            <w:r w:rsidRPr="00D96063">
              <w:rPr>
                <w:sz w:val="16"/>
                <w:szCs w:val="16"/>
              </w:rPr>
              <w:tab/>
              <w:t>Manufacturing (ISIC 3)</w:t>
            </w:r>
          </w:p>
        </w:tc>
        <w:tc>
          <w:tcPr>
            <w:tcW w:w="755" w:type="pct"/>
            <w:noWrap/>
            <w:hideMark/>
          </w:tcPr>
          <w:p w14:paraId="4894B71D" w14:textId="77777777" w:rsidR="00C15F2E" w:rsidRPr="00D96063" w:rsidRDefault="00C15F2E" w:rsidP="002C1DC3">
            <w:pPr>
              <w:keepNext/>
              <w:keepLines/>
              <w:ind w:right="397"/>
              <w:jc w:val="right"/>
              <w:rPr>
                <w:sz w:val="16"/>
                <w:szCs w:val="16"/>
              </w:rPr>
            </w:pPr>
            <w:r w:rsidRPr="00D96063">
              <w:rPr>
                <w:sz w:val="16"/>
                <w:szCs w:val="16"/>
              </w:rPr>
              <w:t>12.7</w:t>
            </w:r>
          </w:p>
        </w:tc>
        <w:tc>
          <w:tcPr>
            <w:tcW w:w="755" w:type="pct"/>
            <w:noWrap/>
            <w:hideMark/>
          </w:tcPr>
          <w:p w14:paraId="0C41B732" w14:textId="77777777" w:rsidR="00C15F2E" w:rsidRPr="00D96063" w:rsidRDefault="00C15F2E" w:rsidP="002C1DC3">
            <w:pPr>
              <w:keepNext/>
              <w:keepLines/>
              <w:ind w:right="397"/>
              <w:jc w:val="right"/>
              <w:rPr>
                <w:sz w:val="16"/>
                <w:szCs w:val="16"/>
              </w:rPr>
            </w:pPr>
            <w:r w:rsidRPr="00D96063">
              <w:rPr>
                <w:sz w:val="16"/>
                <w:szCs w:val="16"/>
              </w:rPr>
              <w:t>12.3</w:t>
            </w:r>
          </w:p>
        </w:tc>
        <w:tc>
          <w:tcPr>
            <w:tcW w:w="740" w:type="pct"/>
            <w:noWrap/>
            <w:hideMark/>
          </w:tcPr>
          <w:p w14:paraId="501DA812" w14:textId="77777777" w:rsidR="00C15F2E" w:rsidRPr="00D96063" w:rsidRDefault="00C15F2E" w:rsidP="002C1DC3">
            <w:pPr>
              <w:keepNext/>
              <w:keepLines/>
              <w:ind w:right="227"/>
              <w:jc w:val="right"/>
              <w:rPr>
                <w:sz w:val="16"/>
                <w:szCs w:val="16"/>
              </w:rPr>
            </w:pPr>
            <w:r w:rsidRPr="00D96063">
              <w:rPr>
                <w:sz w:val="16"/>
                <w:szCs w:val="16"/>
              </w:rPr>
              <w:t>90.5</w:t>
            </w:r>
          </w:p>
        </w:tc>
      </w:tr>
      <w:tr w:rsidR="00C15F2E" w:rsidRPr="00D96063" w14:paraId="28405AD7" w14:textId="77777777" w:rsidTr="002C1DC3">
        <w:trPr>
          <w:trHeight w:val="240"/>
        </w:trPr>
        <w:tc>
          <w:tcPr>
            <w:tcW w:w="2750" w:type="pct"/>
            <w:noWrap/>
            <w:hideMark/>
          </w:tcPr>
          <w:p w14:paraId="612AF24F" w14:textId="77777777" w:rsidR="00C15F2E" w:rsidRPr="00D96063" w:rsidRDefault="00C15F2E" w:rsidP="00F11486">
            <w:pPr>
              <w:keepNext/>
              <w:keepLines/>
              <w:jc w:val="left"/>
              <w:rPr>
                <w:sz w:val="16"/>
                <w:szCs w:val="16"/>
              </w:rPr>
            </w:pPr>
            <w:r w:rsidRPr="00D96063">
              <w:rPr>
                <w:sz w:val="16"/>
                <w:szCs w:val="16"/>
              </w:rPr>
              <w:t>Duty-free tariff lines (% of all tariff lines)</w:t>
            </w:r>
          </w:p>
        </w:tc>
        <w:tc>
          <w:tcPr>
            <w:tcW w:w="755" w:type="pct"/>
            <w:noWrap/>
            <w:hideMark/>
          </w:tcPr>
          <w:p w14:paraId="479E9E6F" w14:textId="77777777" w:rsidR="00C15F2E" w:rsidRPr="00D96063" w:rsidRDefault="00C15F2E" w:rsidP="002C1DC3">
            <w:pPr>
              <w:keepNext/>
              <w:keepLines/>
              <w:ind w:right="397"/>
              <w:jc w:val="right"/>
              <w:rPr>
                <w:sz w:val="16"/>
                <w:szCs w:val="16"/>
              </w:rPr>
            </w:pPr>
            <w:r w:rsidRPr="00D96063">
              <w:rPr>
                <w:sz w:val="16"/>
                <w:szCs w:val="16"/>
              </w:rPr>
              <w:t>12.2</w:t>
            </w:r>
          </w:p>
        </w:tc>
        <w:tc>
          <w:tcPr>
            <w:tcW w:w="755" w:type="pct"/>
            <w:noWrap/>
            <w:hideMark/>
          </w:tcPr>
          <w:p w14:paraId="2B30EB15" w14:textId="77777777" w:rsidR="00C15F2E" w:rsidRPr="00D96063" w:rsidRDefault="00C15F2E" w:rsidP="002C1DC3">
            <w:pPr>
              <w:keepNext/>
              <w:keepLines/>
              <w:ind w:right="397"/>
              <w:jc w:val="right"/>
              <w:rPr>
                <w:sz w:val="16"/>
                <w:szCs w:val="16"/>
              </w:rPr>
            </w:pPr>
            <w:r w:rsidRPr="00D96063">
              <w:rPr>
                <w:sz w:val="16"/>
                <w:szCs w:val="16"/>
              </w:rPr>
              <w:t>1.6</w:t>
            </w:r>
          </w:p>
        </w:tc>
        <w:tc>
          <w:tcPr>
            <w:tcW w:w="740" w:type="pct"/>
            <w:noWrap/>
            <w:hideMark/>
          </w:tcPr>
          <w:p w14:paraId="0EB7478B" w14:textId="77777777" w:rsidR="00C15F2E" w:rsidRPr="00D96063" w:rsidRDefault="00C15F2E" w:rsidP="002C1DC3">
            <w:pPr>
              <w:keepNext/>
              <w:keepLines/>
              <w:ind w:right="227"/>
              <w:jc w:val="right"/>
              <w:rPr>
                <w:sz w:val="16"/>
                <w:szCs w:val="16"/>
              </w:rPr>
            </w:pPr>
            <w:r w:rsidRPr="00D96063">
              <w:rPr>
                <w:sz w:val="16"/>
                <w:szCs w:val="16"/>
              </w:rPr>
              <w:t>0.0</w:t>
            </w:r>
          </w:p>
        </w:tc>
      </w:tr>
      <w:tr w:rsidR="00C15F2E" w:rsidRPr="00D96063" w14:paraId="2E09F293" w14:textId="77777777" w:rsidTr="002C1DC3">
        <w:trPr>
          <w:cnfStyle w:val="000000010000" w:firstRow="0" w:lastRow="0" w:firstColumn="0" w:lastColumn="0" w:oddVBand="0" w:evenVBand="0" w:oddHBand="0" w:evenHBand="1" w:firstRowFirstColumn="0" w:firstRowLastColumn="0" w:lastRowFirstColumn="0" w:lastRowLastColumn="0"/>
          <w:trHeight w:val="240"/>
        </w:trPr>
        <w:tc>
          <w:tcPr>
            <w:tcW w:w="2750" w:type="pct"/>
            <w:noWrap/>
            <w:hideMark/>
          </w:tcPr>
          <w:p w14:paraId="47E9BE8D" w14:textId="77777777" w:rsidR="00C15F2E" w:rsidRPr="00D96063" w:rsidRDefault="00C15F2E" w:rsidP="00F11486">
            <w:pPr>
              <w:keepNext/>
              <w:keepLines/>
              <w:jc w:val="left"/>
              <w:rPr>
                <w:sz w:val="16"/>
                <w:szCs w:val="16"/>
              </w:rPr>
            </w:pPr>
            <w:r w:rsidRPr="00D96063">
              <w:rPr>
                <w:sz w:val="16"/>
                <w:szCs w:val="16"/>
              </w:rPr>
              <w:t>Simple average rate of dutiable lines only</w:t>
            </w:r>
          </w:p>
        </w:tc>
        <w:tc>
          <w:tcPr>
            <w:tcW w:w="755" w:type="pct"/>
            <w:noWrap/>
            <w:hideMark/>
          </w:tcPr>
          <w:p w14:paraId="6D3FF5E5" w14:textId="77777777" w:rsidR="00C15F2E" w:rsidRPr="00D96063" w:rsidRDefault="00C15F2E" w:rsidP="002C1DC3">
            <w:pPr>
              <w:keepNext/>
              <w:keepLines/>
              <w:ind w:right="397"/>
              <w:jc w:val="right"/>
              <w:rPr>
                <w:sz w:val="16"/>
                <w:szCs w:val="16"/>
              </w:rPr>
            </w:pPr>
            <w:r w:rsidRPr="00D96063">
              <w:rPr>
                <w:sz w:val="16"/>
                <w:szCs w:val="16"/>
              </w:rPr>
              <w:t>14.6</w:t>
            </w:r>
          </w:p>
        </w:tc>
        <w:tc>
          <w:tcPr>
            <w:tcW w:w="755" w:type="pct"/>
            <w:noWrap/>
            <w:hideMark/>
          </w:tcPr>
          <w:p w14:paraId="49C947C1" w14:textId="77777777" w:rsidR="00C15F2E" w:rsidRPr="00D96063" w:rsidRDefault="00C15F2E" w:rsidP="002C1DC3">
            <w:pPr>
              <w:keepNext/>
              <w:keepLines/>
              <w:ind w:right="397"/>
              <w:jc w:val="right"/>
              <w:rPr>
                <w:sz w:val="16"/>
                <w:szCs w:val="16"/>
              </w:rPr>
            </w:pPr>
            <w:r w:rsidRPr="00D96063">
              <w:rPr>
                <w:sz w:val="16"/>
                <w:szCs w:val="16"/>
              </w:rPr>
              <w:t>12.4</w:t>
            </w:r>
          </w:p>
        </w:tc>
        <w:tc>
          <w:tcPr>
            <w:tcW w:w="740" w:type="pct"/>
            <w:noWrap/>
            <w:hideMark/>
          </w:tcPr>
          <w:p w14:paraId="49D290CD" w14:textId="77777777" w:rsidR="00C15F2E" w:rsidRPr="00D96063" w:rsidRDefault="00C15F2E" w:rsidP="002C1DC3">
            <w:pPr>
              <w:keepNext/>
              <w:keepLines/>
              <w:ind w:right="227"/>
              <w:jc w:val="right"/>
              <w:rPr>
                <w:sz w:val="16"/>
                <w:szCs w:val="16"/>
              </w:rPr>
            </w:pPr>
            <w:r w:rsidRPr="00D96063">
              <w:rPr>
                <w:sz w:val="16"/>
                <w:szCs w:val="16"/>
              </w:rPr>
              <w:t>92.0</w:t>
            </w:r>
          </w:p>
        </w:tc>
      </w:tr>
      <w:tr w:rsidR="00C15F2E" w:rsidRPr="00D96063" w14:paraId="3FC3EFC4" w14:textId="77777777" w:rsidTr="002C1DC3">
        <w:trPr>
          <w:trHeight w:val="240"/>
        </w:trPr>
        <w:tc>
          <w:tcPr>
            <w:tcW w:w="2750" w:type="pct"/>
            <w:noWrap/>
            <w:hideMark/>
          </w:tcPr>
          <w:p w14:paraId="4EABACAC" w14:textId="77777777" w:rsidR="00C15F2E" w:rsidRPr="00D96063" w:rsidRDefault="00C15F2E" w:rsidP="00997D10">
            <w:pPr>
              <w:jc w:val="left"/>
              <w:rPr>
                <w:sz w:val="16"/>
                <w:szCs w:val="16"/>
              </w:rPr>
            </w:pPr>
            <w:r w:rsidRPr="00D96063">
              <w:rPr>
                <w:sz w:val="16"/>
                <w:szCs w:val="16"/>
              </w:rPr>
              <w:t>Tariff quotas (% of all tariff lines)</w:t>
            </w:r>
          </w:p>
        </w:tc>
        <w:tc>
          <w:tcPr>
            <w:tcW w:w="755" w:type="pct"/>
            <w:noWrap/>
            <w:hideMark/>
          </w:tcPr>
          <w:p w14:paraId="2B0C0FF6" w14:textId="77777777" w:rsidR="00C15F2E" w:rsidRPr="00D96063" w:rsidRDefault="00C15F2E" w:rsidP="002C1DC3">
            <w:pPr>
              <w:ind w:right="397"/>
              <w:jc w:val="right"/>
              <w:rPr>
                <w:sz w:val="16"/>
                <w:szCs w:val="16"/>
              </w:rPr>
            </w:pPr>
            <w:r w:rsidRPr="00D96063">
              <w:rPr>
                <w:sz w:val="16"/>
                <w:szCs w:val="16"/>
              </w:rPr>
              <w:t>0.0</w:t>
            </w:r>
          </w:p>
        </w:tc>
        <w:tc>
          <w:tcPr>
            <w:tcW w:w="755" w:type="pct"/>
            <w:noWrap/>
            <w:hideMark/>
          </w:tcPr>
          <w:p w14:paraId="08CD232B" w14:textId="77777777" w:rsidR="00C15F2E" w:rsidRPr="00D96063" w:rsidRDefault="00C15F2E" w:rsidP="002C1DC3">
            <w:pPr>
              <w:ind w:right="397"/>
              <w:jc w:val="right"/>
              <w:rPr>
                <w:sz w:val="16"/>
                <w:szCs w:val="16"/>
              </w:rPr>
            </w:pPr>
            <w:r w:rsidRPr="00D96063">
              <w:rPr>
                <w:sz w:val="16"/>
                <w:szCs w:val="16"/>
              </w:rPr>
              <w:t>0.0</w:t>
            </w:r>
          </w:p>
        </w:tc>
        <w:tc>
          <w:tcPr>
            <w:tcW w:w="740" w:type="pct"/>
            <w:noWrap/>
            <w:hideMark/>
          </w:tcPr>
          <w:p w14:paraId="40CAD115" w14:textId="77777777" w:rsidR="00C15F2E" w:rsidRPr="00D96063" w:rsidRDefault="00C15F2E" w:rsidP="002C1DC3">
            <w:pPr>
              <w:ind w:right="227"/>
              <w:jc w:val="right"/>
              <w:rPr>
                <w:sz w:val="16"/>
                <w:szCs w:val="16"/>
              </w:rPr>
            </w:pPr>
            <w:r w:rsidRPr="00D96063">
              <w:rPr>
                <w:sz w:val="16"/>
                <w:szCs w:val="16"/>
              </w:rPr>
              <w:t>0.0</w:t>
            </w:r>
          </w:p>
        </w:tc>
      </w:tr>
      <w:tr w:rsidR="00C15F2E" w:rsidRPr="00D96063" w14:paraId="6A897FFB" w14:textId="77777777" w:rsidTr="002C1DC3">
        <w:trPr>
          <w:cnfStyle w:val="000000010000" w:firstRow="0" w:lastRow="0" w:firstColumn="0" w:lastColumn="0" w:oddVBand="0" w:evenVBand="0" w:oddHBand="0" w:evenHBand="1" w:firstRowFirstColumn="0" w:firstRowLastColumn="0" w:lastRowFirstColumn="0" w:lastRowLastColumn="0"/>
          <w:trHeight w:val="240"/>
        </w:trPr>
        <w:tc>
          <w:tcPr>
            <w:tcW w:w="2750" w:type="pct"/>
            <w:noWrap/>
            <w:hideMark/>
          </w:tcPr>
          <w:p w14:paraId="5AD20393" w14:textId="77777777" w:rsidR="00C15F2E" w:rsidRPr="00D96063" w:rsidRDefault="00C15F2E" w:rsidP="00997D10">
            <w:pPr>
              <w:jc w:val="left"/>
              <w:rPr>
                <w:sz w:val="16"/>
                <w:szCs w:val="16"/>
              </w:rPr>
            </w:pPr>
            <w:r w:rsidRPr="00D96063">
              <w:rPr>
                <w:sz w:val="16"/>
                <w:szCs w:val="16"/>
              </w:rPr>
              <w:t>Non-</w:t>
            </w:r>
            <w:r w:rsidRPr="00D96063">
              <w:rPr>
                <w:i/>
                <w:sz w:val="16"/>
                <w:szCs w:val="16"/>
              </w:rPr>
              <w:t>ad valorem</w:t>
            </w:r>
            <w:r w:rsidRPr="00D96063">
              <w:rPr>
                <w:sz w:val="16"/>
                <w:szCs w:val="16"/>
              </w:rPr>
              <w:t xml:space="preserve"> tariffs (% of all tariff lines)</w:t>
            </w:r>
          </w:p>
        </w:tc>
        <w:tc>
          <w:tcPr>
            <w:tcW w:w="755" w:type="pct"/>
            <w:noWrap/>
            <w:hideMark/>
          </w:tcPr>
          <w:p w14:paraId="45E00248" w14:textId="77777777" w:rsidR="00C15F2E" w:rsidRPr="00D96063" w:rsidRDefault="00C15F2E" w:rsidP="002C1DC3">
            <w:pPr>
              <w:ind w:right="397"/>
              <w:jc w:val="right"/>
              <w:rPr>
                <w:sz w:val="16"/>
                <w:szCs w:val="16"/>
              </w:rPr>
            </w:pPr>
            <w:r w:rsidRPr="00D96063">
              <w:rPr>
                <w:sz w:val="16"/>
                <w:szCs w:val="16"/>
              </w:rPr>
              <w:t>0.0</w:t>
            </w:r>
          </w:p>
        </w:tc>
        <w:tc>
          <w:tcPr>
            <w:tcW w:w="755" w:type="pct"/>
            <w:noWrap/>
            <w:hideMark/>
          </w:tcPr>
          <w:p w14:paraId="3DC462DE" w14:textId="77777777" w:rsidR="00C15F2E" w:rsidRPr="00D96063" w:rsidRDefault="00C15F2E" w:rsidP="002C1DC3">
            <w:pPr>
              <w:ind w:right="397"/>
              <w:jc w:val="right"/>
              <w:rPr>
                <w:sz w:val="16"/>
                <w:szCs w:val="16"/>
              </w:rPr>
            </w:pPr>
            <w:r w:rsidRPr="00D96063">
              <w:rPr>
                <w:sz w:val="16"/>
                <w:szCs w:val="16"/>
              </w:rPr>
              <w:t>0.0</w:t>
            </w:r>
          </w:p>
        </w:tc>
        <w:tc>
          <w:tcPr>
            <w:tcW w:w="740" w:type="pct"/>
            <w:noWrap/>
            <w:hideMark/>
          </w:tcPr>
          <w:p w14:paraId="3211A8E7" w14:textId="77777777" w:rsidR="00C15F2E" w:rsidRPr="00D96063" w:rsidRDefault="00C15F2E" w:rsidP="002C1DC3">
            <w:pPr>
              <w:ind w:right="227"/>
              <w:jc w:val="right"/>
              <w:rPr>
                <w:sz w:val="16"/>
                <w:szCs w:val="16"/>
              </w:rPr>
            </w:pPr>
            <w:r w:rsidRPr="00D96063">
              <w:rPr>
                <w:sz w:val="16"/>
                <w:szCs w:val="16"/>
              </w:rPr>
              <w:t>0.0</w:t>
            </w:r>
          </w:p>
        </w:tc>
      </w:tr>
      <w:tr w:rsidR="00C15F2E" w:rsidRPr="00D96063" w14:paraId="69887C53" w14:textId="77777777" w:rsidTr="002C1DC3">
        <w:trPr>
          <w:trHeight w:val="240"/>
        </w:trPr>
        <w:tc>
          <w:tcPr>
            <w:tcW w:w="2750" w:type="pct"/>
            <w:noWrap/>
            <w:hideMark/>
          </w:tcPr>
          <w:p w14:paraId="37FFA6C3" w14:textId="77777777" w:rsidR="00C15F2E" w:rsidRPr="00D96063" w:rsidRDefault="00C15F2E" w:rsidP="00997D10">
            <w:pPr>
              <w:jc w:val="left"/>
              <w:rPr>
                <w:sz w:val="16"/>
                <w:szCs w:val="16"/>
              </w:rPr>
            </w:pPr>
            <w:r w:rsidRPr="00D96063">
              <w:rPr>
                <w:sz w:val="16"/>
                <w:szCs w:val="16"/>
              </w:rPr>
              <w:t>Domestic tariff "peaks" (% of all tariff lines)</w:t>
            </w:r>
            <w:r w:rsidRPr="00D96063">
              <w:rPr>
                <w:sz w:val="16"/>
                <w:szCs w:val="16"/>
                <w:vertAlign w:val="superscript"/>
              </w:rPr>
              <w:t>b</w:t>
            </w:r>
          </w:p>
        </w:tc>
        <w:tc>
          <w:tcPr>
            <w:tcW w:w="755" w:type="pct"/>
            <w:noWrap/>
            <w:hideMark/>
          </w:tcPr>
          <w:p w14:paraId="65AD53DD" w14:textId="77777777" w:rsidR="00C15F2E" w:rsidRPr="00D96063" w:rsidRDefault="00C15F2E" w:rsidP="002C1DC3">
            <w:pPr>
              <w:ind w:right="397"/>
              <w:jc w:val="right"/>
              <w:rPr>
                <w:sz w:val="16"/>
                <w:szCs w:val="16"/>
              </w:rPr>
            </w:pPr>
            <w:r w:rsidRPr="00D96063">
              <w:rPr>
                <w:sz w:val="16"/>
                <w:szCs w:val="16"/>
              </w:rPr>
              <w:t>0.0</w:t>
            </w:r>
          </w:p>
        </w:tc>
        <w:tc>
          <w:tcPr>
            <w:tcW w:w="755" w:type="pct"/>
            <w:noWrap/>
            <w:hideMark/>
          </w:tcPr>
          <w:p w14:paraId="45773AFF" w14:textId="77777777" w:rsidR="00C15F2E" w:rsidRPr="00D96063" w:rsidRDefault="00C15F2E" w:rsidP="002C1DC3">
            <w:pPr>
              <w:ind w:right="397"/>
              <w:jc w:val="right"/>
              <w:rPr>
                <w:sz w:val="16"/>
                <w:szCs w:val="16"/>
              </w:rPr>
            </w:pPr>
            <w:r w:rsidRPr="00D96063">
              <w:rPr>
                <w:sz w:val="16"/>
                <w:szCs w:val="16"/>
              </w:rPr>
              <w:t>0.0</w:t>
            </w:r>
          </w:p>
        </w:tc>
        <w:tc>
          <w:tcPr>
            <w:tcW w:w="740" w:type="pct"/>
            <w:noWrap/>
            <w:hideMark/>
          </w:tcPr>
          <w:p w14:paraId="0A1F3031" w14:textId="77777777" w:rsidR="00C15F2E" w:rsidRPr="00D96063" w:rsidRDefault="00C15F2E" w:rsidP="002C1DC3">
            <w:pPr>
              <w:ind w:right="227"/>
              <w:jc w:val="right"/>
              <w:rPr>
                <w:sz w:val="16"/>
                <w:szCs w:val="16"/>
              </w:rPr>
            </w:pPr>
            <w:r w:rsidRPr="00D96063">
              <w:rPr>
                <w:sz w:val="16"/>
                <w:szCs w:val="16"/>
              </w:rPr>
              <w:t>0.0</w:t>
            </w:r>
          </w:p>
        </w:tc>
      </w:tr>
      <w:tr w:rsidR="00C15F2E" w:rsidRPr="00D96063" w14:paraId="1217E26E" w14:textId="77777777" w:rsidTr="002C1DC3">
        <w:trPr>
          <w:cnfStyle w:val="000000010000" w:firstRow="0" w:lastRow="0" w:firstColumn="0" w:lastColumn="0" w:oddVBand="0" w:evenVBand="0" w:oddHBand="0" w:evenHBand="1" w:firstRowFirstColumn="0" w:firstRowLastColumn="0" w:lastRowFirstColumn="0" w:lastRowLastColumn="0"/>
          <w:trHeight w:val="240"/>
        </w:trPr>
        <w:tc>
          <w:tcPr>
            <w:tcW w:w="2750" w:type="pct"/>
            <w:noWrap/>
            <w:hideMark/>
          </w:tcPr>
          <w:p w14:paraId="341662A8" w14:textId="77777777" w:rsidR="00C15F2E" w:rsidRPr="00D96063" w:rsidRDefault="00C15F2E" w:rsidP="00997D10">
            <w:pPr>
              <w:jc w:val="left"/>
              <w:rPr>
                <w:sz w:val="16"/>
                <w:szCs w:val="16"/>
              </w:rPr>
            </w:pPr>
            <w:r w:rsidRPr="00D96063">
              <w:rPr>
                <w:sz w:val="16"/>
                <w:szCs w:val="16"/>
              </w:rPr>
              <w:t>International tariff "peaks" (% of all tariff lines)</w:t>
            </w:r>
            <w:r w:rsidRPr="00D96063">
              <w:rPr>
                <w:sz w:val="16"/>
                <w:szCs w:val="16"/>
                <w:vertAlign w:val="superscript"/>
              </w:rPr>
              <w:t>c</w:t>
            </w:r>
          </w:p>
        </w:tc>
        <w:tc>
          <w:tcPr>
            <w:tcW w:w="755" w:type="pct"/>
            <w:noWrap/>
            <w:hideMark/>
          </w:tcPr>
          <w:p w14:paraId="59D38D17" w14:textId="77777777" w:rsidR="00C15F2E" w:rsidRPr="00D96063" w:rsidRDefault="00C15F2E" w:rsidP="002C1DC3">
            <w:pPr>
              <w:ind w:right="397"/>
              <w:jc w:val="right"/>
              <w:rPr>
                <w:sz w:val="16"/>
                <w:szCs w:val="16"/>
              </w:rPr>
            </w:pPr>
            <w:r w:rsidRPr="00D96063">
              <w:rPr>
                <w:sz w:val="16"/>
                <w:szCs w:val="16"/>
              </w:rPr>
              <w:t>43.5</w:t>
            </w:r>
          </w:p>
        </w:tc>
        <w:tc>
          <w:tcPr>
            <w:tcW w:w="755" w:type="pct"/>
            <w:noWrap/>
            <w:hideMark/>
          </w:tcPr>
          <w:p w14:paraId="23D87ED4" w14:textId="77777777" w:rsidR="00C15F2E" w:rsidRPr="00D96063" w:rsidRDefault="00C15F2E" w:rsidP="002C1DC3">
            <w:pPr>
              <w:ind w:right="397"/>
              <w:jc w:val="right"/>
              <w:rPr>
                <w:sz w:val="16"/>
                <w:szCs w:val="16"/>
              </w:rPr>
            </w:pPr>
            <w:r w:rsidRPr="00D96063">
              <w:rPr>
                <w:sz w:val="16"/>
                <w:szCs w:val="16"/>
              </w:rPr>
              <w:t>38.4</w:t>
            </w:r>
          </w:p>
        </w:tc>
        <w:tc>
          <w:tcPr>
            <w:tcW w:w="740" w:type="pct"/>
            <w:noWrap/>
            <w:hideMark/>
          </w:tcPr>
          <w:p w14:paraId="43864BD4" w14:textId="77777777" w:rsidR="00C15F2E" w:rsidRPr="00D96063" w:rsidRDefault="00C15F2E" w:rsidP="002C1DC3">
            <w:pPr>
              <w:ind w:right="227"/>
              <w:jc w:val="right"/>
              <w:rPr>
                <w:sz w:val="16"/>
                <w:szCs w:val="16"/>
              </w:rPr>
            </w:pPr>
            <w:r w:rsidRPr="00D96063">
              <w:rPr>
                <w:sz w:val="16"/>
                <w:szCs w:val="16"/>
              </w:rPr>
              <w:t>15.1</w:t>
            </w:r>
          </w:p>
        </w:tc>
      </w:tr>
      <w:tr w:rsidR="00C15F2E" w:rsidRPr="00D96063" w14:paraId="4A991E0B" w14:textId="77777777" w:rsidTr="002C1DC3">
        <w:trPr>
          <w:trHeight w:val="240"/>
        </w:trPr>
        <w:tc>
          <w:tcPr>
            <w:tcW w:w="2750" w:type="pct"/>
            <w:noWrap/>
            <w:hideMark/>
          </w:tcPr>
          <w:p w14:paraId="39564458" w14:textId="77777777" w:rsidR="00C15F2E" w:rsidRPr="00D96063" w:rsidRDefault="00C15F2E" w:rsidP="00997D10">
            <w:pPr>
              <w:jc w:val="left"/>
              <w:rPr>
                <w:sz w:val="16"/>
                <w:szCs w:val="16"/>
              </w:rPr>
            </w:pPr>
            <w:r w:rsidRPr="00D96063">
              <w:rPr>
                <w:sz w:val="16"/>
                <w:szCs w:val="16"/>
              </w:rPr>
              <w:t xml:space="preserve">Standard deviation </w:t>
            </w:r>
          </w:p>
        </w:tc>
        <w:tc>
          <w:tcPr>
            <w:tcW w:w="755" w:type="pct"/>
            <w:noWrap/>
            <w:hideMark/>
          </w:tcPr>
          <w:p w14:paraId="3D88A827" w14:textId="77777777" w:rsidR="00C15F2E" w:rsidRPr="00D96063" w:rsidRDefault="00C15F2E" w:rsidP="002C1DC3">
            <w:pPr>
              <w:ind w:right="397"/>
              <w:jc w:val="right"/>
              <w:rPr>
                <w:sz w:val="16"/>
                <w:szCs w:val="16"/>
              </w:rPr>
            </w:pPr>
            <w:r w:rsidRPr="00D96063">
              <w:rPr>
                <w:sz w:val="16"/>
                <w:szCs w:val="16"/>
              </w:rPr>
              <w:t>7.0</w:t>
            </w:r>
          </w:p>
        </w:tc>
        <w:tc>
          <w:tcPr>
            <w:tcW w:w="755" w:type="pct"/>
            <w:noWrap/>
            <w:hideMark/>
          </w:tcPr>
          <w:p w14:paraId="3EA7C53F" w14:textId="77777777" w:rsidR="00C15F2E" w:rsidRPr="00D96063" w:rsidRDefault="00C15F2E" w:rsidP="002C1DC3">
            <w:pPr>
              <w:ind w:right="397"/>
              <w:jc w:val="right"/>
              <w:rPr>
                <w:sz w:val="16"/>
                <w:szCs w:val="16"/>
              </w:rPr>
            </w:pPr>
            <w:r w:rsidRPr="00D96063">
              <w:rPr>
                <w:sz w:val="16"/>
                <w:szCs w:val="16"/>
              </w:rPr>
              <w:t>7.5</w:t>
            </w:r>
          </w:p>
        </w:tc>
        <w:tc>
          <w:tcPr>
            <w:tcW w:w="740" w:type="pct"/>
            <w:noWrap/>
            <w:hideMark/>
          </w:tcPr>
          <w:p w14:paraId="4546DD00" w14:textId="77777777" w:rsidR="00C15F2E" w:rsidRPr="00D96063" w:rsidRDefault="00C15F2E" w:rsidP="002C1DC3">
            <w:pPr>
              <w:ind w:right="227"/>
              <w:jc w:val="right"/>
              <w:rPr>
                <w:sz w:val="16"/>
                <w:szCs w:val="16"/>
              </w:rPr>
            </w:pPr>
            <w:r w:rsidRPr="00D96063">
              <w:rPr>
                <w:sz w:val="16"/>
                <w:szCs w:val="16"/>
              </w:rPr>
              <w:t>19.8</w:t>
            </w:r>
          </w:p>
        </w:tc>
      </w:tr>
      <w:tr w:rsidR="00C15F2E" w:rsidRPr="00D96063" w14:paraId="7C8EC9EC" w14:textId="77777777" w:rsidTr="002C1DC3">
        <w:trPr>
          <w:cnfStyle w:val="000000010000" w:firstRow="0" w:lastRow="0" w:firstColumn="0" w:lastColumn="0" w:oddVBand="0" w:evenVBand="0" w:oddHBand="0" w:evenHBand="1" w:firstRowFirstColumn="0" w:firstRowLastColumn="0" w:lastRowFirstColumn="0" w:lastRowLastColumn="0"/>
          <w:trHeight w:val="240"/>
        </w:trPr>
        <w:tc>
          <w:tcPr>
            <w:tcW w:w="2750" w:type="pct"/>
            <w:noWrap/>
            <w:hideMark/>
          </w:tcPr>
          <w:p w14:paraId="6F226C0D" w14:textId="77777777" w:rsidR="00C15F2E" w:rsidRPr="00D96063" w:rsidRDefault="00C15F2E" w:rsidP="00997D10">
            <w:pPr>
              <w:jc w:val="left"/>
              <w:rPr>
                <w:sz w:val="16"/>
                <w:szCs w:val="16"/>
              </w:rPr>
            </w:pPr>
            <w:r w:rsidRPr="00D96063">
              <w:rPr>
                <w:sz w:val="16"/>
                <w:szCs w:val="16"/>
              </w:rPr>
              <w:t xml:space="preserve">Coefficient of variation </w:t>
            </w:r>
          </w:p>
        </w:tc>
        <w:tc>
          <w:tcPr>
            <w:tcW w:w="755" w:type="pct"/>
            <w:noWrap/>
            <w:hideMark/>
          </w:tcPr>
          <w:p w14:paraId="169829AF" w14:textId="77777777" w:rsidR="00C15F2E" w:rsidRPr="00D96063" w:rsidRDefault="00C15F2E" w:rsidP="002C1DC3">
            <w:pPr>
              <w:ind w:right="397"/>
              <w:jc w:val="right"/>
              <w:rPr>
                <w:sz w:val="16"/>
                <w:szCs w:val="16"/>
              </w:rPr>
            </w:pPr>
            <w:r w:rsidRPr="00D96063">
              <w:rPr>
                <w:sz w:val="16"/>
                <w:szCs w:val="16"/>
              </w:rPr>
              <w:t>0.5</w:t>
            </w:r>
          </w:p>
        </w:tc>
        <w:tc>
          <w:tcPr>
            <w:tcW w:w="755" w:type="pct"/>
            <w:noWrap/>
            <w:hideMark/>
          </w:tcPr>
          <w:p w14:paraId="6683D4E5" w14:textId="77777777" w:rsidR="00C15F2E" w:rsidRPr="00D96063" w:rsidRDefault="00C15F2E" w:rsidP="002C1DC3">
            <w:pPr>
              <w:ind w:right="397"/>
              <w:jc w:val="right"/>
              <w:rPr>
                <w:sz w:val="16"/>
                <w:szCs w:val="16"/>
              </w:rPr>
            </w:pPr>
            <w:r w:rsidRPr="00D96063">
              <w:rPr>
                <w:sz w:val="16"/>
                <w:szCs w:val="16"/>
              </w:rPr>
              <w:t>0.6</w:t>
            </w:r>
          </w:p>
        </w:tc>
        <w:tc>
          <w:tcPr>
            <w:tcW w:w="740" w:type="pct"/>
            <w:noWrap/>
            <w:hideMark/>
          </w:tcPr>
          <w:p w14:paraId="6A8B497A" w14:textId="77777777" w:rsidR="00C15F2E" w:rsidRPr="00D96063" w:rsidRDefault="00C15F2E" w:rsidP="002C1DC3">
            <w:pPr>
              <w:ind w:right="227"/>
              <w:jc w:val="right"/>
              <w:rPr>
                <w:sz w:val="16"/>
                <w:szCs w:val="16"/>
              </w:rPr>
            </w:pPr>
            <w:r w:rsidRPr="00D96063">
              <w:rPr>
                <w:sz w:val="16"/>
                <w:szCs w:val="16"/>
              </w:rPr>
              <w:t>0.2</w:t>
            </w:r>
          </w:p>
        </w:tc>
      </w:tr>
      <w:tr w:rsidR="00C15F2E" w:rsidRPr="00D96063" w14:paraId="36FEB6F5" w14:textId="77777777" w:rsidTr="002C1DC3">
        <w:trPr>
          <w:trHeight w:val="240"/>
        </w:trPr>
        <w:tc>
          <w:tcPr>
            <w:tcW w:w="2750" w:type="pct"/>
            <w:noWrap/>
            <w:hideMark/>
          </w:tcPr>
          <w:p w14:paraId="0CE56590" w14:textId="77777777" w:rsidR="00C15F2E" w:rsidRPr="00D96063" w:rsidRDefault="00C15F2E" w:rsidP="00997D10">
            <w:pPr>
              <w:jc w:val="left"/>
              <w:rPr>
                <w:sz w:val="16"/>
                <w:szCs w:val="16"/>
              </w:rPr>
            </w:pPr>
            <w:r w:rsidRPr="00D96063">
              <w:rPr>
                <w:sz w:val="16"/>
                <w:szCs w:val="16"/>
              </w:rPr>
              <w:t>Nuisance applied rates (% of all tariff lines)</w:t>
            </w:r>
            <w:r w:rsidRPr="00D96063">
              <w:rPr>
                <w:sz w:val="16"/>
                <w:szCs w:val="16"/>
                <w:vertAlign w:val="superscript"/>
              </w:rPr>
              <w:t>d</w:t>
            </w:r>
          </w:p>
        </w:tc>
        <w:tc>
          <w:tcPr>
            <w:tcW w:w="755" w:type="pct"/>
            <w:noWrap/>
            <w:hideMark/>
          </w:tcPr>
          <w:p w14:paraId="5775FE7B" w14:textId="77777777" w:rsidR="00C15F2E" w:rsidRPr="00D96063" w:rsidRDefault="00C15F2E" w:rsidP="002C1DC3">
            <w:pPr>
              <w:ind w:right="397"/>
              <w:jc w:val="right"/>
              <w:rPr>
                <w:sz w:val="16"/>
                <w:szCs w:val="16"/>
              </w:rPr>
            </w:pPr>
            <w:r w:rsidRPr="00D96063">
              <w:rPr>
                <w:sz w:val="16"/>
                <w:szCs w:val="16"/>
              </w:rPr>
              <w:t>0.0</w:t>
            </w:r>
          </w:p>
        </w:tc>
        <w:tc>
          <w:tcPr>
            <w:tcW w:w="755" w:type="pct"/>
            <w:noWrap/>
            <w:hideMark/>
          </w:tcPr>
          <w:p w14:paraId="64B0A539" w14:textId="77777777" w:rsidR="00C15F2E" w:rsidRPr="00D96063" w:rsidRDefault="00C15F2E" w:rsidP="002C1DC3">
            <w:pPr>
              <w:ind w:right="397"/>
              <w:jc w:val="right"/>
              <w:rPr>
                <w:sz w:val="16"/>
                <w:szCs w:val="16"/>
              </w:rPr>
            </w:pPr>
            <w:r w:rsidRPr="00D96063">
              <w:rPr>
                <w:sz w:val="16"/>
                <w:szCs w:val="16"/>
              </w:rPr>
              <w:t>0.0</w:t>
            </w:r>
          </w:p>
        </w:tc>
        <w:tc>
          <w:tcPr>
            <w:tcW w:w="740" w:type="pct"/>
            <w:noWrap/>
            <w:hideMark/>
          </w:tcPr>
          <w:p w14:paraId="67BF752A" w14:textId="77777777" w:rsidR="00C15F2E" w:rsidRPr="00D96063" w:rsidRDefault="00C15F2E" w:rsidP="002C1DC3">
            <w:pPr>
              <w:ind w:right="227"/>
              <w:jc w:val="right"/>
              <w:rPr>
                <w:sz w:val="16"/>
                <w:szCs w:val="16"/>
              </w:rPr>
            </w:pPr>
            <w:r w:rsidRPr="00D96063">
              <w:rPr>
                <w:sz w:val="16"/>
                <w:szCs w:val="16"/>
              </w:rPr>
              <w:t>0.0</w:t>
            </w:r>
          </w:p>
        </w:tc>
      </w:tr>
    </w:tbl>
    <w:p w14:paraId="64BDA1A7" w14:textId="77777777" w:rsidR="00C15F2E" w:rsidRPr="00D96063" w:rsidRDefault="00C15F2E" w:rsidP="00E101A6">
      <w:pPr>
        <w:pStyle w:val="NoteText"/>
        <w:spacing w:before="120" w:after="120"/>
      </w:pPr>
      <w:r w:rsidRPr="00D96063">
        <w:t>n.a.</w:t>
      </w:r>
      <w:r w:rsidRPr="00D96063">
        <w:tab/>
        <w:t>Not applicable.</w:t>
      </w:r>
    </w:p>
    <w:p w14:paraId="59EF7CE7" w14:textId="6DF6BBAD" w:rsidR="00C15F2E" w:rsidRPr="00D96063" w:rsidRDefault="00AA5626" w:rsidP="00E101A6">
      <w:pPr>
        <w:pStyle w:val="NoteText"/>
      </w:pPr>
      <w:r>
        <w:t>a</w:t>
      </w:r>
      <w:r w:rsidR="00C15F2E" w:rsidRPr="00D96063">
        <w:tab/>
        <w:t>Final bound rate is based on the Consolidated Tariff Schedule (CTS) in HS17 nomenclature. Calculations are based on total tariff lines (5,402 tariff lines).</w:t>
      </w:r>
    </w:p>
    <w:p w14:paraId="53977FB6" w14:textId="2D8AC01A" w:rsidR="00C15F2E" w:rsidRPr="00D96063" w:rsidRDefault="00AA5626" w:rsidP="00E101A6">
      <w:pPr>
        <w:pStyle w:val="NoteText"/>
      </w:pPr>
      <w:r>
        <w:t>b</w:t>
      </w:r>
      <w:r w:rsidR="00C15F2E" w:rsidRPr="00D96063">
        <w:tab/>
        <w:t>Domestic tariff peaks are defined as those exceeding three times the overall simple average applied rate.</w:t>
      </w:r>
    </w:p>
    <w:p w14:paraId="760B4221" w14:textId="3EF880C9" w:rsidR="00C15F2E" w:rsidRPr="00D96063" w:rsidRDefault="00AA5626" w:rsidP="00E101A6">
      <w:pPr>
        <w:pStyle w:val="NoteText"/>
      </w:pPr>
      <w:r>
        <w:t>c</w:t>
      </w:r>
      <w:r w:rsidR="00C15F2E" w:rsidRPr="00D96063">
        <w:tab/>
        <w:t>International tariff peaks are defined as those exceeding 15%.</w:t>
      </w:r>
    </w:p>
    <w:p w14:paraId="28F4E41A" w14:textId="5E71629A" w:rsidR="00C15F2E" w:rsidRPr="00D96063" w:rsidRDefault="00AA5626" w:rsidP="00E101A6">
      <w:pPr>
        <w:pStyle w:val="NoteText"/>
      </w:pPr>
      <w:r>
        <w:t>d</w:t>
      </w:r>
      <w:r w:rsidR="00C15F2E" w:rsidRPr="00D96063">
        <w:tab/>
        <w:t>Nuisance rates are those greater than zero, but less than or equal to 2%.</w:t>
      </w:r>
    </w:p>
    <w:p w14:paraId="55DF7384" w14:textId="77777777" w:rsidR="00C15F2E" w:rsidRPr="00D96063" w:rsidRDefault="00C15F2E" w:rsidP="00E101A6">
      <w:pPr>
        <w:pStyle w:val="NoteText"/>
        <w:spacing w:before="120" w:after="120"/>
      </w:pPr>
      <w:r w:rsidRPr="00D96063">
        <w:t>Note:</w:t>
      </w:r>
      <w:r w:rsidRPr="00D96063">
        <w:tab/>
        <w:t>The 2013 tariff is based on HS12 nomenclature consisting of 6,062 tariff lines (at 10-digit tariff line level). The 2022 tariff is based on HS17 nomenclature consisting of 6,129 tariff lines (at 10-digit tariff line level).</w:t>
      </w:r>
    </w:p>
    <w:p w14:paraId="785F6006" w14:textId="77777777" w:rsidR="00C15F2E" w:rsidRPr="00D96063" w:rsidRDefault="00C15F2E" w:rsidP="00E101A6">
      <w:pPr>
        <w:pStyle w:val="NoteText"/>
        <w:spacing w:before="120" w:after="240"/>
      </w:pPr>
      <w:r w:rsidRPr="00D96063">
        <w:t>Source:</w:t>
      </w:r>
      <w:r w:rsidRPr="00D96063">
        <w:tab/>
        <w:t>WTO Secretariat calculations, based on information provided by the authorities; and WTO Integrated Database and CTS database.</w:t>
      </w:r>
    </w:p>
    <w:p w14:paraId="7DF3B48C" w14:textId="77777777" w:rsidR="00C15F2E" w:rsidRPr="00D96063" w:rsidRDefault="00C15F2E" w:rsidP="00E101A6">
      <w:pPr>
        <w:pStyle w:val="BodyText"/>
        <w:numPr>
          <w:ilvl w:val="6"/>
          <w:numId w:val="16"/>
        </w:numPr>
      </w:pPr>
      <w:r w:rsidRPr="00D96063">
        <w:t xml:space="preserve">The tariff consists of five CET bands (all </w:t>
      </w:r>
      <w:r w:rsidRPr="00D96063">
        <w:rPr>
          <w:i/>
        </w:rPr>
        <w:t>ad valorem</w:t>
      </w:r>
      <w:r w:rsidRPr="00D96063">
        <w:t>): zero, 5%, 10%, 20%, and 35%. There are some noteworthy structural changes from when Ghana based its tariff on the CET (Chart 3.2):</w:t>
      </w:r>
    </w:p>
    <w:p w14:paraId="09624E22" w14:textId="77777777" w:rsidR="00C15F2E" w:rsidRPr="00D96063" w:rsidRDefault="00C15F2E" w:rsidP="003758E5">
      <w:pPr>
        <w:pStyle w:val="ListBullet2"/>
        <w:numPr>
          <w:ilvl w:val="1"/>
          <w:numId w:val="9"/>
        </w:numPr>
      </w:pPr>
      <w:r w:rsidRPr="00D96063">
        <w:t>The share of duty-free tariff lines decreased to 1.6% in 2022 (down from 12.2% in 2013), because most of the tariff lines that were duty-free in 2013 now carry a 5% rate under the CET.</w:t>
      </w:r>
    </w:p>
    <w:p w14:paraId="1B5C17CA" w14:textId="77777777" w:rsidR="00C15F2E" w:rsidRPr="00D96063" w:rsidRDefault="00C15F2E" w:rsidP="003758E5">
      <w:pPr>
        <w:pStyle w:val="ListBullet2"/>
        <w:numPr>
          <w:ilvl w:val="1"/>
          <w:numId w:val="9"/>
        </w:numPr>
      </w:pPr>
      <w:r w:rsidRPr="00D96063">
        <w:t>About half of the 2013 rates that were at 5% have been increased to 10%. On the other hand, a third of the tariff lines that were previously carrying the 20% rate are now subject to either 5% or 10%.</w:t>
      </w:r>
    </w:p>
    <w:p w14:paraId="37096505" w14:textId="77777777" w:rsidR="00C15F2E" w:rsidRPr="00D96063" w:rsidRDefault="00C15F2E" w:rsidP="003758E5">
      <w:pPr>
        <w:pStyle w:val="ListBullet2"/>
        <w:numPr>
          <w:ilvl w:val="1"/>
          <w:numId w:val="9"/>
        </w:numPr>
      </w:pPr>
      <w:r w:rsidRPr="00D96063">
        <w:t>The 35% tariff results from the implementation of the CET and applies to 131 lines previously subject to a 20% rate. About 45% of all tariff lines are subject to tariffs of 20% or 35%.</w:t>
      </w:r>
    </w:p>
    <w:p w14:paraId="7E7532F9" w14:textId="456A1362" w:rsidR="00C15F2E" w:rsidRPr="00D96063" w:rsidRDefault="00C15F2E" w:rsidP="0087398E">
      <w:pPr>
        <w:pStyle w:val="Caption"/>
      </w:pPr>
      <w:bookmarkStart w:id="96" w:name="_Toc103607802"/>
      <w:r w:rsidRPr="00D96063">
        <w:lastRenderedPageBreak/>
        <w:t xml:space="preserve">Chart </w:t>
      </w:r>
      <w:fldSimple w:instr=" STYLEREF 1 \s ">
        <w:r w:rsidR="004B63B1">
          <w:rPr>
            <w:noProof/>
          </w:rPr>
          <w:t>3</w:t>
        </w:r>
      </w:fldSimple>
      <w:r w:rsidR="00045F7A">
        <w:t>.</w:t>
      </w:r>
      <w:fldSimple w:instr=" SEQ Chart \* ARABIC \s 1 ">
        <w:r w:rsidR="004B63B1">
          <w:rPr>
            <w:noProof/>
          </w:rPr>
          <w:t>2</w:t>
        </w:r>
      </w:fldSimple>
      <w:r w:rsidRPr="00D96063">
        <w:t xml:space="preserve"> Distribution of MFN applied tariff rates, 2013 and 2022</w:t>
      </w:r>
      <w:bookmarkEnd w:id="96"/>
    </w:p>
    <w:p w14:paraId="71318991" w14:textId="77777777" w:rsidR="00C15F2E" w:rsidRPr="00D96063" w:rsidRDefault="00C15F2E" w:rsidP="002F68D0">
      <w:r w:rsidRPr="00D96063">
        <w:rPr>
          <w:noProof/>
        </w:rPr>
        <w:drawing>
          <wp:inline distT="0" distB="0" distL="0" distR="0" wp14:anchorId="0010C1A8" wp14:editId="1DE200F5">
            <wp:extent cx="5731510" cy="26822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t="7454" b="17587"/>
                    <a:stretch/>
                  </pic:blipFill>
                  <pic:spPr bwMode="auto">
                    <a:xfrm>
                      <a:off x="0" y="0"/>
                      <a:ext cx="5731510" cy="2682240"/>
                    </a:xfrm>
                    <a:prstGeom prst="rect">
                      <a:avLst/>
                    </a:prstGeom>
                    <a:noFill/>
                    <a:ln>
                      <a:noFill/>
                    </a:ln>
                    <a:extLst>
                      <a:ext uri="{53640926-AAD7-44D8-BBD7-CCE9431645EC}">
                        <a14:shadowObscured xmlns:a14="http://schemas.microsoft.com/office/drawing/2010/main"/>
                      </a:ext>
                    </a:extLst>
                  </pic:spPr>
                </pic:pic>
              </a:graphicData>
            </a:graphic>
          </wp:inline>
        </w:drawing>
      </w:r>
    </w:p>
    <w:p w14:paraId="14777D7C" w14:textId="77777777" w:rsidR="00C15F2E" w:rsidRPr="00D96063" w:rsidRDefault="00C15F2E" w:rsidP="0087398E">
      <w:pPr>
        <w:pStyle w:val="NoteText"/>
        <w:spacing w:before="120" w:after="120"/>
      </w:pPr>
      <w:r w:rsidRPr="00D96063">
        <w:t>n.a.</w:t>
      </w:r>
      <w:r w:rsidRPr="00D96063">
        <w:tab/>
        <w:t>Not applicable.</w:t>
      </w:r>
    </w:p>
    <w:p w14:paraId="4715B0A0" w14:textId="77777777" w:rsidR="00C15F2E" w:rsidRPr="00D96063" w:rsidRDefault="00C15F2E" w:rsidP="0087398E">
      <w:pPr>
        <w:pStyle w:val="NoteText"/>
        <w:spacing w:before="120" w:after="120"/>
      </w:pPr>
      <w:r w:rsidRPr="00D96063">
        <w:t>Note:</w:t>
      </w:r>
      <w:r w:rsidRPr="00D96063">
        <w:tab/>
        <w:t>Figures above the bars denote the share of total lines. 2013 tariff schedule is based on HS12 nomenclature, and 2022 on HS17.</w:t>
      </w:r>
    </w:p>
    <w:p w14:paraId="2625B4E8" w14:textId="77777777" w:rsidR="00C15F2E" w:rsidRPr="00D96063" w:rsidRDefault="00C15F2E" w:rsidP="0087398E">
      <w:pPr>
        <w:pStyle w:val="NoteText"/>
        <w:spacing w:before="120" w:after="240"/>
      </w:pPr>
      <w:r w:rsidRPr="00D96063">
        <w:t>Source:</w:t>
      </w:r>
      <w:r w:rsidRPr="00D96063">
        <w:tab/>
        <w:t>WTO Secretariat calculations, based on data provided by the authorities; and WTO Integrated Database.</w:t>
      </w:r>
    </w:p>
    <w:p w14:paraId="0F99E666" w14:textId="77777777" w:rsidR="00C15F2E" w:rsidRPr="00D96063" w:rsidRDefault="00C15F2E" w:rsidP="00E101A6">
      <w:pPr>
        <w:pStyle w:val="BodyText"/>
        <w:numPr>
          <w:ilvl w:val="6"/>
          <w:numId w:val="16"/>
        </w:numPr>
      </w:pPr>
      <w:r w:rsidRPr="00D96063">
        <w:t>By sector, MFN tariff rates on agricultural products (WTO definition) have decreased most, to an average of 15.5% (Table 3.4). However, Ghana's implementation of the CET has led to strong tariff increases (with a likely upward influence on consumer prices) particularly for meat products, fish and fishery products, and sugars and confectionery, which now carry the highest rates. In contrast, tariffs have fallen on average on dairy products, beverages, spirits, tobacco, and coffee and tea.</w:t>
      </w:r>
    </w:p>
    <w:p w14:paraId="1E28A0C9" w14:textId="4A1274B4" w:rsidR="00C15F2E" w:rsidRPr="00D96063" w:rsidRDefault="00C15F2E" w:rsidP="00E101A6">
      <w:pPr>
        <w:pStyle w:val="BodyText"/>
        <w:numPr>
          <w:ilvl w:val="6"/>
          <w:numId w:val="16"/>
        </w:numPr>
      </w:pPr>
      <w:r w:rsidRPr="00D96063">
        <w:t>Tariffs on non-agricultural products remain lower, at an average of 11.6%. Nonetheless, tariffs on transport equipment have increased from 5.5% to 8.8%. In contrast, strong decreases in tariffs on chemicals have been recorded. On cotton, the lowering of import duties to the CET rate of 5% for the least-processed forms of cotton and 10% for the most traded forms of cotton could help lower costs on those fabrics and textiles that are dependent on imported cotton inputs.</w:t>
      </w:r>
    </w:p>
    <w:p w14:paraId="17AD0EAC" w14:textId="46E87E93" w:rsidR="00C15F2E" w:rsidRPr="00D96063" w:rsidRDefault="00C15F2E" w:rsidP="00E101A6">
      <w:pPr>
        <w:pStyle w:val="Caption"/>
      </w:pPr>
      <w:bookmarkStart w:id="97" w:name="_Toc103607885"/>
      <w:r w:rsidRPr="00D96063">
        <w:t xml:space="preserve">Table </w:t>
      </w:r>
      <w:fldSimple w:instr=" STYLEREF 1 \s ">
        <w:r w:rsidR="004B63B1">
          <w:rPr>
            <w:noProof/>
          </w:rPr>
          <w:t>3</w:t>
        </w:r>
      </w:fldSimple>
      <w:r w:rsidR="00BF3184">
        <w:t>.</w:t>
      </w:r>
      <w:fldSimple w:instr=" SEQ Table \* ARABIC \s 1 ">
        <w:r w:rsidR="004B63B1">
          <w:rPr>
            <w:noProof/>
          </w:rPr>
          <w:t>4</w:t>
        </w:r>
      </w:fldSimple>
      <w:r w:rsidRPr="00D96063">
        <w:t xml:space="preserve"> Comparative analysis of Ghana's applied MFN tariff, 2007, 2013, and 2022</w:t>
      </w:r>
      <w:bookmarkEnd w:id="97"/>
    </w:p>
    <w:tbl>
      <w:tblPr>
        <w:tblStyle w:val="WTOTable1"/>
        <w:tblW w:w="5000" w:type="pct"/>
        <w:tblLook w:val="05E0" w:firstRow="1" w:lastRow="1" w:firstColumn="1" w:lastColumn="1" w:noHBand="0" w:noVBand="1"/>
      </w:tblPr>
      <w:tblGrid>
        <w:gridCol w:w="4856"/>
        <w:gridCol w:w="1457"/>
        <w:gridCol w:w="1278"/>
        <w:gridCol w:w="1425"/>
      </w:tblGrid>
      <w:tr w:rsidR="00C15F2E" w:rsidRPr="00D96063" w14:paraId="2A157785" w14:textId="77777777" w:rsidTr="00997D10">
        <w:trPr>
          <w:cnfStyle w:val="100000000000" w:firstRow="1" w:lastRow="0" w:firstColumn="0" w:lastColumn="0" w:oddVBand="0" w:evenVBand="0" w:oddHBand="0" w:evenHBand="0" w:firstRowFirstColumn="0" w:firstRowLastColumn="0" w:lastRowFirstColumn="0" w:lastRowLastColumn="0"/>
          <w:tblHeader/>
        </w:trPr>
        <w:tc>
          <w:tcPr>
            <w:tcW w:w="2693" w:type="pct"/>
            <w:noWrap/>
            <w:hideMark/>
          </w:tcPr>
          <w:p w14:paraId="6518932E" w14:textId="77777777" w:rsidR="00C15F2E" w:rsidRPr="00D96063" w:rsidRDefault="00C15F2E" w:rsidP="00997D10">
            <w:pPr>
              <w:spacing w:before="20" w:after="20"/>
              <w:jc w:val="left"/>
              <w:rPr>
                <w:b w:val="0"/>
                <w:color w:val="FFFFFF" w:themeColor="background1"/>
                <w:sz w:val="14"/>
                <w:szCs w:val="14"/>
              </w:rPr>
            </w:pPr>
          </w:p>
        </w:tc>
        <w:tc>
          <w:tcPr>
            <w:tcW w:w="808" w:type="pct"/>
            <w:noWrap/>
            <w:hideMark/>
          </w:tcPr>
          <w:p w14:paraId="7AD33C7A" w14:textId="77777777" w:rsidR="00C15F2E" w:rsidRPr="00D96063" w:rsidRDefault="00C15F2E" w:rsidP="00997D10">
            <w:pPr>
              <w:spacing w:before="20" w:after="20"/>
              <w:jc w:val="center"/>
              <w:rPr>
                <w:b w:val="0"/>
                <w:color w:val="FFFFFF" w:themeColor="background1"/>
                <w:sz w:val="14"/>
                <w:szCs w:val="14"/>
              </w:rPr>
            </w:pPr>
            <w:r w:rsidRPr="00D96063">
              <w:rPr>
                <w:color w:val="FFFFFF" w:themeColor="background1"/>
                <w:sz w:val="14"/>
                <w:szCs w:val="14"/>
              </w:rPr>
              <w:t>Ghana</w:t>
            </w:r>
          </w:p>
          <w:p w14:paraId="14C3FC53" w14:textId="77777777" w:rsidR="00C15F2E" w:rsidRPr="00D96063" w:rsidRDefault="00C15F2E" w:rsidP="00997D10">
            <w:pPr>
              <w:spacing w:before="20" w:after="20"/>
              <w:jc w:val="center"/>
              <w:rPr>
                <w:b w:val="0"/>
                <w:color w:val="FFFFFF" w:themeColor="background1"/>
                <w:sz w:val="14"/>
                <w:szCs w:val="14"/>
              </w:rPr>
            </w:pPr>
            <w:r w:rsidRPr="00D96063">
              <w:rPr>
                <w:color w:val="FFFFFF" w:themeColor="background1"/>
                <w:sz w:val="14"/>
                <w:szCs w:val="14"/>
              </w:rPr>
              <w:t>2007</w:t>
            </w:r>
            <w:r w:rsidRPr="00D96063">
              <w:rPr>
                <w:color w:val="FFFFFF" w:themeColor="background1"/>
                <w:sz w:val="14"/>
                <w:szCs w:val="14"/>
                <w:vertAlign w:val="superscript"/>
              </w:rPr>
              <w:t>a</w:t>
            </w:r>
          </w:p>
        </w:tc>
        <w:tc>
          <w:tcPr>
            <w:tcW w:w="709" w:type="pct"/>
            <w:noWrap/>
            <w:hideMark/>
          </w:tcPr>
          <w:p w14:paraId="3DB3B420" w14:textId="77777777" w:rsidR="00C15F2E" w:rsidRPr="00D96063" w:rsidRDefault="00C15F2E" w:rsidP="00997D10">
            <w:pPr>
              <w:spacing w:before="20" w:after="20"/>
              <w:jc w:val="center"/>
              <w:rPr>
                <w:b w:val="0"/>
                <w:color w:val="FFFFFF" w:themeColor="background1"/>
                <w:sz w:val="14"/>
                <w:szCs w:val="14"/>
              </w:rPr>
            </w:pPr>
            <w:r w:rsidRPr="00D96063">
              <w:rPr>
                <w:color w:val="FFFFFF" w:themeColor="background1"/>
                <w:sz w:val="14"/>
                <w:szCs w:val="14"/>
              </w:rPr>
              <w:t>Ghana</w:t>
            </w:r>
          </w:p>
          <w:p w14:paraId="3211FD67" w14:textId="77777777" w:rsidR="00C15F2E" w:rsidRPr="00D96063" w:rsidRDefault="00C15F2E" w:rsidP="00997D10">
            <w:pPr>
              <w:spacing w:before="20" w:after="20"/>
              <w:jc w:val="center"/>
              <w:rPr>
                <w:b w:val="0"/>
                <w:color w:val="FFFFFF" w:themeColor="background1"/>
                <w:sz w:val="14"/>
                <w:szCs w:val="14"/>
              </w:rPr>
            </w:pPr>
            <w:r w:rsidRPr="00D96063">
              <w:rPr>
                <w:color w:val="FFFFFF" w:themeColor="background1"/>
                <w:sz w:val="14"/>
                <w:szCs w:val="14"/>
              </w:rPr>
              <w:t>2013</w:t>
            </w:r>
            <w:r w:rsidRPr="00D96063">
              <w:rPr>
                <w:color w:val="FFFFFF" w:themeColor="background1"/>
                <w:sz w:val="14"/>
                <w:szCs w:val="14"/>
                <w:vertAlign w:val="superscript"/>
              </w:rPr>
              <w:t>b</w:t>
            </w:r>
          </w:p>
        </w:tc>
        <w:tc>
          <w:tcPr>
            <w:tcW w:w="790" w:type="pct"/>
            <w:noWrap/>
            <w:hideMark/>
          </w:tcPr>
          <w:p w14:paraId="773320B9" w14:textId="77777777" w:rsidR="00C15F2E" w:rsidRPr="00D96063" w:rsidRDefault="00C15F2E" w:rsidP="00997D10">
            <w:pPr>
              <w:spacing w:before="20" w:after="20"/>
              <w:jc w:val="center"/>
              <w:rPr>
                <w:b w:val="0"/>
                <w:color w:val="FFFFFF" w:themeColor="background1"/>
                <w:sz w:val="14"/>
                <w:szCs w:val="14"/>
              </w:rPr>
            </w:pPr>
            <w:r w:rsidRPr="00D96063">
              <w:rPr>
                <w:color w:val="FFFFFF" w:themeColor="background1"/>
                <w:sz w:val="14"/>
                <w:szCs w:val="14"/>
              </w:rPr>
              <w:t>Ghana/</w:t>
            </w:r>
          </w:p>
          <w:p w14:paraId="7F7B3DE8" w14:textId="77777777" w:rsidR="00C15F2E" w:rsidRPr="00D96063" w:rsidRDefault="00C15F2E" w:rsidP="00997D10">
            <w:pPr>
              <w:spacing w:before="20" w:after="20"/>
              <w:jc w:val="center"/>
              <w:rPr>
                <w:b w:val="0"/>
                <w:color w:val="FFFFFF" w:themeColor="background1"/>
                <w:sz w:val="14"/>
                <w:szCs w:val="14"/>
              </w:rPr>
            </w:pPr>
            <w:r w:rsidRPr="00D96063">
              <w:rPr>
                <w:color w:val="FFFFFF" w:themeColor="background1"/>
                <w:sz w:val="14"/>
                <w:szCs w:val="14"/>
              </w:rPr>
              <w:t>ECOWAS</w:t>
            </w:r>
            <w:r w:rsidRPr="00D96063">
              <w:rPr>
                <w:color w:val="FFFFFF" w:themeColor="background1"/>
                <w:sz w:val="14"/>
                <w:szCs w:val="14"/>
                <w:vertAlign w:val="superscript"/>
              </w:rPr>
              <w:t>c</w:t>
            </w:r>
          </w:p>
          <w:p w14:paraId="3602F248" w14:textId="77777777" w:rsidR="00C15F2E" w:rsidRPr="00D96063" w:rsidRDefault="00C15F2E" w:rsidP="00997D10">
            <w:pPr>
              <w:spacing w:before="20" w:after="20"/>
              <w:jc w:val="center"/>
              <w:rPr>
                <w:b w:val="0"/>
                <w:color w:val="FFFFFF" w:themeColor="background1"/>
                <w:sz w:val="14"/>
                <w:szCs w:val="14"/>
              </w:rPr>
            </w:pPr>
            <w:r w:rsidRPr="00D96063">
              <w:rPr>
                <w:color w:val="FFFFFF" w:themeColor="background1"/>
                <w:sz w:val="14"/>
                <w:szCs w:val="14"/>
              </w:rPr>
              <w:t>2022</w:t>
            </w:r>
          </w:p>
        </w:tc>
      </w:tr>
      <w:tr w:rsidR="00C15F2E" w:rsidRPr="00D96063" w14:paraId="12134626" w14:textId="77777777" w:rsidTr="00997D10">
        <w:tc>
          <w:tcPr>
            <w:tcW w:w="2693" w:type="pct"/>
            <w:noWrap/>
            <w:hideMark/>
          </w:tcPr>
          <w:p w14:paraId="1496E81C" w14:textId="77777777" w:rsidR="00C15F2E" w:rsidRPr="00D96063" w:rsidRDefault="00C15F2E" w:rsidP="00997D10">
            <w:pPr>
              <w:spacing w:before="20" w:after="20"/>
              <w:jc w:val="left"/>
              <w:rPr>
                <w:rFonts w:eastAsia="Times New Roman"/>
                <w:b/>
                <w:bCs/>
                <w:sz w:val="14"/>
                <w:szCs w:val="14"/>
              </w:rPr>
            </w:pPr>
            <w:r w:rsidRPr="00D96063">
              <w:rPr>
                <w:rFonts w:eastAsia="Times New Roman"/>
                <w:b/>
                <w:bCs/>
                <w:sz w:val="14"/>
                <w:szCs w:val="14"/>
              </w:rPr>
              <w:t>Total</w:t>
            </w:r>
          </w:p>
        </w:tc>
        <w:tc>
          <w:tcPr>
            <w:tcW w:w="808" w:type="pct"/>
            <w:noWrap/>
          </w:tcPr>
          <w:p w14:paraId="7C5335E3"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12.7</w:t>
            </w:r>
          </w:p>
        </w:tc>
        <w:tc>
          <w:tcPr>
            <w:tcW w:w="709" w:type="pct"/>
            <w:noWrap/>
          </w:tcPr>
          <w:p w14:paraId="1F473CC1"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12.8</w:t>
            </w:r>
          </w:p>
        </w:tc>
        <w:tc>
          <w:tcPr>
            <w:tcW w:w="790" w:type="pct"/>
            <w:noWrap/>
          </w:tcPr>
          <w:p w14:paraId="0AF27230"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12.2</w:t>
            </w:r>
          </w:p>
        </w:tc>
      </w:tr>
      <w:tr w:rsidR="00C15F2E" w:rsidRPr="00D96063" w14:paraId="3D7F4796"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tcPr>
          <w:p w14:paraId="0876E7D1" w14:textId="77777777" w:rsidR="00C15F2E" w:rsidRPr="00D96063" w:rsidRDefault="00C15F2E" w:rsidP="00997D10">
            <w:pPr>
              <w:spacing w:before="20" w:after="20"/>
              <w:jc w:val="left"/>
              <w:rPr>
                <w:rFonts w:eastAsia="Times New Roman"/>
                <w:b/>
                <w:bCs/>
                <w:sz w:val="14"/>
                <w:szCs w:val="14"/>
              </w:rPr>
            </w:pPr>
            <w:r w:rsidRPr="00D96063">
              <w:rPr>
                <w:rFonts w:eastAsia="Times New Roman"/>
                <w:b/>
                <w:bCs/>
                <w:sz w:val="14"/>
                <w:szCs w:val="14"/>
              </w:rPr>
              <w:t>HS 01-24</w:t>
            </w:r>
          </w:p>
        </w:tc>
        <w:tc>
          <w:tcPr>
            <w:tcW w:w="808" w:type="pct"/>
            <w:noWrap/>
          </w:tcPr>
          <w:p w14:paraId="54A7DF64"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17.0</w:t>
            </w:r>
          </w:p>
        </w:tc>
        <w:tc>
          <w:tcPr>
            <w:tcW w:w="709" w:type="pct"/>
            <w:noWrap/>
          </w:tcPr>
          <w:p w14:paraId="4731EE72"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15.9</w:t>
            </w:r>
          </w:p>
        </w:tc>
        <w:tc>
          <w:tcPr>
            <w:tcW w:w="790" w:type="pct"/>
            <w:noWrap/>
          </w:tcPr>
          <w:p w14:paraId="61957390"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16.2</w:t>
            </w:r>
          </w:p>
        </w:tc>
      </w:tr>
      <w:tr w:rsidR="00C15F2E" w:rsidRPr="00D96063" w14:paraId="50F4D8D6" w14:textId="77777777" w:rsidTr="00997D10">
        <w:tc>
          <w:tcPr>
            <w:tcW w:w="2693" w:type="pct"/>
            <w:noWrap/>
          </w:tcPr>
          <w:p w14:paraId="56EA0B06" w14:textId="77777777" w:rsidR="00C15F2E" w:rsidRPr="00D96063" w:rsidRDefault="00C15F2E" w:rsidP="00997D10">
            <w:pPr>
              <w:spacing w:before="20" w:after="20"/>
              <w:jc w:val="left"/>
              <w:rPr>
                <w:rFonts w:eastAsia="Times New Roman"/>
                <w:b/>
                <w:bCs/>
                <w:sz w:val="14"/>
                <w:szCs w:val="14"/>
              </w:rPr>
            </w:pPr>
            <w:r w:rsidRPr="00D96063">
              <w:rPr>
                <w:rFonts w:eastAsia="Times New Roman"/>
                <w:b/>
                <w:bCs/>
                <w:sz w:val="14"/>
                <w:szCs w:val="14"/>
              </w:rPr>
              <w:t>HS 25-97</w:t>
            </w:r>
          </w:p>
        </w:tc>
        <w:tc>
          <w:tcPr>
            <w:tcW w:w="808" w:type="pct"/>
            <w:noWrap/>
          </w:tcPr>
          <w:p w14:paraId="6BB5D499"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12.0</w:t>
            </w:r>
          </w:p>
        </w:tc>
        <w:tc>
          <w:tcPr>
            <w:tcW w:w="709" w:type="pct"/>
            <w:noWrap/>
          </w:tcPr>
          <w:p w14:paraId="39A9CF3E"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12.2</w:t>
            </w:r>
          </w:p>
        </w:tc>
        <w:tc>
          <w:tcPr>
            <w:tcW w:w="790" w:type="pct"/>
            <w:noWrap/>
          </w:tcPr>
          <w:p w14:paraId="42805976"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11.3</w:t>
            </w:r>
          </w:p>
        </w:tc>
      </w:tr>
      <w:tr w:rsidR="00C15F2E" w:rsidRPr="00D96063" w14:paraId="66ED24A6"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5C2F62D5" w14:textId="77777777" w:rsidR="00C15F2E" w:rsidRPr="00D96063" w:rsidRDefault="00C15F2E" w:rsidP="00997D10">
            <w:pPr>
              <w:spacing w:before="20" w:after="20"/>
              <w:jc w:val="left"/>
              <w:rPr>
                <w:rFonts w:eastAsia="Times New Roman"/>
                <w:b/>
                <w:bCs/>
                <w:sz w:val="14"/>
                <w:szCs w:val="14"/>
              </w:rPr>
            </w:pPr>
            <w:r w:rsidRPr="00D96063">
              <w:rPr>
                <w:rFonts w:eastAsia="Times New Roman"/>
                <w:b/>
                <w:bCs/>
                <w:sz w:val="14"/>
                <w:szCs w:val="14"/>
              </w:rPr>
              <w:t>By WTO category</w:t>
            </w:r>
          </w:p>
        </w:tc>
        <w:tc>
          <w:tcPr>
            <w:tcW w:w="808" w:type="pct"/>
            <w:noWrap/>
          </w:tcPr>
          <w:p w14:paraId="20EF5E19" w14:textId="77777777" w:rsidR="00C15F2E" w:rsidRPr="00D96063" w:rsidRDefault="00C15F2E" w:rsidP="008516FD">
            <w:pPr>
              <w:spacing w:before="100" w:beforeAutospacing="1" w:after="100" w:afterAutospacing="1"/>
              <w:ind w:right="397"/>
              <w:jc w:val="right"/>
              <w:rPr>
                <w:sz w:val="14"/>
                <w:szCs w:val="14"/>
                <w:lang w:eastAsia="ja-JP"/>
              </w:rPr>
            </w:pPr>
          </w:p>
        </w:tc>
        <w:tc>
          <w:tcPr>
            <w:tcW w:w="709" w:type="pct"/>
            <w:noWrap/>
          </w:tcPr>
          <w:p w14:paraId="19F99AF5" w14:textId="77777777" w:rsidR="00C15F2E" w:rsidRPr="00D96063" w:rsidRDefault="00C15F2E" w:rsidP="008516FD">
            <w:pPr>
              <w:spacing w:before="100" w:beforeAutospacing="1" w:after="100" w:afterAutospacing="1"/>
              <w:ind w:right="397"/>
              <w:jc w:val="right"/>
              <w:rPr>
                <w:sz w:val="14"/>
                <w:szCs w:val="14"/>
              </w:rPr>
            </w:pPr>
          </w:p>
        </w:tc>
        <w:tc>
          <w:tcPr>
            <w:tcW w:w="790" w:type="pct"/>
            <w:noWrap/>
          </w:tcPr>
          <w:p w14:paraId="17BA737C" w14:textId="77777777" w:rsidR="00C15F2E" w:rsidRPr="00D96063" w:rsidRDefault="00C15F2E" w:rsidP="008516FD">
            <w:pPr>
              <w:spacing w:before="100" w:beforeAutospacing="1" w:after="100" w:afterAutospacing="1"/>
              <w:ind w:right="397"/>
              <w:jc w:val="right"/>
              <w:rPr>
                <w:sz w:val="14"/>
                <w:szCs w:val="14"/>
              </w:rPr>
            </w:pPr>
          </w:p>
        </w:tc>
      </w:tr>
      <w:tr w:rsidR="00C15F2E" w:rsidRPr="00D96063" w14:paraId="11F36FAE" w14:textId="77777777" w:rsidTr="00997D10">
        <w:tc>
          <w:tcPr>
            <w:tcW w:w="2693" w:type="pct"/>
            <w:noWrap/>
            <w:hideMark/>
          </w:tcPr>
          <w:p w14:paraId="32A3F4E2" w14:textId="77777777" w:rsidR="00C15F2E" w:rsidRPr="00D96063" w:rsidRDefault="00C15F2E" w:rsidP="00997D10">
            <w:pPr>
              <w:spacing w:before="20" w:after="20"/>
              <w:jc w:val="left"/>
              <w:rPr>
                <w:rFonts w:eastAsia="Times New Roman"/>
                <w:b/>
                <w:sz w:val="14"/>
                <w:szCs w:val="14"/>
              </w:rPr>
            </w:pPr>
            <w:r w:rsidRPr="00D96063">
              <w:rPr>
                <w:rFonts w:eastAsia="Times New Roman"/>
                <w:b/>
                <w:sz w:val="14"/>
                <w:szCs w:val="14"/>
              </w:rPr>
              <w:t>WTO agricultural products</w:t>
            </w:r>
          </w:p>
        </w:tc>
        <w:tc>
          <w:tcPr>
            <w:tcW w:w="808" w:type="pct"/>
            <w:noWrap/>
          </w:tcPr>
          <w:p w14:paraId="56F65040"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17.5</w:t>
            </w:r>
          </w:p>
        </w:tc>
        <w:tc>
          <w:tcPr>
            <w:tcW w:w="709" w:type="pct"/>
            <w:noWrap/>
          </w:tcPr>
          <w:p w14:paraId="42719266"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17.3</w:t>
            </w:r>
          </w:p>
        </w:tc>
        <w:tc>
          <w:tcPr>
            <w:tcW w:w="790" w:type="pct"/>
            <w:noWrap/>
          </w:tcPr>
          <w:p w14:paraId="1A0A2328"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15.5</w:t>
            </w:r>
          </w:p>
        </w:tc>
      </w:tr>
      <w:tr w:rsidR="00C15F2E" w:rsidRPr="00D96063" w14:paraId="49BAE687"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431017E3" w14:textId="77777777" w:rsidR="00C15F2E" w:rsidRPr="00D96063" w:rsidRDefault="00C15F2E" w:rsidP="00997D10">
            <w:pPr>
              <w:spacing w:before="20" w:after="20"/>
              <w:jc w:val="left"/>
              <w:rPr>
                <w:sz w:val="14"/>
                <w:szCs w:val="14"/>
              </w:rPr>
            </w:pPr>
            <w:r w:rsidRPr="00D96063">
              <w:rPr>
                <w:sz w:val="14"/>
                <w:szCs w:val="14"/>
              </w:rPr>
              <w:t>Animals and products thereof</w:t>
            </w:r>
          </w:p>
        </w:tc>
        <w:tc>
          <w:tcPr>
            <w:tcW w:w="808" w:type="pct"/>
            <w:noWrap/>
          </w:tcPr>
          <w:p w14:paraId="5B7149B6"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19.4</w:t>
            </w:r>
          </w:p>
        </w:tc>
        <w:tc>
          <w:tcPr>
            <w:tcW w:w="709" w:type="pct"/>
            <w:noWrap/>
          </w:tcPr>
          <w:p w14:paraId="2425BAB0"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19.0</w:t>
            </w:r>
          </w:p>
        </w:tc>
        <w:tc>
          <w:tcPr>
            <w:tcW w:w="790" w:type="pct"/>
            <w:noWrap/>
          </w:tcPr>
          <w:p w14:paraId="5677B72C"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24.1</w:t>
            </w:r>
          </w:p>
        </w:tc>
      </w:tr>
      <w:tr w:rsidR="00C15F2E" w:rsidRPr="00D96063" w14:paraId="2E303434" w14:textId="77777777" w:rsidTr="00997D10">
        <w:tc>
          <w:tcPr>
            <w:tcW w:w="2693" w:type="pct"/>
            <w:noWrap/>
            <w:hideMark/>
          </w:tcPr>
          <w:p w14:paraId="222AB731" w14:textId="77777777" w:rsidR="00C15F2E" w:rsidRPr="00D96063" w:rsidRDefault="00C15F2E" w:rsidP="00997D10">
            <w:pPr>
              <w:spacing w:before="20" w:after="20"/>
              <w:jc w:val="left"/>
              <w:rPr>
                <w:sz w:val="14"/>
                <w:szCs w:val="14"/>
              </w:rPr>
            </w:pPr>
            <w:r w:rsidRPr="00D96063">
              <w:rPr>
                <w:sz w:val="14"/>
                <w:szCs w:val="14"/>
              </w:rPr>
              <w:t>Dairy products</w:t>
            </w:r>
          </w:p>
        </w:tc>
        <w:tc>
          <w:tcPr>
            <w:tcW w:w="808" w:type="pct"/>
            <w:noWrap/>
          </w:tcPr>
          <w:p w14:paraId="5BC286BA"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20.0</w:t>
            </w:r>
          </w:p>
        </w:tc>
        <w:tc>
          <w:tcPr>
            <w:tcW w:w="709" w:type="pct"/>
            <w:noWrap/>
          </w:tcPr>
          <w:p w14:paraId="50B762B0"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20.0</w:t>
            </w:r>
          </w:p>
        </w:tc>
        <w:tc>
          <w:tcPr>
            <w:tcW w:w="790" w:type="pct"/>
            <w:noWrap/>
          </w:tcPr>
          <w:p w14:paraId="2651E0F7"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16.4</w:t>
            </w:r>
          </w:p>
        </w:tc>
      </w:tr>
      <w:tr w:rsidR="00C15F2E" w:rsidRPr="00D96063" w14:paraId="1E8981DE"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0A4F8BE1" w14:textId="77777777" w:rsidR="00C15F2E" w:rsidRPr="00D96063" w:rsidRDefault="00C15F2E" w:rsidP="00997D10">
            <w:pPr>
              <w:spacing w:before="20" w:after="20"/>
              <w:jc w:val="left"/>
              <w:rPr>
                <w:rFonts w:eastAsia="Times New Roman"/>
                <w:sz w:val="14"/>
                <w:szCs w:val="14"/>
              </w:rPr>
            </w:pPr>
            <w:r w:rsidRPr="00D96063">
              <w:rPr>
                <w:rFonts w:eastAsia="Times New Roman"/>
                <w:sz w:val="14"/>
                <w:szCs w:val="14"/>
              </w:rPr>
              <w:t>Fruit, vegetables, and plants</w:t>
            </w:r>
          </w:p>
        </w:tc>
        <w:tc>
          <w:tcPr>
            <w:tcW w:w="808" w:type="pct"/>
            <w:noWrap/>
          </w:tcPr>
          <w:p w14:paraId="28B5FA2D"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18.9</w:t>
            </w:r>
          </w:p>
        </w:tc>
        <w:tc>
          <w:tcPr>
            <w:tcW w:w="709" w:type="pct"/>
            <w:noWrap/>
          </w:tcPr>
          <w:p w14:paraId="684B561B"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18.3</w:t>
            </w:r>
          </w:p>
        </w:tc>
        <w:tc>
          <w:tcPr>
            <w:tcW w:w="790" w:type="pct"/>
            <w:noWrap/>
          </w:tcPr>
          <w:p w14:paraId="2D3327C5"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17.6</w:t>
            </w:r>
          </w:p>
        </w:tc>
      </w:tr>
      <w:tr w:rsidR="00C15F2E" w:rsidRPr="00D96063" w14:paraId="617BABF3" w14:textId="77777777" w:rsidTr="00997D10">
        <w:tc>
          <w:tcPr>
            <w:tcW w:w="2693" w:type="pct"/>
            <w:noWrap/>
            <w:hideMark/>
          </w:tcPr>
          <w:p w14:paraId="1C47D833" w14:textId="77777777" w:rsidR="00C15F2E" w:rsidRPr="00D96063" w:rsidRDefault="00C15F2E" w:rsidP="00997D10">
            <w:pPr>
              <w:spacing w:before="20" w:after="20"/>
              <w:jc w:val="left"/>
              <w:rPr>
                <w:sz w:val="14"/>
                <w:szCs w:val="14"/>
              </w:rPr>
            </w:pPr>
            <w:r w:rsidRPr="00D96063">
              <w:rPr>
                <w:sz w:val="14"/>
                <w:szCs w:val="14"/>
              </w:rPr>
              <w:t>Coffee and tea</w:t>
            </w:r>
          </w:p>
        </w:tc>
        <w:tc>
          <w:tcPr>
            <w:tcW w:w="808" w:type="pct"/>
            <w:noWrap/>
          </w:tcPr>
          <w:p w14:paraId="0B3DD8FF"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20.0</w:t>
            </w:r>
          </w:p>
        </w:tc>
        <w:tc>
          <w:tcPr>
            <w:tcW w:w="709" w:type="pct"/>
            <w:noWrap/>
          </w:tcPr>
          <w:p w14:paraId="5EBA7884"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20.0</w:t>
            </w:r>
          </w:p>
        </w:tc>
        <w:tc>
          <w:tcPr>
            <w:tcW w:w="790" w:type="pct"/>
            <w:noWrap/>
          </w:tcPr>
          <w:p w14:paraId="32AE3D8A"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14.2</w:t>
            </w:r>
          </w:p>
        </w:tc>
      </w:tr>
      <w:tr w:rsidR="00C15F2E" w:rsidRPr="00D96063" w14:paraId="025024CC"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60807ACB" w14:textId="77777777" w:rsidR="00C15F2E" w:rsidRPr="00D96063" w:rsidRDefault="00C15F2E" w:rsidP="00997D10">
            <w:pPr>
              <w:spacing w:before="20" w:after="20"/>
              <w:jc w:val="left"/>
              <w:rPr>
                <w:sz w:val="14"/>
                <w:szCs w:val="14"/>
              </w:rPr>
            </w:pPr>
            <w:r w:rsidRPr="00D96063">
              <w:rPr>
                <w:sz w:val="14"/>
                <w:szCs w:val="14"/>
              </w:rPr>
              <w:t>Cereals and preparations</w:t>
            </w:r>
          </w:p>
        </w:tc>
        <w:tc>
          <w:tcPr>
            <w:tcW w:w="808" w:type="pct"/>
            <w:noWrap/>
          </w:tcPr>
          <w:p w14:paraId="3BF39EB4"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17.8</w:t>
            </w:r>
          </w:p>
        </w:tc>
        <w:tc>
          <w:tcPr>
            <w:tcW w:w="709" w:type="pct"/>
            <w:noWrap/>
          </w:tcPr>
          <w:p w14:paraId="0C1C3AE2"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16.2</w:t>
            </w:r>
          </w:p>
        </w:tc>
        <w:tc>
          <w:tcPr>
            <w:tcW w:w="790" w:type="pct"/>
            <w:noWrap/>
          </w:tcPr>
          <w:p w14:paraId="320B9B43"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13.6</w:t>
            </w:r>
          </w:p>
        </w:tc>
      </w:tr>
      <w:tr w:rsidR="00C15F2E" w:rsidRPr="00D96063" w14:paraId="5033ECFD" w14:textId="77777777" w:rsidTr="00997D10">
        <w:tc>
          <w:tcPr>
            <w:tcW w:w="2693" w:type="pct"/>
            <w:noWrap/>
            <w:hideMark/>
          </w:tcPr>
          <w:p w14:paraId="57A05636" w14:textId="77777777" w:rsidR="00C15F2E" w:rsidRPr="00D96063" w:rsidRDefault="00C15F2E" w:rsidP="00997D10">
            <w:pPr>
              <w:spacing w:before="20" w:after="20"/>
              <w:jc w:val="left"/>
              <w:rPr>
                <w:sz w:val="14"/>
                <w:szCs w:val="14"/>
              </w:rPr>
            </w:pPr>
            <w:r w:rsidRPr="00D96063">
              <w:rPr>
                <w:sz w:val="14"/>
                <w:szCs w:val="14"/>
              </w:rPr>
              <w:t>Oils seeds, fats, oil and their products</w:t>
            </w:r>
          </w:p>
        </w:tc>
        <w:tc>
          <w:tcPr>
            <w:tcW w:w="808" w:type="pct"/>
            <w:noWrap/>
          </w:tcPr>
          <w:p w14:paraId="3D1846FD"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14.6</w:t>
            </w:r>
          </w:p>
        </w:tc>
        <w:tc>
          <w:tcPr>
            <w:tcW w:w="709" w:type="pct"/>
            <w:noWrap/>
          </w:tcPr>
          <w:p w14:paraId="67681B91"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14.6</w:t>
            </w:r>
          </w:p>
        </w:tc>
        <w:tc>
          <w:tcPr>
            <w:tcW w:w="790" w:type="pct"/>
            <w:noWrap/>
          </w:tcPr>
          <w:p w14:paraId="1FF68AB4"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11.8</w:t>
            </w:r>
          </w:p>
        </w:tc>
      </w:tr>
      <w:tr w:rsidR="00C15F2E" w:rsidRPr="00D96063" w14:paraId="40FCFAF5"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73177854" w14:textId="77777777" w:rsidR="00C15F2E" w:rsidRPr="00D96063" w:rsidRDefault="00C15F2E" w:rsidP="00997D10">
            <w:pPr>
              <w:spacing w:before="20" w:after="20"/>
              <w:jc w:val="left"/>
              <w:rPr>
                <w:sz w:val="14"/>
                <w:szCs w:val="14"/>
              </w:rPr>
            </w:pPr>
            <w:r w:rsidRPr="00D96063">
              <w:rPr>
                <w:sz w:val="14"/>
                <w:szCs w:val="14"/>
              </w:rPr>
              <w:t>Sugars and confectionery</w:t>
            </w:r>
          </w:p>
        </w:tc>
        <w:tc>
          <w:tcPr>
            <w:tcW w:w="808" w:type="pct"/>
            <w:noWrap/>
          </w:tcPr>
          <w:p w14:paraId="66702739"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11.1</w:t>
            </w:r>
          </w:p>
        </w:tc>
        <w:tc>
          <w:tcPr>
            <w:tcW w:w="709" w:type="pct"/>
            <w:noWrap/>
          </w:tcPr>
          <w:p w14:paraId="779DA785"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11.0</w:t>
            </w:r>
          </w:p>
        </w:tc>
        <w:tc>
          <w:tcPr>
            <w:tcW w:w="790" w:type="pct"/>
            <w:noWrap/>
          </w:tcPr>
          <w:p w14:paraId="76309625"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13.5</w:t>
            </w:r>
          </w:p>
        </w:tc>
      </w:tr>
      <w:tr w:rsidR="00C15F2E" w:rsidRPr="00D96063" w14:paraId="662EAC77" w14:textId="77777777" w:rsidTr="00997D10">
        <w:tc>
          <w:tcPr>
            <w:tcW w:w="2693" w:type="pct"/>
            <w:noWrap/>
            <w:hideMark/>
          </w:tcPr>
          <w:p w14:paraId="44346A09" w14:textId="77777777" w:rsidR="00C15F2E" w:rsidRPr="00D96063" w:rsidRDefault="00C15F2E" w:rsidP="00997D10">
            <w:pPr>
              <w:spacing w:before="20" w:after="20"/>
              <w:jc w:val="left"/>
              <w:rPr>
                <w:sz w:val="14"/>
                <w:szCs w:val="14"/>
              </w:rPr>
            </w:pPr>
            <w:r w:rsidRPr="00D96063">
              <w:rPr>
                <w:sz w:val="14"/>
                <w:szCs w:val="14"/>
              </w:rPr>
              <w:t>Beverages, spirits, and tobacco</w:t>
            </w:r>
          </w:p>
        </w:tc>
        <w:tc>
          <w:tcPr>
            <w:tcW w:w="808" w:type="pct"/>
            <w:noWrap/>
          </w:tcPr>
          <w:p w14:paraId="29D4BDBA"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19.8</w:t>
            </w:r>
          </w:p>
        </w:tc>
        <w:tc>
          <w:tcPr>
            <w:tcW w:w="709" w:type="pct"/>
            <w:noWrap/>
          </w:tcPr>
          <w:p w14:paraId="617F55F8"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19.8</w:t>
            </w:r>
          </w:p>
        </w:tc>
        <w:tc>
          <w:tcPr>
            <w:tcW w:w="790" w:type="pct"/>
            <w:noWrap/>
          </w:tcPr>
          <w:p w14:paraId="6D11FD48"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17.1</w:t>
            </w:r>
          </w:p>
        </w:tc>
      </w:tr>
      <w:tr w:rsidR="00C15F2E" w:rsidRPr="00D96063" w14:paraId="08B85D28"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279B2E12" w14:textId="77777777" w:rsidR="00C15F2E" w:rsidRPr="00D96063" w:rsidRDefault="00C15F2E" w:rsidP="00997D10">
            <w:pPr>
              <w:spacing w:before="20" w:after="20"/>
              <w:jc w:val="left"/>
              <w:rPr>
                <w:sz w:val="14"/>
                <w:szCs w:val="14"/>
              </w:rPr>
            </w:pPr>
            <w:r w:rsidRPr="00D96063">
              <w:rPr>
                <w:sz w:val="14"/>
                <w:szCs w:val="14"/>
              </w:rPr>
              <w:t>Cotton</w:t>
            </w:r>
          </w:p>
        </w:tc>
        <w:tc>
          <w:tcPr>
            <w:tcW w:w="808" w:type="pct"/>
            <w:noWrap/>
          </w:tcPr>
          <w:p w14:paraId="07431E0B"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10.0</w:t>
            </w:r>
          </w:p>
        </w:tc>
        <w:tc>
          <w:tcPr>
            <w:tcW w:w="709" w:type="pct"/>
            <w:noWrap/>
          </w:tcPr>
          <w:p w14:paraId="34E433A2"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10.0</w:t>
            </w:r>
          </w:p>
        </w:tc>
        <w:tc>
          <w:tcPr>
            <w:tcW w:w="790" w:type="pct"/>
            <w:noWrap/>
          </w:tcPr>
          <w:p w14:paraId="319DAB10"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5</w:t>
            </w:r>
          </w:p>
        </w:tc>
      </w:tr>
      <w:tr w:rsidR="00C15F2E" w:rsidRPr="00D96063" w14:paraId="6A12FF7B" w14:textId="77777777" w:rsidTr="00997D10">
        <w:tc>
          <w:tcPr>
            <w:tcW w:w="2693" w:type="pct"/>
            <w:noWrap/>
            <w:hideMark/>
          </w:tcPr>
          <w:p w14:paraId="23DA80EE" w14:textId="77777777" w:rsidR="00C15F2E" w:rsidRPr="00D96063" w:rsidRDefault="00C15F2E" w:rsidP="00997D10">
            <w:pPr>
              <w:spacing w:before="20" w:after="20"/>
              <w:jc w:val="left"/>
              <w:rPr>
                <w:sz w:val="14"/>
                <w:szCs w:val="14"/>
              </w:rPr>
            </w:pPr>
            <w:r w:rsidRPr="00D96063">
              <w:rPr>
                <w:sz w:val="14"/>
                <w:szCs w:val="14"/>
              </w:rPr>
              <w:t>Other agricultural products, n.e.s.</w:t>
            </w:r>
          </w:p>
        </w:tc>
        <w:tc>
          <w:tcPr>
            <w:tcW w:w="808" w:type="pct"/>
            <w:noWrap/>
          </w:tcPr>
          <w:p w14:paraId="1090E32F"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14.4</w:t>
            </w:r>
          </w:p>
        </w:tc>
        <w:tc>
          <w:tcPr>
            <w:tcW w:w="709" w:type="pct"/>
            <w:noWrap/>
          </w:tcPr>
          <w:p w14:paraId="216848CF"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15.1</w:t>
            </w:r>
          </w:p>
        </w:tc>
        <w:tc>
          <w:tcPr>
            <w:tcW w:w="790" w:type="pct"/>
            <w:noWrap/>
          </w:tcPr>
          <w:p w14:paraId="38BDF2A9"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9.5</w:t>
            </w:r>
          </w:p>
        </w:tc>
      </w:tr>
      <w:tr w:rsidR="00C15F2E" w:rsidRPr="00D96063" w14:paraId="763FAE35"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75DFF376" w14:textId="77777777" w:rsidR="00C15F2E" w:rsidRPr="00D96063" w:rsidRDefault="00C15F2E" w:rsidP="00997D10">
            <w:pPr>
              <w:spacing w:before="20" w:after="20"/>
              <w:jc w:val="left"/>
              <w:rPr>
                <w:rFonts w:eastAsia="Times New Roman"/>
                <w:b/>
                <w:sz w:val="14"/>
                <w:szCs w:val="14"/>
              </w:rPr>
            </w:pPr>
            <w:r w:rsidRPr="00D96063">
              <w:rPr>
                <w:rFonts w:eastAsia="Times New Roman"/>
                <w:b/>
                <w:sz w:val="14"/>
                <w:szCs w:val="14"/>
              </w:rPr>
              <w:t>WTO non-agricultural products</w:t>
            </w:r>
          </w:p>
        </w:tc>
        <w:tc>
          <w:tcPr>
            <w:tcW w:w="808" w:type="pct"/>
            <w:noWrap/>
          </w:tcPr>
          <w:p w14:paraId="2B8BF7A5"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12.0</w:t>
            </w:r>
          </w:p>
        </w:tc>
        <w:tc>
          <w:tcPr>
            <w:tcW w:w="709" w:type="pct"/>
            <w:noWrap/>
          </w:tcPr>
          <w:p w14:paraId="33A83F7F"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12.0</w:t>
            </w:r>
          </w:p>
        </w:tc>
        <w:tc>
          <w:tcPr>
            <w:tcW w:w="790" w:type="pct"/>
            <w:noWrap/>
          </w:tcPr>
          <w:p w14:paraId="5898BAB6"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11.6</w:t>
            </w:r>
          </w:p>
        </w:tc>
      </w:tr>
      <w:tr w:rsidR="00C15F2E" w:rsidRPr="00D96063" w14:paraId="22908F93" w14:textId="77777777" w:rsidTr="00997D10">
        <w:tc>
          <w:tcPr>
            <w:tcW w:w="2693" w:type="pct"/>
            <w:noWrap/>
            <w:hideMark/>
          </w:tcPr>
          <w:p w14:paraId="040B1C25" w14:textId="77777777" w:rsidR="00C15F2E" w:rsidRPr="00D96063" w:rsidRDefault="00C15F2E" w:rsidP="00997D10">
            <w:pPr>
              <w:spacing w:before="20" w:after="20"/>
              <w:jc w:val="left"/>
              <w:rPr>
                <w:sz w:val="14"/>
                <w:szCs w:val="14"/>
              </w:rPr>
            </w:pPr>
            <w:r w:rsidRPr="00D96063">
              <w:rPr>
                <w:sz w:val="14"/>
                <w:szCs w:val="14"/>
              </w:rPr>
              <w:t>Fish and fishery products</w:t>
            </w:r>
          </w:p>
        </w:tc>
        <w:tc>
          <w:tcPr>
            <w:tcW w:w="808" w:type="pct"/>
            <w:noWrap/>
          </w:tcPr>
          <w:p w14:paraId="394378B4"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11.1</w:t>
            </w:r>
          </w:p>
        </w:tc>
        <w:tc>
          <w:tcPr>
            <w:tcW w:w="709" w:type="pct"/>
            <w:noWrap/>
          </w:tcPr>
          <w:p w14:paraId="6C7A733F"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9.8</w:t>
            </w:r>
          </w:p>
        </w:tc>
        <w:tc>
          <w:tcPr>
            <w:tcW w:w="790" w:type="pct"/>
            <w:noWrap/>
          </w:tcPr>
          <w:p w14:paraId="30A41A45"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15.8</w:t>
            </w:r>
          </w:p>
        </w:tc>
      </w:tr>
      <w:tr w:rsidR="00C15F2E" w:rsidRPr="00D96063" w14:paraId="3F85B7ED"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1EE0D152" w14:textId="77777777" w:rsidR="00C15F2E" w:rsidRPr="00D96063" w:rsidRDefault="00C15F2E" w:rsidP="00997D10">
            <w:pPr>
              <w:spacing w:before="20" w:after="20"/>
              <w:jc w:val="left"/>
              <w:rPr>
                <w:rFonts w:eastAsia="Times New Roman"/>
                <w:sz w:val="14"/>
                <w:szCs w:val="14"/>
              </w:rPr>
            </w:pPr>
            <w:r w:rsidRPr="00D96063">
              <w:rPr>
                <w:rFonts w:eastAsia="Times New Roman"/>
                <w:sz w:val="14"/>
                <w:szCs w:val="14"/>
              </w:rPr>
              <w:lastRenderedPageBreak/>
              <w:t>Minerals and metals</w:t>
            </w:r>
          </w:p>
        </w:tc>
        <w:tc>
          <w:tcPr>
            <w:tcW w:w="808" w:type="pct"/>
            <w:noWrap/>
          </w:tcPr>
          <w:p w14:paraId="31CB053D"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12.2</w:t>
            </w:r>
          </w:p>
        </w:tc>
        <w:tc>
          <w:tcPr>
            <w:tcW w:w="709" w:type="pct"/>
            <w:noWrap/>
          </w:tcPr>
          <w:p w14:paraId="5494D5D1"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12.5</w:t>
            </w:r>
          </w:p>
        </w:tc>
        <w:tc>
          <w:tcPr>
            <w:tcW w:w="790" w:type="pct"/>
            <w:noWrap/>
          </w:tcPr>
          <w:p w14:paraId="6CDB98E7"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11.7</w:t>
            </w:r>
          </w:p>
        </w:tc>
      </w:tr>
      <w:tr w:rsidR="00C15F2E" w:rsidRPr="00D96063" w14:paraId="6498A068" w14:textId="77777777" w:rsidTr="00997D10">
        <w:tc>
          <w:tcPr>
            <w:tcW w:w="2693" w:type="pct"/>
            <w:noWrap/>
            <w:hideMark/>
          </w:tcPr>
          <w:p w14:paraId="07EDC90E" w14:textId="77777777" w:rsidR="00C15F2E" w:rsidRPr="00D96063" w:rsidRDefault="00C15F2E" w:rsidP="00997D10">
            <w:pPr>
              <w:spacing w:before="20" w:after="20"/>
              <w:jc w:val="left"/>
              <w:rPr>
                <w:sz w:val="14"/>
                <w:szCs w:val="14"/>
              </w:rPr>
            </w:pPr>
            <w:r w:rsidRPr="00D96063">
              <w:rPr>
                <w:sz w:val="14"/>
                <w:szCs w:val="14"/>
              </w:rPr>
              <w:t>Chemicals and photographic supplies</w:t>
            </w:r>
          </w:p>
        </w:tc>
        <w:tc>
          <w:tcPr>
            <w:tcW w:w="808" w:type="pct"/>
            <w:noWrap/>
          </w:tcPr>
          <w:p w14:paraId="4846DC47"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11.9</w:t>
            </w:r>
          </w:p>
        </w:tc>
        <w:tc>
          <w:tcPr>
            <w:tcW w:w="709" w:type="pct"/>
            <w:noWrap/>
          </w:tcPr>
          <w:p w14:paraId="617D607D"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12.1</w:t>
            </w:r>
          </w:p>
        </w:tc>
        <w:tc>
          <w:tcPr>
            <w:tcW w:w="790" w:type="pct"/>
            <w:noWrap/>
          </w:tcPr>
          <w:p w14:paraId="21EB8D4E"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7.7</w:t>
            </w:r>
          </w:p>
        </w:tc>
      </w:tr>
      <w:tr w:rsidR="00C15F2E" w:rsidRPr="00D96063" w14:paraId="0A5A6D14"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4E4EA307" w14:textId="77777777" w:rsidR="00C15F2E" w:rsidRPr="00D96063" w:rsidRDefault="00C15F2E" w:rsidP="00997D10">
            <w:pPr>
              <w:spacing w:before="20" w:after="20"/>
              <w:jc w:val="left"/>
              <w:rPr>
                <w:rFonts w:eastAsia="Times New Roman"/>
                <w:sz w:val="14"/>
                <w:szCs w:val="14"/>
              </w:rPr>
            </w:pPr>
            <w:r w:rsidRPr="00D96063">
              <w:rPr>
                <w:rFonts w:eastAsia="Times New Roman"/>
                <w:sz w:val="14"/>
                <w:szCs w:val="14"/>
              </w:rPr>
              <w:t>Wood, pulp, paper, and furniture</w:t>
            </w:r>
          </w:p>
        </w:tc>
        <w:tc>
          <w:tcPr>
            <w:tcW w:w="808" w:type="pct"/>
            <w:noWrap/>
          </w:tcPr>
          <w:p w14:paraId="39D116F0"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16.1</w:t>
            </w:r>
          </w:p>
        </w:tc>
        <w:tc>
          <w:tcPr>
            <w:tcW w:w="709" w:type="pct"/>
            <w:noWrap/>
          </w:tcPr>
          <w:p w14:paraId="2569D566"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16.8</w:t>
            </w:r>
          </w:p>
        </w:tc>
        <w:tc>
          <w:tcPr>
            <w:tcW w:w="790" w:type="pct"/>
            <w:noWrap/>
          </w:tcPr>
          <w:p w14:paraId="682C6638"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11.5</w:t>
            </w:r>
          </w:p>
        </w:tc>
      </w:tr>
      <w:tr w:rsidR="00C15F2E" w:rsidRPr="00D96063" w14:paraId="21389C51" w14:textId="77777777" w:rsidTr="00997D10">
        <w:tc>
          <w:tcPr>
            <w:tcW w:w="2693" w:type="pct"/>
            <w:noWrap/>
            <w:hideMark/>
          </w:tcPr>
          <w:p w14:paraId="4A175FF9" w14:textId="77777777" w:rsidR="00C15F2E" w:rsidRPr="00D96063" w:rsidRDefault="00C15F2E" w:rsidP="00997D10">
            <w:pPr>
              <w:spacing w:before="20" w:after="20"/>
              <w:jc w:val="left"/>
              <w:rPr>
                <w:rFonts w:eastAsia="Times New Roman"/>
                <w:sz w:val="14"/>
                <w:szCs w:val="14"/>
              </w:rPr>
            </w:pPr>
            <w:r w:rsidRPr="00D96063">
              <w:rPr>
                <w:rFonts w:eastAsia="Times New Roman"/>
                <w:sz w:val="14"/>
                <w:szCs w:val="14"/>
              </w:rPr>
              <w:t>Textiles</w:t>
            </w:r>
          </w:p>
        </w:tc>
        <w:tc>
          <w:tcPr>
            <w:tcW w:w="808" w:type="pct"/>
            <w:noWrap/>
          </w:tcPr>
          <w:p w14:paraId="7DC9A6C6"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16.9</w:t>
            </w:r>
          </w:p>
        </w:tc>
        <w:tc>
          <w:tcPr>
            <w:tcW w:w="709" w:type="pct"/>
            <w:noWrap/>
          </w:tcPr>
          <w:p w14:paraId="3C0FF988"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16.8</w:t>
            </w:r>
          </w:p>
        </w:tc>
        <w:tc>
          <w:tcPr>
            <w:tcW w:w="790" w:type="pct"/>
            <w:noWrap/>
          </w:tcPr>
          <w:p w14:paraId="4BE4BD22"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16.3</w:t>
            </w:r>
          </w:p>
        </w:tc>
      </w:tr>
      <w:tr w:rsidR="00C15F2E" w:rsidRPr="00D96063" w14:paraId="5B0788F7"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13D19689" w14:textId="77777777" w:rsidR="00C15F2E" w:rsidRPr="00D96063" w:rsidRDefault="00C15F2E" w:rsidP="00997D10">
            <w:pPr>
              <w:spacing w:before="20" w:after="20"/>
              <w:jc w:val="left"/>
              <w:rPr>
                <w:rFonts w:eastAsia="Times New Roman"/>
                <w:sz w:val="14"/>
                <w:szCs w:val="14"/>
              </w:rPr>
            </w:pPr>
            <w:r w:rsidRPr="00D96063">
              <w:rPr>
                <w:rFonts w:eastAsia="Times New Roman"/>
                <w:sz w:val="14"/>
                <w:szCs w:val="14"/>
              </w:rPr>
              <w:t>Clothing</w:t>
            </w:r>
          </w:p>
        </w:tc>
        <w:tc>
          <w:tcPr>
            <w:tcW w:w="808" w:type="pct"/>
            <w:noWrap/>
          </w:tcPr>
          <w:p w14:paraId="6A88C7B4"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20.0</w:t>
            </w:r>
          </w:p>
        </w:tc>
        <w:tc>
          <w:tcPr>
            <w:tcW w:w="709" w:type="pct"/>
            <w:noWrap/>
          </w:tcPr>
          <w:p w14:paraId="1C623E9A"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20.0</w:t>
            </w:r>
          </w:p>
        </w:tc>
        <w:tc>
          <w:tcPr>
            <w:tcW w:w="790" w:type="pct"/>
            <w:noWrap/>
          </w:tcPr>
          <w:p w14:paraId="0008573E"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20.0</w:t>
            </w:r>
          </w:p>
        </w:tc>
      </w:tr>
      <w:tr w:rsidR="00C15F2E" w:rsidRPr="00D96063" w14:paraId="0885B0EF" w14:textId="77777777" w:rsidTr="00997D10">
        <w:tc>
          <w:tcPr>
            <w:tcW w:w="2693" w:type="pct"/>
            <w:noWrap/>
            <w:hideMark/>
          </w:tcPr>
          <w:p w14:paraId="4B1E4259" w14:textId="77777777" w:rsidR="00C15F2E" w:rsidRPr="00D96063" w:rsidRDefault="00C15F2E" w:rsidP="00997D10">
            <w:pPr>
              <w:spacing w:before="20" w:after="20"/>
              <w:jc w:val="left"/>
              <w:rPr>
                <w:rFonts w:eastAsia="Times New Roman"/>
                <w:sz w:val="14"/>
                <w:szCs w:val="14"/>
              </w:rPr>
            </w:pPr>
            <w:r w:rsidRPr="00D96063">
              <w:rPr>
                <w:rFonts w:eastAsia="Times New Roman"/>
                <w:sz w:val="14"/>
                <w:szCs w:val="14"/>
              </w:rPr>
              <w:t>Leather, rubber, footwear, and travel goods</w:t>
            </w:r>
          </w:p>
        </w:tc>
        <w:tc>
          <w:tcPr>
            <w:tcW w:w="808" w:type="pct"/>
            <w:noWrap/>
          </w:tcPr>
          <w:p w14:paraId="62E436E8"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14.3</w:t>
            </w:r>
          </w:p>
        </w:tc>
        <w:tc>
          <w:tcPr>
            <w:tcW w:w="709" w:type="pct"/>
            <w:noWrap/>
          </w:tcPr>
          <w:p w14:paraId="681B55AB"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15.0</w:t>
            </w:r>
          </w:p>
        </w:tc>
        <w:tc>
          <w:tcPr>
            <w:tcW w:w="790" w:type="pct"/>
            <w:noWrap/>
          </w:tcPr>
          <w:p w14:paraId="7BB276D5"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12.9</w:t>
            </w:r>
          </w:p>
        </w:tc>
      </w:tr>
      <w:tr w:rsidR="00C15F2E" w:rsidRPr="00D96063" w14:paraId="5B5CB277"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0BE17581" w14:textId="77777777" w:rsidR="00C15F2E" w:rsidRPr="00D96063" w:rsidRDefault="00C15F2E" w:rsidP="00997D10">
            <w:pPr>
              <w:spacing w:before="20" w:after="20"/>
              <w:jc w:val="left"/>
              <w:rPr>
                <w:rFonts w:eastAsia="Times New Roman"/>
                <w:sz w:val="14"/>
                <w:szCs w:val="14"/>
              </w:rPr>
            </w:pPr>
            <w:r w:rsidRPr="00D96063">
              <w:rPr>
                <w:rFonts w:eastAsia="Times New Roman"/>
                <w:sz w:val="14"/>
                <w:szCs w:val="14"/>
              </w:rPr>
              <w:t>Non-electric machinery</w:t>
            </w:r>
          </w:p>
        </w:tc>
        <w:tc>
          <w:tcPr>
            <w:tcW w:w="808" w:type="pct"/>
            <w:noWrap/>
          </w:tcPr>
          <w:p w14:paraId="63657D93"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2.8</w:t>
            </w:r>
          </w:p>
        </w:tc>
        <w:tc>
          <w:tcPr>
            <w:tcW w:w="709" w:type="pct"/>
            <w:noWrap/>
          </w:tcPr>
          <w:p w14:paraId="478F5495"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3.1</w:t>
            </w:r>
          </w:p>
        </w:tc>
        <w:tc>
          <w:tcPr>
            <w:tcW w:w="790" w:type="pct"/>
            <w:noWrap/>
          </w:tcPr>
          <w:p w14:paraId="60ACAC59"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7.0</w:t>
            </w:r>
          </w:p>
        </w:tc>
      </w:tr>
      <w:tr w:rsidR="00C15F2E" w:rsidRPr="00D96063" w14:paraId="740D9DE1" w14:textId="77777777" w:rsidTr="00997D10">
        <w:tc>
          <w:tcPr>
            <w:tcW w:w="2693" w:type="pct"/>
            <w:noWrap/>
            <w:hideMark/>
          </w:tcPr>
          <w:p w14:paraId="0E375ACC" w14:textId="77777777" w:rsidR="00C15F2E" w:rsidRPr="00D96063" w:rsidRDefault="00C15F2E" w:rsidP="00997D10">
            <w:pPr>
              <w:spacing w:before="20" w:after="20"/>
              <w:jc w:val="left"/>
              <w:rPr>
                <w:rFonts w:eastAsia="Times New Roman"/>
                <w:sz w:val="14"/>
                <w:szCs w:val="14"/>
              </w:rPr>
            </w:pPr>
            <w:r w:rsidRPr="00D96063">
              <w:rPr>
                <w:rFonts w:eastAsia="Times New Roman"/>
                <w:sz w:val="14"/>
                <w:szCs w:val="14"/>
              </w:rPr>
              <w:t>Electric machinery</w:t>
            </w:r>
          </w:p>
        </w:tc>
        <w:tc>
          <w:tcPr>
            <w:tcW w:w="808" w:type="pct"/>
            <w:noWrap/>
          </w:tcPr>
          <w:p w14:paraId="7CA2F63C"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10.3</w:t>
            </w:r>
          </w:p>
        </w:tc>
        <w:tc>
          <w:tcPr>
            <w:tcW w:w="709" w:type="pct"/>
            <w:noWrap/>
          </w:tcPr>
          <w:p w14:paraId="12CD497F"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10.6</w:t>
            </w:r>
          </w:p>
        </w:tc>
        <w:tc>
          <w:tcPr>
            <w:tcW w:w="790" w:type="pct"/>
            <w:noWrap/>
          </w:tcPr>
          <w:p w14:paraId="68893D9D"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11.2</w:t>
            </w:r>
          </w:p>
        </w:tc>
      </w:tr>
      <w:tr w:rsidR="00C15F2E" w:rsidRPr="00D96063" w14:paraId="5B59319A"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496EA584" w14:textId="77777777" w:rsidR="00C15F2E" w:rsidRPr="00D96063" w:rsidRDefault="00C15F2E" w:rsidP="00997D10">
            <w:pPr>
              <w:spacing w:before="20" w:after="20"/>
              <w:jc w:val="left"/>
              <w:rPr>
                <w:sz w:val="14"/>
                <w:szCs w:val="14"/>
              </w:rPr>
            </w:pPr>
            <w:r w:rsidRPr="00D96063">
              <w:rPr>
                <w:sz w:val="14"/>
                <w:szCs w:val="14"/>
              </w:rPr>
              <w:t>Transport equipment</w:t>
            </w:r>
          </w:p>
        </w:tc>
        <w:tc>
          <w:tcPr>
            <w:tcW w:w="808" w:type="pct"/>
            <w:noWrap/>
          </w:tcPr>
          <w:p w14:paraId="34D09EA2"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6.0</w:t>
            </w:r>
          </w:p>
        </w:tc>
        <w:tc>
          <w:tcPr>
            <w:tcW w:w="709" w:type="pct"/>
            <w:noWrap/>
          </w:tcPr>
          <w:p w14:paraId="426272FC"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5.5</w:t>
            </w:r>
          </w:p>
        </w:tc>
        <w:tc>
          <w:tcPr>
            <w:tcW w:w="790" w:type="pct"/>
            <w:noWrap/>
          </w:tcPr>
          <w:p w14:paraId="55E207FC"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8.8</w:t>
            </w:r>
          </w:p>
        </w:tc>
      </w:tr>
      <w:tr w:rsidR="00C15F2E" w:rsidRPr="00D96063" w14:paraId="47FE1205" w14:textId="77777777" w:rsidTr="00997D10">
        <w:tc>
          <w:tcPr>
            <w:tcW w:w="2693" w:type="pct"/>
            <w:noWrap/>
            <w:hideMark/>
          </w:tcPr>
          <w:p w14:paraId="07D0BFBC" w14:textId="77777777" w:rsidR="00C15F2E" w:rsidRPr="007A1409" w:rsidRDefault="00C15F2E" w:rsidP="00997D10">
            <w:pPr>
              <w:spacing w:before="20" w:after="20"/>
              <w:jc w:val="left"/>
              <w:rPr>
                <w:rFonts w:eastAsia="Times New Roman"/>
                <w:sz w:val="14"/>
                <w:szCs w:val="14"/>
                <w:lang w:val="fr-CH"/>
              </w:rPr>
            </w:pPr>
            <w:r w:rsidRPr="007A1409">
              <w:rPr>
                <w:rFonts w:eastAsia="Times New Roman"/>
                <w:sz w:val="14"/>
                <w:szCs w:val="14"/>
                <w:lang w:val="fr-CH"/>
              </w:rPr>
              <w:t>Non-agricultural products, n.e.s.</w:t>
            </w:r>
          </w:p>
        </w:tc>
        <w:tc>
          <w:tcPr>
            <w:tcW w:w="808" w:type="pct"/>
            <w:noWrap/>
          </w:tcPr>
          <w:p w14:paraId="6E583A27"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15.6</w:t>
            </w:r>
          </w:p>
        </w:tc>
        <w:tc>
          <w:tcPr>
            <w:tcW w:w="709" w:type="pct"/>
            <w:noWrap/>
          </w:tcPr>
          <w:p w14:paraId="49BBE679"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15.0</w:t>
            </w:r>
          </w:p>
        </w:tc>
        <w:tc>
          <w:tcPr>
            <w:tcW w:w="790" w:type="pct"/>
            <w:noWrap/>
          </w:tcPr>
          <w:p w14:paraId="488596FC"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14.2</w:t>
            </w:r>
          </w:p>
        </w:tc>
      </w:tr>
      <w:tr w:rsidR="00C15F2E" w:rsidRPr="00D96063" w14:paraId="0616383A"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790626CD" w14:textId="77777777" w:rsidR="00C15F2E" w:rsidRPr="00D96063" w:rsidRDefault="00C15F2E" w:rsidP="00997D10">
            <w:pPr>
              <w:spacing w:before="20" w:after="20"/>
              <w:jc w:val="left"/>
              <w:rPr>
                <w:rFonts w:eastAsia="Times New Roman"/>
                <w:sz w:val="14"/>
                <w:szCs w:val="14"/>
              </w:rPr>
            </w:pPr>
            <w:r w:rsidRPr="00D96063">
              <w:rPr>
                <w:rFonts w:eastAsia="Times New Roman"/>
                <w:sz w:val="14"/>
                <w:szCs w:val="14"/>
              </w:rPr>
              <w:t>Petroleum</w:t>
            </w:r>
          </w:p>
        </w:tc>
        <w:tc>
          <w:tcPr>
            <w:tcW w:w="808" w:type="pct"/>
            <w:noWrap/>
          </w:tcPr>
          <w:p w14:paraId="7C0B7045"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9.0</w:t>
            </w:r>
          </w:p>
        </w:tc>
        <w:tc>
          <w:tcPr>
            <w:tcW w:w="709" w:type="pct"/>
            <w:noWrap/>
          </w:tcPr>
          <w:p w14:paraId="5DDEF330"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4.3</w:t>
            </w:r>
          </w:p>
        </w:tc>
        <w:tc>
          <w:tcPr>
            <w:tcW w:w="790" w:type="pct"/>
            <w:noWrap/>
          </w:tcPr>
          <w:p w14:paraId="4D245679"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7.9</w:t>
            </w:r>
          </w:p>
        </w:tc>
      </w:tr>
      <w:tr w:rsidR="00C15F2E" w:rsidRPr="00D96063" w14:paraId="1560DA58" w14:textId="77777777" w:rsidTr="00927A2A">
        <w:tc>
          <w:tcPr>
            <w:tcW w:w="5000" w:type="pct"/>
            <w:gridSpan w:val="4"/>
            <w:noWrap/>
            <w:hideMark/>
          </w:tcPr>
          <w:p w14:paraId="1D77BB80" w14:textId="77777777" w:rsidR="00C15F2E" w:rsidRPr="00D96063" w:rsidRDefault="00C15F2E" w:rsidP="008516FD">
            <w:pPr>
              <w:spacing w:before="100" w:beforeAutospacing="1" w:after="100" w:afterAutospacing="1"/>
              <w:ind w:right="397"/>
              <w:jc w:val="left"/>
              <w:rPr>
                <w:sz w:val="14"/>
                <w:szCs w:val="14"/>
              </w:rPr>
            </w:pPr>
            <w:r w:rsidRPr="00D96063">
              <w:rPr>
                <w:sz w:val="14"/>
                <w:szCs w:val="14"/>
              </w:rPr>
              <w:t>By ISIC sector</w:t>
            </w:r>
            <w:r w:rsidRPr="00D96063">
              <w:rPr>
                <w:sz w:val="14"/>
                <w:szCs w:val="14"/>
                <w:vertAlign w:val="superscript"/>
              </w:rPr>
              <w:t>d</w:t>
            </w:r>
          </w:p>
        </w:tc>
      </w:tr>
      <w:tr w:rsidR="00C15F2E" w:rsidRPr="00D96063" w14:paraId="1F4FAFC2"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3FA52854" w14:textId="77777777" w:rsidR="00C15F2E" w:rsidRPr="00D96063" w:rsidRDefault="00C15F2E" w:rsidP="00997D10">
            <w:pPr>
              <w:spacing w:before="20" w:after="20"/>
              <w:rPr>
                <w:sz w:val="14"/>
                <w:szCs w:val="14"/>
              </w:rPr>
            </w:pPr>
            <w:r w:rsidRPr="00D96063">
              <w:rPr>
                <w:sz w:val="14"/>
                <w:szCs w:val="14"/>
              </w:rPr>
              <w:t>ISIC 1 – Agriculture, hunting and fishing</w:t>
            </w:r>
          </w:p>
        </w:tc>
        <w:tc>
          <w:tcPr>
            <w:tcW w:w="808" w:type="pct"/>
            <w:noWrap/>
          </w:tcPr>
          <w:p w14:paraId="3E08E77F"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15.7</w:t>
            </w:r>
          </w:p>
        </w:tc>
        <w:tc>
          <w:tcPr>
            <w:tcW w:w="709" w:type="pct"/>
            <w:noWrap/>
          </w:tcPr>
          <w:p w14:paraId="76A5C9D3"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15.1</w:t>
            </w:r>
          </w:p>
        </w:tc>
        <w:tc>
          <w:tcPr>
            <w:tcW w:w="790" w:type="pct"/>
            <w:noWrap/>
          </w:tcPr>
          <w:p w14:paraId="513CA9EC"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11.8</w:t>
            </w:r>
          </w:p>
        </w:tc>
      </w:tr>
      <w:tr w:rsidR="00C15F2E" w:rsidRPr="00D96063" w14:paraId="7638C524" w14:textId="77777777" w:rsidTr="00997D10">
        <w:tc>
          <w:tcPr>
            <w:tcW w:w="2693" w:type="pct"/>
            <w:noWrap/>
            <w:hideMark/>
          </w:tcPr>
          <w:p w14:paraId="4F1663F7" w14:textId="77777777" w:rsidR="00C15F2E" w:rsidRPr="00D96063" w:rsidRDefault="00C15F2E" w:rsidP="00997D10">
            <w:pPr>
              <w:spacing w:before="20" w:after="20"/>
              <w:rPr>
                <w:sz w:val="14"/>
                <w:szCs w:val="14"/>
              </w:rPr>
            </w:pPr>
            <w:r w:rsidRPr="00D96063">
              <w:rPr>
                <w:sz w:val="14"/>
                <w:szCs w:val="14"/>
              </w:rPr>
              <w:t>ISIC 2 – Mining and quarrying</w:t>
            </w:r>
          </w:p>
        </w:tc>
        <w:tc>
          <w:tcPr>
            <w:tcW w:w="808" w:type="pct"/>
            <w:noWrap/>
          </w:tcPr>
          <w:p w14:paraId="2905E74E"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11.2</w:t>
            </w:r>
          </w:p>
        </w:tc>
        <w:tc>
          <w:tcPr>
            <w:tcW w:w="709" w:type="pct"/>
            <w:noWrap/>
          </w:tcPr>
          <w:p w14:paraId="62875661"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11.2</w:t>
            </w:r>
          </w:p>
        </w:tc>
        <w:tc>
          <w:tcPr>
            <w:tcW w:w="790" w:type="pct"/>
            <w:noWrap/>
          </w:tcPr>
          <w:p w14:paraId="7D09A62B"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5.1</w:t>
            </w:r>
          </w:p>
        </w:tc>
      </w:tr>
      <w:tr w:rsidR="00C15F2E" w:rsidRPr="00D96063" w14:paraId="045F768A"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7AEFEA4A" w14:textId="77777777" w:rsidR="00C15F2E" w:rsidRPr="00D96063" w:rsidRDefault="00C15F2E" w:rsidP="00801175">
            <w:pPr>
              <w:spacing w:before="20" w:after="20"/>
              <w:rPr>
                <w:sz w:val="14"/>
                <w:szCs w:val="14"/>
              </w:rPr>
            </w:pPr>
            <w:r w:rsidRPr="00D96063">
              <w:rPr>
                <w:sz w:val="14"/>
                <w:szCs w:val="14"/>
              </w:rPr>
              <w:t>ISIC 3 – Manufacturing</w:t>
            </w:r>
          </w:p>
        </w:tc>
        <w:tc>
          <w:tcPr>
            <w:tcW w:w="808" w:type="pct"/>
            <w:noWrap/>
          </w:tcPr>
          <w:p w14:paraId="60FC0E98" w14:textId="77777777" w:rsidR="00C15F2E" w:rsidRPr="00D96063" w:rsidRDefault="00C15F2E" w:rsidP="008516FD">
            <w:pPr>
              <w:keepNext/>
              <w:keepLines/>
              <w:pageBreakBefore/>
              <w:spacing w:before="100" w:beforeAutospacing="1" w:after="100" w:afterAutospacing="1"/>
              <w:ind w:right="397"/>
              <w:jc w:val="right"/>
              <w:rPr>
                <w:sz w:val="14"/>
                <w:szCs w:val="14"/>
              </w:rPr>
            </w:pPr>
            <w:r w:rsidRPr="00D96063">
              <w:rPr>
                <w:sz w:val="14"/>
                <w:szCs w:val="14"/>
              </w:rPr>
              <w:t>12.6</w:t>
            </w:r>
          </w:p>
        </w:tc>
        <w:tc>
          <w:tcPr>
            <w:tcW w:w="709" w:type="pct"/>
            <w:noWrap/>
          </w:tcPr>
          <w:p w14:paraId="40C8C4D8" w14:textId="77777777" w:rsidR="00C15F2E" w:rsidRPr="00D96063" w:rsidRDefault="00C15F2E" w:rsidP="008516FD">
            <w:pPr>
              <w:keepNext/>
              <w:keepLines/>
              <w:pageBreakBefore/>
              <w:spacing w:before="100" w:beforeAutospacing="1" w:after="100" w:afterAutospacing="1"/>
              <w:ind w:right="397"/>
              <w:jc w:val="right"/>
              <w:rPr>
                <w:sz w:val="14"/>
                <w:szCs w:val="14"/>
              </w:rPr>
            </w:pPr>
            <w:r w:rsidRPr="00D96063">
              <w:rPr>
                <w:sz w:val="14"/>
                <w:szCs w:val="14"/>
              </w:rPr>
              <w:t>12.7</w:t>
            </w:r>
          </w:p>
        </w:tc>
        <w:tc>
          <w:tcPr>
            <w:tcW w:w="790" w:type="pct"/>
            <w:noWrap/>
          </w:tcPr>
          <w:p w14:paraId="71347453" w14:textId="77777777" w:rsidR="00C15F2E" w:rsidRPr="00D96063" w:rsidRDefault="00C15F2E" w:rsidP="008516FD">
            <w:pPr>
              <w:keepNext/>
              <w:keepLines/>
              <w:pageBreakBefore/>
              <w:spacing w:before="100" w:beforeAutospacing="1" w:after="100" w:afterAutospacing="1"/>
              <w:ind w:right="397"/>
              <w:jc w:val="right"/>
              <w:rPr>
                <w:sz w:val="14"/>
                <w:szCs w:val="14"/>
              </w:rPr>
            </w:pPr>
            <w:r w:rsidRPr="00D96063">
              <w:rPr>
                <w:sz w:val="14"/>
                <w:szCs w:val="14"/>
              </w:rPr>
              <w:t>12.3</w:t>
            </w:r>
          </w:p>
        </w:tc>
      </w:tr>
      <w:tr w:rsidR="00C15F2E" w:rsidRPr="00D96063" w14:paraId="0349F403" w14:textId="77777777" w:rsidTr="00997D10">
        <w:tc>
          <w:tcPr>
            <w:tcW w:w="2693" w:type="pct"/>
            <w:noWrap/>
          </w:tcPr>
          <w:p w14:paraId="5D532C47" w14:textId="77777777" w:rsidR="00C15F2E" w:rsidRPr="00D96063" w:rsidRDefault="00C15F2E" w:rsidP="00801175">
            <w:pPr>
              <w:spacing w:before="20" w:after="20"/>
              <w:rPr>
                <w:sz w:val="14"/>
                <w:szCs w:val="14"/>
              </w:rPr>
            </w:pPr>
            <w:r w:rsidRPr="00D96063">
              <w:rPr>
                <w:sz w:val="14"/>
                <w:szCs w:val="14"/>
              </w:rPr>
              <w:t xml:space="preserve">ISIC 4 – Electrical energy </w:t>
            </w:r>
          </w:p>
        </w:tc>
        <w:tc>
          <w:tcPr>
            <w:tcW w:w="808" w:type="pct"/>
            <w:noWrap/>
          </w:tcPr>
          <w:p w14:paraId="5AD676B5" w14:textId="77777777" w:rsidR="00C15F2E" w:rsidRPr="00D96063" w:rsidRDefault="00C15F2E" w:rsidP="008516FD">
            <w:pPr>
              <w:spacing w:before="100" w:beforeAutospacing="1" w:after="100" w:afterAutospacing="1"/>
              <w:ind w:right="397"/>
              <w:jc w:val="right"/>
              <w:rPr>
                <w:sz w:val="14"/>
                <w:szCs w:val="14"/>
              </w:rPr>
            </w:pPr>
          </w:p>
        </w:tc>
        <w:tc>
          <w:tcPr>
            <w:tcW w:w="709" w:type="pct"/>
            <w:noWrap/>
          </w:tcPr>
          <w:p w14:paraId="7094F291" w14:textId="77777777" w:rsidR="00C15F2E" w:rsidRPr="00D96063" w:rsidRDefault="00C15F2E" w:rsidP="008516FD">
            <w:pPr>
              <w:spacing w:before="100" w:beforeAutospacing="1" w:after="100" w:afterAutospacing="1"/>
              <w:ind w:right="397"/>
              <w:jc w:val="right"/>
              <w:rPr>
                <w:sz w:val="14"/>
                <w:szCs w:val="14"/>
              </w:rPr>
            </w:pPr>
          </w:p>
        </w:tc>
        <w:tc>
          <w:tcPr>
            <w:tcW w:w="790" w:type="pct"/>
            <w:noWrap/>
          </w:tcPr>
          <w:p w14:paraId="1D2A8556"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5.0</w:t>
            </w:r>
          </w:p>
        </w:tc>
      </w:tr>
      <w:tr w:rsidR="00C15F2E" w:rsidRPr="00D96063" w14:paraId="05F67371"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4722BA4E" w14:textId="77777777" w:rsidR="00C15F2E" w:rsidRPr="00D96063" w:rsidRDefault="00C15F2E" w:rsidP="00801175">
            <w:pPr>
              <w:spacing w:before="20" w:after="20"/>
              <w:rPr>
                <w:sz w:val="14"/>
                <w:szCs w:val="14"/>
              </w:rPr>
            </w:pPr>
            <w:r w:rsidRPr="00D96063">
              <w:rPr>
                <w:sz w:val="14"/>
                <w:szCs w:val="14"/>
              </w:rPr>
              <w:t>By stage of processing</w:t>
            </w:r>
          </w:p>
        </w:tc>
        <w:tc>
          <w:tcPr>
            <w:tcW w:w="808" w:type="pct"/>
            <w:noWrap/>
          </w:tcPr>
          <w:p w14:paraId="1A522A6B" w14:textId="77777777" w:rsidR="00C15F2E" w:rsidRPr="00D96063" w:rsidRDefault="00C15F2E" w:rsidP="008516FD">
            <w:pPr>
              <w:spacing w:before="100" w:beforeAutospacing="1" w:after="100" w:afterAutospacing="1"/>
              <w:ind w:right="397"/>
              <w:jc w:val="right"/>
              <w:rPr>
                <w:sz w:val="14"/>
                <w:szCs w:val="14"/>
              </w:rPr>
            </w:pPr>
          </w:p>
        </w:tc>
        <w:tc>
          <w:tcPr>
            <w:tcW w:w="709" w:type="pct"/>
            <w:noWrap/>
          </w:tcPr>
          <w:p w14:paraId="5D31FA73" w14:textId="77777777" w:rsidR="00C15F2E" w:rsidRPr="00D96063" w:rsidRDefault="00C15F2E" w:rsidP="008516FD">
            <w:pPr>
              <w:spacing w:before="100" w:beforeAutospacing="1" w:after="100" w:afterAutospacing="1"/>
              <w:ind w:right="397"/>
              <w:jc w:val="right"/>
              <w:rPr>
                <w:sz w:val="14"/>
                <w:szCs w:val="14"/>
              </w:rPr>
            </w:pPr>
          </w:p>
        </w:tc>
        <w:tc>
          <w:tcPr>
            <w:tcW w:w="790" w:type="pct"/>
            <w:noWrap/>
          </w:tcPr>
          <w:p w14:paraId="6161F4BA" w14:textId="77777777" w:rsidR="00C15F2E" w:rsidRPr="00D96063" w:rsidRDefault="00C15F2E" w:rsidP="008516FD">
            <w:pPr>
              <w:spacing w:before="100" w:beforeAutospacing="1" w:after="100" w:afterAutospacing="1"/>
              <w:ind w:right="397"/>
              <w:jc w:val="right"/>
              <w:rPr>
                <w:sz w:val="14"/>
                <w:szCs w:val="14"/>
              </w:rPr>
            </w:pPr>
          </w:p>
        </w:tc>
      </w:tr>
      <w:tr w:rsidR="00C15F2E" w:rsidRPr="00D96063" w14:paraId="1AD861B5" w14:textId="77777777" w:rsidTr="00997D10">
        <w:tc>
          <w:tcPr>
            <w:tcW w:w="2693" w:type="pct"/>
            <w:noWrap/>
            <w:hideMark/>
          </w:tcPr>
          <w:p w14:paraId="5AB770CB" w14:textId="77777777" w:rsidR="00C15F2E" w:rsidRPr="00D96063" w:rsidRDefault="00C15F2E" w:rsidP="00801175">
            <w:pPr>
              <w:spacing w:before="20" w:after="20"/>
              <w:rPr>
                <w:sz w:val="14"/>
                <w:szCs w:val="14"/>
              </w:rPr>
            </w:pPr>
            <w:r w:rsidRPr="00D96063">
              <w:rPr>
                <w:sz w:val="14"/>
                <w:szCs w:val="14"/>
              </w:rPr>
              <w:t>First stage of processing</w:t>
            </w:r>
          </w:p>
        </w:tc>
        <w:tc>
          <w:tcPr>
            <w:tcW w:w="808" w:type="pct"/>
            <w:noWrap/>
          </w:tcPr>
          <w:p w14:paraId="4A6F052B"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14.1</w:t>
            </w:r>
          </w:p>
        </w:tc>
        <w:tc>
          <w:tcPr>
            <w:tcW w:w="709" w:type="pct"/>
            <w:noWrap/>
          </w:tcPr>
          <w:p w14:paraId="20263244"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13.3</w:t>
            </w:r>
          </w:p>
        </w:tc>
        <w:tc>
          <w:tcPr>
            <w:tcW w:w="790" w:type="pct"/>
            <w:noWrap/>
          </w:tcPr>
          <w:p w14:paraId="746326E7"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10.4</w:t>
            </w:r>
          </w:p>
        </w:tc>
      </w:tr>
      <w:tr w:rsidR="00C15F2E" w:rsidRPr="00D96063" w14:paraId="1037517E" w14:textId="77777777" w:rsidTr="00997D10">
        <w:trPr>
          <w:cnfStyle w:val="000000010000" w:firstRow="0" w:lastRow="0" w:firstColumn="0" w:lastColumn="0" w:oddVBand="0" w:evenVBand="0" w:oddHBand="0" w:evenHBand="1" w:firstRowFirstColumn="0" w:firstRowLastColumn="0" w:lastRowFirstColumn="0" w:lastRowLastColumn="0"/>
        </w:trPr>
        <w:tc>
          <w:tcPr>
            <w:tcW w:w="2693" w:type="pct"/>
            <w:noWrap/>
            <w:hideMark/>
          </w:tcPr>
          <w:p w14:paraId="7A2924E8" w14:textId="77777777" w:rsidR="00C15F2E" w:rsidRPr="00D96063" w:rsidRDefault="00C15F2E" w:rsidP="00801175">
            <w:pPr>
              <w:spacing w:before="20" w:after="20"/>
              <w:rPr>
                <w:sz w:val="14"/>
                <w:szCs w:val="14"/>
              </w:rPr>
            </w:pPr>
            <w:r w:rsidRPr="00D96063">
              <w:rPr>
                <w:sz w:val="14"/>
                <w:szCs w:val="14"/>
              </w:rPr>
              <w:t>Semi-processed products</w:t>
            </w:r>
          </w:p>
        </w:tc>
        <w:tc>
          <w:tcPr>
            <w:tcW w:w="808" w:type="pct"/>
            <w:noWrap/>
          </w:tcPr>
          <w:p w14:paraId="1779D56A"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13.0</w:t>
            </w:r>
          </w:p>
        </w:tc>
        <w:tc>
          <w:tcPr>
            <w:tcW w:w="709" w:type="pct"/>
            <w:noWrap/>
          </w:tcPr>
          <w:p w14:paraId="37FD042C"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13.3</w:t>
            </w:r>
          </w:p>
        </w:tc>
        <w:tc>
          <w:tcPr>
            <w:tcW w:w="790" w:type="pct"/>
            <w:noWrap/>
          </w:tcPr>
          <w:p w14:paraId="0095DC76"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10.0</w:t>
            </w:r>
          </w:p>
        </w:tc>
      </w:tr>
      <w:tr w:rsidR="00C15F2E" w:rsidRPr="00D96063" w14:paraId="30F12DAB" w14:textId="77777777" w:rsidTr="00997D10">
        <w:tc>
          <w:tcPr>
            <w:tcW w:w="2693" w:type="pct"/>
            <w:noWrap/>
            <w:hideMark/>
          </w:tcPr>
          <w:p w14:paraId="353E1236" w14:textId="77777777" w:rsidR="00C15F2E" w:rsidRPr="00D96063" w:rsidRDefault="00C15F2E" w:rsidP="00801175">
            <w:pPr>
              <w:spacing w:before="20" w:after="20"/>
              <w:rPr>
                <w:sz w:val="14"/>
                <w:szCs w:val="14"/>
              </w:rPr>
            </w:pPr>
            <w:r w:rsidRPr="00D96063">
              <w:rPr>
                <w:sz w:val="14"/>
                <w:szCs w:val="14"/>
              </w:rPr>
              <w:t>Fully processed products</w:t>
            </w:r>
          </w:p>
        </w:tc>
        <w:tc>
          <w:tcPr>
            <w:tcW w:w="808" w:type="pct"/>
            <w:noWrap/>
          </w:tcPr>
          <w:p w14:paraId="294D72E1"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12.3</w:t>
            </w:r>
          </w:p>
        </w:tc>
        <w:tc>
          <w:tcPr>
            <w:tcW w:w="709" w:type="pct"/>
            <w:noWrap/>
          </w:tcPr>
          <w:p w14:paraId="1B3CE7FC"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12.5</w:t>
            </w:r>
          </w:p>
        </w:tc>
        <w:tc>
          <w:tcPr>
            <w:tcW w:w="790" w:type="pct"/>
            <w:noWrap/>
          </w:tcPr>
          <w:p w14:paraId="0A9C8042" w14:textId="77777777" w:rsidR="00C15F2E" w:rsidRPr="00D96063" w:rsidRDefault="00C15F2E" w:rsidP="008516FD">
            <w:pPr>
              <w:spacing w:before="100" w:beforeAutospacing="1" w:after="100" w:afterAutospacing="1"/>
              <w:ind w:right="397"/>
              <w:jc w:val="right"/>
              <w:rPr>
                <w:sz w:val="14"/>
                <w:szCs w:val="14"/>
              </w:rPr>
            </w:pPr>
            <w:r w:rsidRPr="00D96063">
              <w:rPr>
                <w:sz w:val="14"/>
                <w:szCs w:val="14"/>
              </w:rPr>
              <w:t>13.8</w:t>
            </w:r>
          </w:p>
        </w:tc>
      </w:tr>
    </w:tbl>
    <w:p w14:paraId="2F71D878" w14:textId="77777777" w:rsidR="00C15F2E" w:rsidRPr="00D96063" w:rsidRDefault="00C15F2E" w:rsidP="00E101A6">
      <w:pPr>
        <w:pStyle w:val="NoteText"/>
        <w:spacing w:before="120"/>
      </w:pPr>
      <w:r w:rsidRPr="00D96063">
        <w:t>a</w:t>
      </w:r>
      <w:r w:rsidRPr="00D96063">
        <w:tab/>
        <w:t>The 2007 tariff is based on HS02 nomenclature consisting of 5,969 tariff lines (at 10-digit tariff line level).</w:t>
      </w:r>
    </w:p>
    <w:p w14:paraId="3D8A3F89" w14:textId="3EE0A801" w:rsidR="00C15F2E" w:rsidRPr="00D96063" w:rsidRDefault="0079163C" w:rsidP="00E101A6">
      <w:pPr>
        <w:pStyle w:val="NoteText"/>
      </w:pPr>
      <w:r>
        <w:t>b</w:t>
      </w:r>
      <w:r w:rsidR="00C15F2E" w:rsidRPr="00D96063">
        <w:tab/>
        <w:t>The 2013 tariff is based on HS12 nomenclature consisting of 6,062 tariff lines (at 10-digit tariff line level).</w:t>
      </w:r>
    </w:p>
    <w:p w14:paraId="7BB434FC" w14:textId="4B9A0415" w:rsidR="00C15F2E" w:rsidRPr="00D96063" w:rsidRDefault="0079163C" w:rsidP="00E101A6">
      <w:pPr>
        <w:pStyle w:val="NoteText"/>
      </w:pPr>
      <w:r>
        <w:rPr>
          <w:szCs w:val="16"/>
        </w:rPr>
        <w:t>c</w:t>
      </w:r>
      <w:r w:rsidR="00C15F2E" w:rsidRPr="00D96063">
        <w:tab/>
        <w:t>The ECOWAS tariff schedule is based on HS17 nomenclature consisting of 6,129 tariff lines (at 10</w:t>
      </w:r>
      <w:r w:rsidR="00C15F2E" w:rsidRPr="00D96063">
        <w:noBreakHyphen/>
        <w:t>digit tariff line level).</w:t>
      </w:r>
    </w:p>
    <w:p w14:paraId="4B619158" w14:textId="6E9B6BAC" w:rsidR="00C15F2E" w:rsidRPr="00D96063" w:rsidRDefault="0079163C" w:rsidP="00E101A6">
      <w:pPr>
        <w:pStyle w:val="NoteText"/>
      </w:pPr>
      <w:r>
        <w:t>d</w:t>
      </w:r>
      <w:r w:rsidR="00C15F2E" w:rsidRPr="00D96063">
        <w:tab/>
        <w:t>International Standard Industrial Classification (Rev.2). Electricity, gas and water are excluded (1 tariff line).</w:t>
      </w:r>
    </w:p>
    <w:p w14:paraId="7911C916" w14:textId="77777777" w:rsidR="00C15F2E" w:rsidRPr="00D96063" w:rsidRDefault="00C15F2E" w:rsidP="00E101A6">
      <w:pPr>
        <w:pStyle w:val="NoteText"/>
        <w:spacing w:before="120" w:after="240"/>
      </w:pPr>
      <w:r w:rsidRPr="00D96063">
        <w:t>Source:</w:t>
      </w:r>
      <w:r w:rsidRPr="00D96063">
        <w:rPr>
          <w:i/>
        </w:rPr>
        <w:tab/>
      </w:r>
      <w:r w:rsidRPr="00D96063">
        <w:t>WTO Secretariat calculations, based on data provided by the authorities.</w:t>
      </w:r>
    </w:p>
    <w:p w14:paraId="3A5C5551" w14:textId="77777777" w:rsidR="00C15F2E" w:rsidRPr="00D96063" w:rsidRDefault="00C15F2E" w:rsidP="00E101A6">
      <w:pPr>
        <w:pStyle w:val="Heading4"/>
        <w:numPr>
          <w:ilvl w:val="3"/>
          <w:numId w:val="16"/>
        </w:numPr>
      </w:pPr>
      <w:bookmarkStart w:id="98" w:name="_Toc392845102"/>
      <w:bookmarkStart w:id="99" w:name="_Toc103607670"/>
      <w:bookmarkStart w:id="100" w:name="_Hlk84405120"/>
      <w:r w:rsidRPr="00D96063">
        <w:t>WTO bindings</w:t>
      </w:r>
      <w:bookmarkEnd w:id="98"/>
      <w:bookmarkEnd w:id="99"/>
    </w:p>
    <w:p w14:paraId="0341D5E0" w14:textId="3BAD463E" w:rsidR="00C15F2E" w:rsidRPr="00D96063" w:rsidRDefault="00C15F2E" w:rsidP="00E101A6">
      <w:pPr>
        <w:pStyle w:val="BodyText"/>
        <w:numPr>
          <w:ilvl w:val="6"/>
          <w:numId w:val="16"/>
        </w:numPr>
      </w:pPr>
      <w:bookmarkStart w:id="101" w:name="_Toc392845106"/>
      <w:r w:rsidRPr="00D96063">
        <w:t>Ghana</w:t>
      </w:r>
      <w:r w:rsidR="00943F60">
        <w:t>'s binding</w:t>
      </w:r>
      <w:r w:rsidRPr="00D96063">
        <w:t xml:space="preserve"> </w:t>
      </w:r>
      <w:r w:rsidR="00943F60">
        <w:t>cover</w:t>
      </w:r>
      <w:r w:rsidRPr="00D96063">
        <w:t xml:space="preserve"> 1</w:t>
      </w:r>
      <w:r w:rsidR="005D097C">
        <w:t>5.1</w:t>
      </w:r>
      <w:r w:rsidRPr="00D96063">
        <w:t xml:space="preserve">% of </w:t>
      </w:r>
      <w:r w:rsidR="00943F60">
        <w:t>all</w:t>
      </w:r>
      <w:r w:rsidRPr="00D96063">
        <w:t xml:space="preserve"> tariff lines </w:t>
      </w:r>
      <w:r w:rsidR="00F879BF">
        <w:t>(Table 3.3)</w:t>
      </w:r>
      <w:r w:rsidRPr="00D96063">
        <w:t xml:space="preserve">. In agriculture, most tariffs are bound at a ceiling rate of 99%; lower bound rates of 40% and 50% were set on a few agricultural products. Products subject to the 40% bound rate include live poultry, milk and cream, wheat, and oil cake; the tariff on tea was bound at 50%. Very few non-agricultural tariffs – 1% of tariff lines – are bound, at ceiling rates of mainly 30% and 40%, but also at 35% and 45%. These bindings are mainly on inputs for agricultural production, such as fertilizers, as well as tools and equipment. Ghana's schedule of concessions was transposed into HS12 and more recently into HS17 and these changes were certified in October 2017 and in March 2021 in the context of the HS transposition exercise conducted by the WTO Secretariat. </w:t>
      </w:r>
    </w:p>
    <w:p w14:paraId="0FB6B6DD" w14:textId="77777777" w:rsidR="00C15F2E" w:rsidRPr="00D96063" w:rsidRDefault="00C15F2E" w:rsidP="00E101A6">
      <w:pPr>
        <w:pStyle w:val="BodyText"/>
        <w:numPr>
          <w:ilvl w:val="6"/>
          <w:numId w:val="16"/>
        </w:numPr>
      </w:pPr>
      <w:r w:rsidRPr="00D96063">
        <w:t>Ghana has bound "Other duties and charges" (ODCs) at zero on non</w:t>
      </w:r>
      <w:r w:rsidRPr="00D96063">
        <w:noBreakHyphen/>
        <w:t>agricultural and most agricultural goods, and at 15% on some selected agricultural goods, including milk and cream, eggs, tea, wheat, and oil cake. However, Ghana collects numerous duties and charges on imports in addition to the customs tariff (Section 3.1.3).</w:t>
      </w:r>
    </w:p>
    <w:p w14:paraId="6F91F083" w14:textId="77777777" w:rsidR="00C15F2E" w:rsidRPr="00D96063" w:rsidRDefault="00C15F2E" w:rsidP="00E101A6">
      <w:pPr>
        <w:pStyle w:val="Heading4"/>
        <w:numPr>
          <w:ilvl w:val="3"/>
          <w:numId w:val="16"/>
        </w:numPr>
      </w:pPr>
      <w:bookmarkStart w:id="102" w:name="_Toc103607671"/>
      <w:r w:rsidRPr="00D96063">
        <w:t>Duty concessions and exemptions</w:t>
      </w:r>
      <w:bookmarkEnd w:id="101"/>
      <w:bookmarkEnd w:id="102"/>
    </w:p>
    <w:p w14:paraId="4CC4B339" w14:textId="77777777" w:rsidR="00C15F2E" w:rsidRPr="00D96063" w:rsidRDefault="00C15F2E" w:rsidP="00E101A6">
      <w:pPr>
        <w:pStyle w:val="BodyText"/>
        <w:numPr>
          <w:ilvl w:val="6"/>
          <w:numId w:val="16"/>
        </w:numPr>
      </w:pPr>
      <w:bookmarkStart w:id="103" w:name="_Hlk97564501"/>
      <w:r w:rsidRPr="00D96063">
        <w:t>The previous Review highlighted the country's widespread exemptions and concessions of import duties, including tariffs and ODCs, and internal taxes such as VAT. These imports enter the country under letters granting exemptions from the Ministry of Finance, initiated by other ministries.</w:t>
      </w:r>
      <w:bookmarkEnd w:id="103"/>
      <w:r w:rsidRPr="00D96063">
        <w:t xml:space="preserve"> A new exemptions bill is pending. It is obvious that the large number of tariff exemptions granted by Ghana reflects the fact that the ECOWAS CET is not fully adapted to the needs of the Ghanaian economy.</w:t>
      </w:r>
    </w:p>
    <w:p w14:paraId="311C5F42" w14:textId="5B7EA1B7" w:rsidR="00C15F2E" w:rsidRPr="00D96063" w:rsidRDefault="00C15F2E" w:rsidP="00E101A6">
      <w:pPr>
        <w:pStyle w:val="BodyText"/>
        <w:numPr>
          <w:ilvl w:val="6"/>
          <w:numId w:val="16"/>
        </w:numPr>
        <w:rPr>
          <w:szCs w:val="18"/>
        </w:rPr>
      </w:pPr>
      <w:bookmarkStart w:id="104" w:name="_Hlk95376698"/>
      <w:r w:rsidRPr="00D96063">
        <w:t>Part of the annual loss of revenue resulting from duty exemptions is captured by Customs in its "tax refund" statistics, also in some cases called "import exemption" compiled as part of the budget. In 2020, reported tax refunds amounted to GHS 2.6</w:t>
      </w:r>
      <w:r w:rsidR="00A46B7A">
        <w:t> </w:t>
      </w:r>
      <w:r w:rsidRPr="00D96063">
        <w:t>billion (approximately USD 430 million), i.e. 5.8% of Ghana's total tax revenues (Table 3.2).</w:t>
      </w:r>
      <w:bookmarkEnd w:id="104"/>
      <w:r w:rsidRPr="00D96063">
        <w:t xml:space="preserve"> As suggested by the </w:t>
      </w:r>
      <w:r w:rsidRPr="00D96063">
        <w:lastRenderedPageBreak/>
        <w:t>exemptions granted for the Port of Tema expansion in 2016</w:t>
      </w:r>
      <w:r w:rsidRPr="00D96063">
        <w:rPr>
          <w:rStyle w:val="FootnoteReference"/>
        </w:rPr>
        <w:footnoteReference w:id="51"/>
      </w:r>
      <w:r w:rsidRPr="00D96063">
        <w:t>, the actual revenue forgone is likely to be higher than is currently compiled. It also does not include exemptions granted under export processing zone, bonded warehouse, or GIPC provisions (Table 3.5).</w:t>
      </w:r>
    </w:p>
    <w:p w14:paraId="287F40BE" w14:textId="77777777" w:rsidR="00C15F2E" w:rsidRPr="00D96063" w:rsidRDefault="00C15F2E" w:rsidP="006B6433">
      <w:pPr>
        <w:pStyle w:val="BodyText"/>
        <w:numPr>
          <w:ilvl w:val="6"/>
          <w:numId w:val="16"/>
        </w:numPr>
      </w:pPr>
      <w:r w:rsidRPr="00D96063">
        <w:t>A large share of imports is cleared into bonded warehouses. The goods can stay there up to 12 months. Of the goods that are cleared from bonded warehouses to the domestic market, about 25% are exempted from import duties. Most vehicles cleared out of bonded warehouses duty-free are cleared for governmental agencies awaiting parliamentary approval (the so-called "clearance on permit pending approval" system).</w:t>
      </w:r>
    </w:p>
    <w:p w14:paraId="34E383BA" w14:textId="77777777" w:rsidR="00C15F2E" w:rsidRPr="00D96063" w:rsidRDefault="00C15F2E" w:rsidP="006B6433">
      <w:pPr>
        <w:pStyle w:val="BodyText"/>
        <w:numPr>
          <w:ilvl w:val="6"/>
          <w:numId w:val="16"/>
        </w:numPr>
      </w:pPr>
      <w:r w:rsidRPr="00D96063">
        <w:t>In the context of the previous Review, it was noted that products were imported into warehouses under temporary exemption, and subsequently released for re-export to neighbouring countries, but in fact sold in the domestic market without payment of duty or VAT; the application of the bonded warehousing provisions therefore deserves to be reviewed with a view to ensuring non-discrimination in favour of these products and increasing revenue. The authorities have noted that the deployment of ICUMS has improved the management of customs bonded warehouses.</w:t>
      </w:r>
    </w:p>
    <w:p w14:paraId="17415415" w14:textId="49E3A9A8" w:rsidR="00C15F2E" w:rsidRPr="00D96063" w:rsidRDefault="00C15F2E" w:rsidP="00E101A6">
      <w:pPr>
        <w:pStyle w:val="Caption"/>
        <w:keepLines/>
      </w:pPr>
      <w:bookmarkStart w:id="105" w:name="_Toc103607886"/>
      <w:r w:rsidRPr="00D96063">
        <w:t xml:space="preserve">Table </w:t>
      </w:r>
      <w:fldSimple w:instr=" STYLEREF 1 \s ">
        <w:r w:rsidR="004B63B1">
          <w:rPr>
            <w:noProof/>
          </w:rPr>
          <w:t>3</w:t>
        </w:r>
      </w:fldSimple>
      <w:r w:rsidR="00BF3184">
        <w:t>.</w:t>
      </w:r>
      <w:fldSimple w:instr=" SEQ Table \* ARABIC \s 1 ">
        <w:r w:rsidR="004B63B1">
          <w:rPr>
            <w:noProof/>
          </w:rPr>
          <w:t>5</w:t>
        </w:r>
      </w:fldSimple>
      <w:r w:rsidRPr="00D96063">
        <w:t xml:space="preserve"> Tariff exemption schemes, 2022</w:t>
      </w:r>
      <w:bookmarkEnd w:id="105"/>
    </w:p>
    <w:tbl>
      <w:tblPr>
        <w:tblW w:w="4973"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288"/>
        <w:gridCol w:w="1679"/>
      </w:tblGrid>
      <w:tr w:rsidR="00C15F2E" w:rsidRPr="00D96063" w14:paraId="256C2F97" w14:textId="77777777" w:rsidTr="00997D10">
        <w:trPr>
          <w:tblHeader/>
        </w:trPr>
        <w:tc>
          <w:tcPr>
            <w:tcW w:w="4064" w:type="pct"/>
            <w:shd w:val="clear" w:color="auto" w:fill="006283"/>
            <w:vAlign w:val="center"/>
          </w:tcPr>
          <w:p w14:paraId="4043777B" w14:textId="77777777" w:rsidR="00C15F2E" w:rsidRPr="00D96063" w:rsidRDefault="00C15F2E" w:rsidP="00997D10">
            <w:pPr>
              <w:tabs>
                <w:tab w:val="left" w:pos="364"/>
              </w:tabs>
              <w:jc w:val="left"/>
              <w:rPr>
                <w:b/>
                <w:color w:val="FFFFFF"/>
                <w:sz w:val="14"/>
                <w:szCs w:val="14"/>
              </w:rPr>
            </w:pPr>
            <w:r w:rsidRPr="00D96063">
              <w:rPr>
                <w:b/>
                <w:color w:val="FFFFFF"/>
                <w:sz w:val="14"/>
                <w:szCs w:val="14"/>
              </w:rPr>
              <w:t>Description / Legislation</w:t>
            </w:r>
          </w:p>
        </w:tc>
        <w:tc>
          <w:tcPr>
            <w:tcW w:w="936" w:type="pct"/>
            <w:shd w:val="clear" w:color="auto" w:fill="006283"/>
            <w:vAlign w:val="center"/>
          </w:tcPr>
          <w:p w14:paraId="774B78F4" w14:textId="77777777" w:rsidR="00C15F2E" w:rsidRPr="00D96063" w:rsidRDefault="00C15F2E" w:rsidP="00997D10">
            <w:pPr>
              <w:jc w:val="left"/>
              <w:rPr>
                <w:b/>
                <w:color w:val="FFFFFF"/>
                <w:sz w:val="16"/>
                <w:szCs w:val="16"/>
              </w:rPr>
            </w:pPr>
            <w:r w:rsidRPr="00D96063">
              <w:rPr>
                <w:b/>
                <w:color w:val="FFFFFF"/>
                <w:sz w:val="16"/>
                <w:szCs w:val="16"/>
              </w:rPr>
              <w:t>Nature of duties waived or reduced</w:t>
            </w:r>
          </w:p>
        </w:tc>
      </w:tr>
      <w:tr w:rsidR="00C15F2E" w:rsidRPr="00D96063" w14:paraId="725563F5" w14:textId="77777777" w:rsidTr="00997D10">
        <w:tc>
          <w:tcPr>
            <w:tcW w:w="4064" w:type="pct"/>
            <w:shd w:val="clear" w:color="auto" w:fill="auto"/>
          </w:tcPr>
          <w:p w14:paraId="426A6C94" w14:textId="240EC99E" w:rsidR="00C15F2E" w:rsidRPr="00D96063" w:rsidRDefault="00C15F2E" w:rsidP="00997D10">
            <w:pPr>
              <w:tabs>
                <w:tab w:val="left" w:pos="364"/>
              </w:tabs>
              <w:jc w:val="left"/>
              <w:rPr>
                <w:b/>
                <w:sz w:val="14"/>
                <w:szCs w:val="14"/>
              </w:rPr>
            </w:pPr>
            <w:r w:rsidRPr="00D96063">
              <w:rPr>
                <w:b/>
                <w:sz w:val="14"/>
                <w:szCs w:val="14"/>
              </w:rPr>
              <w:t>Imports under the Ghana Investment Promotion Centre Act</w:t>
            </w:r>
            <w:r w:rsidR="00242C10">
              <w:rPr>
                <w:b/>
                <w:sz w:val="14"/>
                <w:szCs w:val="14"/>
              </w:rPr>
              <w:t xml:space="preserve"> (</w:t>
            </w:r>
            <w:r w:rsidRPr="00D96063">
              <w:rPr>
                <w:b/>
                <w:sz w:val="14"/>
                <w:szCs w:val="14"/>
              </w:rPr>
              <w:t>GIPC Act</w:t>
            </w:r>
            <w:r w:rsidR="00242C10">
              <w:rPr>
                <w:b/>
                <w:sz w:val="14"/>
                <w:szCs w:val="14"/>
              </w:rPr>
              <w:t>)</w:t>
            </w:r>
            <w:r w:rsidRPr="00D96063">
              <w:rPr>
                <w:b/>
                <w:sz w:val="14"/>
                <w:szCs w:val="14"/>
              </w:rPr>
              <w:t xml:space="preserve"> </w:t>
            </w:r>
          </w:p>
        </w:tc>
        <w:tc>
          <w:tcPr>
            <w:tcW w:w="936" w:type="pct"/>
            <w:shd w:val="clear" w:color="auto" w:fill="auto"/>
          </w:tcPr>
          <w:p w14:paraId="07D43080" w14:textId="77777777" w:rsidR="00C15F2E" w:rsidRPr="00D96063" w:rsidRDefault="00C15F2E" w:rsidP="00997D10">
            <w:pPr>
              <w:jc w:val="left"/>
              <w:rPr>
                <w:sz w:val="16"/>
                <w:szCs w:val="16"/>
              </w:rPr>
            </w:pPr>
            <w:r w:rsidRPr="00D96063">
              <w:rPr>
                <w:sz w:val="16"/>
                <w:szCs w:val="16"/>
              </w:rPr>
              <w:t>Tariffs, ODCs</w:t>
            </w:r>
          </w:p>
        </w:tc>
      </w:tr>
      <w:tr w:rsidR="00C15F2E" w:rsidRPr="00D96063" w14:paraId="1A8215E4" w14:textId="77777777" w:rsidTr="00997D10">
        <w:tc>
          <w:tcPr>
            <w:tcW w:w="4064" w:type="pct"/>
            <w:shd w:val="clear" w:color="auto" w:fill="C9DED4"/>
          </w:tcPr>
          <w:p w14:paraId="50E89674" w14:textId="77777777" w:rsidR="00C15F2E" w:rsidRPr="00D96063" w:rsidRDefault="00C15F2E" w:rsidP="00997D10">
            <w:pPr>
              <w:tabs>
                <w:tab w:val="left" w:pos="238"/>
                <w:tab w:val="left" w:pos="364"/>
                <w:tab w:val="left" w:pos="406"/>
              </w:tabs>
              <w:jc w:val="left"/>
              <w:rPr>
                <w:sz w:val="14"/>
                <w:szCs w:val="14"/>
              </w:rPr>
            </w:pPr>
            <w:r w:rsidRPr="00D96063">
              <w:rPr>
                <w:sz w:val="14"/>
                <w:szCs w:val="14"/>
              </w:rPr>
              <w:t>Listed items imported by hotels, restaurants and tourism industry (e.g. refrigerators, TVs)</w:t>
            </w:r>
          </w:p>
        </w:tc>
        <w:tc>
          <w:tcPr>
            <w:tcW w:w="936" w:type="pct"/>
            <w:shd w:val="clear" w:color="auto" w:fill="C9DED4"/>
          </w:tcPr>
          <w:p w14:paraId="05E0C213" w14:textId="77777777" w:rsidR="00C15F2E" w:rsidRPr="00D96063" w:rsidRDefault="00C15F2E" w:rsidP="00997D10">
            <w:pPr>
              <w:jc w:val="left"/>
              <w:rPr>
                <w:sz w:val="16"/>
                <w:szCs w:val="16"/>
              </w:rPr>
            </w:pPr>
            <w:r w:rsidRPr="00D96063">
              <w:rPr>
                <w:sz w:val="16"/>
                <w:szCs w:val="16"/>
              </w:rPr>
              <w:t>Tariffs</w:t>
            </w:r>
          </w:p>
        </w:tc>
      </w:tr>
      <w:tr w:rsidR="00C15F2E" w:rsidRPr="00D96063" w14:paraId="685AFD77" w14:textId="77777777" w:rsidTr="00997D10">
        <w:tc>
          <w:tcPr>
            <w:tcW w:w="4064" w:type="pct"/>
            <w:shd w:val="clear" w:color="auto" w:fill="C9DED4"/>
          </w:tcPr>
          <w:p w14:paraId="0B8E8E25" w14:textId="77777777" w:rsidR="00C15F2E" w:rsidRPr="00D96063" w:rsidRDefault="00C15F2E" w:rsidP="00997D10">
            <w:pPr>
              <w:tabs>
                <w:tab w:val="left" w:pos="238"/>
                <w:tab w:val="left" w:pos="364"/>
                <w:tab w:val="left" w:pos="406"/>
              </w:tabs>
              <w:jc w:val="left"/>
              <w:rPr>
                <w:sz w:val="14"/>
                <w:szCs w:val="14"/>
              </w:rPr>
            </w:pPr>
            <w:r w:rsidRPr="00D96063">
              <w:rPr>
                <w:sz w:val="14"/>
                <w:szCs w:val="14"/>
              </w:rPr>
              <w:t>Local film producers' imports of sound recording and other listed apparatus</w:t>
            </w:r>
          </w:p>
        </w:tc>
        <w:tc>
          <w:tcPr>
            <w:tcW w:w="936" w:type="pct"/>
            <w:shd w:val="clear" w:color="auto" w:fill="C9DED4"/>
          </w:tcPr>
          <w:p w14:paraId="76EFCB66" w14:textId="77777777" w:rsidR="00C15F2E" w:rsidRPr="00D96063" w:rsidRDefault="00C15F2E" w:rsidP="00997D10">
            <w:pPr>
              <w:jc w:val="left"/>
              <w:rPr>
                <w:sz w:val="16"/>
                <w:szCs w:val="16"/>
              </w:rPr>
            </w:pPr>
            <w:r w:rsidRPr="00D96063">
              <w:rPr>
                <w:sz w:val="16"/>
                <w:szCs w:val="16"/>
              </w:rPr>
              <w:t>Tariffs</w:t>
            </w:r>
          </w:p>
        </w:tc>
      </w:tr>
      <w:tr w:rsidR="00C15F2E" w:rsidRPr="00D96063" w14:paraId="78274194" w14:textId="77777777" w:rsidTr="00997D10">
        <w:tc>
          <w:tcPr>
            <w:tcW w:w="4064" w:type="pct"/>
            <w:shd w:val="clear" w:color="auto" w:fill="auto"/>
          </w:tcPr>
          <w:p w14:paraId="05BAB05A" w14:textId="77777777" w:rsidR="00C15F2E" w:rsidRPr="00D96063" w:rsidRDefault="00C15F2E" w:rsidP="00997D10">
            <w:pPr>
              <w:tabs>
                <w:tab w:val="left" w:pos="364"/>
              </w:tabs>
              <w:jc w:val="left"/>
              <w:rPr>
                <w:b/>
                <w:sz w:val="14"/>
                <w:szCs w:val="14"/>
              </w:rPr>
            </w:pPr>
            <w:r w:rsidRPr="00D96063">
              <w:rPr>
                <w:b/>
                <w:sz w:val="14"/>
                <w:szCs w:val="14"/>
              </w:rPr>
              <w:t>Imports by manufacturers approved by Customs (under Customs Act (Act 512))</w:t>
            </w:r>
          </w:p>
        </w:tc>
        <w:tc>
          <w:tcPr>
            <w:tcW w:w="936" w:type="pct"/>
            <w:tcBorders>
              <w:bottom w:val="nil"/>
            </w:tcBorders>
            <w:shd w:val="clear" w:color="auto" w:fill="auto"/>
          </w:tcPr>
          <w:p w14:paraId="660C124F" w14:textId="77777777" w:rsidR="00C15F2E" w:rsidRPr="00D96063" w:rsidRDefault="00C15F2E" w:rsidP="00997D10">
            <w:pPr>
              <w:jc w:val="left"/>
              <w:rPr>
                <w:sz w:val="16"/>
                <w:szCs w:val="16"/>
              </w:rPr>
            </w:pPr>
            <w:r w:rsidRPr="00D96063">
              <w:rPr>
                <w:sz w:val="16"/>
                <w:szCs w:val="16"/>
              </w:rPr>
              <w:t>Tariffs</w:t>
            </w:r>
          </w:p>
        </w:tc>
      </w:tr>
      <w:tr w:rsidR="00C15F2E" w:rsidRPr="00D96063" w14:paraId="4270A35B" w14:textId="77777777" w:rsidTr="00997D10">
        <w:tc>
          <w:tcPr>
            <w:tcW w:w="4064" w:type="pct"/>
            <w:shd w:val="clear" w:color="auto" w:fill="C9DED4"/>
          </w:tcPr>
          <w:p w14:paraId="150BC5A7" w14:textId="77777777" w:rsidR="00C15F2E" w:rsidRPr="00D96063" w:rsidRDefault="00C15F2E" w:rsidP="00997D10">
            <w:pPr>
              <w:tabs>
                <w:tab w:val="left" w:pos="238"/>
                <w:tab w:val="left" w:pos="364"/>
                <w:tab w:val="left" w:pos="406"/>
              </w:tabs>
              <w:jc w:val="left"/>
              <w:rPr>
                <w:sz w:val="14"/>
                <w:szCs w:val="14"/>
              </w:rPr>
            </w:pPr>
            <w:r w:rsidRPr="00D96063">
              <w:rPr>
                <w:sz w:val="14"/>
                <w:szCs w:val="14"/>
              </w:rPr>
              <w:t>Raw materials for the manufacture of agricultural and fishing equipment; phytosanitary products; evaporated milk; pharmaceutical products; anti-mosquito products; pipes and tubes of plastics; materials for processing of timber and related products; inputs for the production of textile; raw materials for the manufacture of corrugated roofing sheets; billets, waste and scrap of iron for the manufacture of iron rods; building materials; bicycles and other cycles; and miscellaneous raw materials</w:t>
            </w:r>
          </w:p>
        </w:tc>
        <w:tc>
          <w:tcPr>
            <w:tcW w:w="936" w:type="pct"/>
            <w:tcBorders>
              <w:top w:val="nil"/>
              <w:bottom w:val="nil"/>
            </w:tcBorders>
            <w:shd w:val="clear" w:color="auto" w:fill="C9DED4"/>
          </w:tcPr>
          <w:p w14:paraId="7FAA46F2" w14:textId="77777777" w:rsidR="00C15F2E" w:rsidRPr="00D96063" w:rsidRDefault="00C15F2E" w:rsidP="00997D10">
            <w:pPr>
              <w:jc w:val="left"/>
              <w:rPr>
                <w:sz w:val="16"/>
                <w:szCs w:val="16"/>
              </w:rPr>
            </w:pPr>
          </w:p>
        </w:tc>
      </w:tr>
      <w:tr w:rsidR="00C15F2E" w:rsidRPr="00D96063" w14:paraId="3715422C" w14:textId="77777777" w:rsidTr="00997D10">
        <w:tc>
          <w:tcPr>
            <w:tcW w:w="4064" w:type="pct"/>
            <w:shd w:val="clear" w:color="auto" w:fill="auto"/>
          </w:tcPr>
          <w:p w14:paraId="7637B432" w14:textId="77777777" w:rsidR="00C15F2E" w:rsidRPr="00D96063" w:rsidRDefault="00C15F2E" w:rsidP="00997D10">
            <w:pPr>
              <w:tabs>
                <w:tab w:val="left" w:pos="364"/>
              </w:tabs>
              <w:jc w:val="left"/>
              <w:rPr>
                <w:b/>
                <w:sz w:val="14"/>
                <w:szCs w:val="14"/>
              </w:rPr>
            </w:pPr>
            <w:r w:rsidRPr="00D96063">
              <w:rPr>
                <w:b/>
                <w:sz w:val="14"/>
                <w:szCs w:val="14"/>
              </w:rPr>
              <w:t>"Import e</w:t>
            </w:r>
            <w:r w:rsidRPr="00D96063">
              <w:rPr>
                <w:b/>
                <w:sz w:val="14"/>
                <w:szCs w:val="14"/>
                <w:lang w:eastAsia="fr-CH"/>
              </w:rPr>
              <w:t>xemptions" for the following bodies:</w:t>
            </w:r>
          </w:p>
        </w:tc>
        <w:tc>
          <w:tcPr>
            <w:tcW w:w="936" w:type="pct"/>
            <w:tcBorders>
              <w:top w:val="nil"/>
            </w:tcBorders>
            <w:shd w:val="clear" w:color="auto" w:fill="auto"/>
          </w:tcPr>
          <w:p w14:paraId="5208CFB5" w14:textId="77777777" w:rsidR="00C15F2E" w:rsidRPr="00D96063" w:rsidRDefault="00C15F2E" w:rsidP="00997D10">
            <w:pPr>
              <w:jc w:val="left"/>
              <w:rPr>
                <w:sz w:val="16"/>
                <w:szCs w:val="16"/>
              </w:rPr>
            </w:pPr>
          </w:p>
        </w:tc>
      </w:tr>
      <w:tr w:rsidR="00C15F2E" w:rsidRPr="00D96063" w14:paraId="0B9014F8" w14:textId="77777777" w:rsidTr="00997D10">
        <w:trPr>
          <w:trHeight w:val="610"/>
        </w:trPr>
        <w:tc>
          <w:tcPr>
            <w:tcW w:w="4064" w:type="pct"/>
            <w:shd w:val="clear" w:color="auto" w:fill="C9DED4"/>
          </w:tcPr>
          <w:p w14:paraId="45986FA5" w14:textId="77777777" w:rsidR="00C15F2E" w:rsidRPr="00D96063" w:rsidRDefault="00C15F2E" w:rsidP="00997D10">
            <w:pPr>
              <w:tabs>
                <w:tab w:val="left" w:pos="364"/>
              </w:tabs>
              <w:autoSpaceDE w:val="0"/>
              <w:autoSpaceDN w:val="0"/>
              <w:adjustRightInd w:val="0"/>
              <w:jc w:val="left"/>
              <w:rPr>
                <w:sz w:val="14"/>
                <w:szCs w:val="14"/>
              </w:rPr>
            </w:pPr>
            <w:r w:rsidRPr="00D96063">
              <w:rPr>
                <w:rFonts w:cs="Arial"/>
                <w:sz w:val="14"/>
                <w:szCs w:val="14"/>
                <w:lang w:eastAsia="fr-CH"/>
              </w:rPr>
              <w:t>T</w:t>
            </w:r>
            <w:r w:rsidRPr="00D96063">
              <w:rPr>
                <w:sz w:val="14"/>
                <w:szCs w:val="14"/>
                <w:lang w:eastAsia="fr-CH"/>
              </w:rPr>
              <w:t>he British Council; the Head of State of Ghana; diplomatic missions; technical assistance schemes; p</w:t>
            </w:r>
            <w:r w:rsidRPr="00D96063">
              <w:rPr>
                <w:rFonts w:cs="Arial"/>
                <w:sz w:val="14"/>
                <w:szCs w:val="14"/>
                <w:lang w:eastAsia="fr-CH"/>
              </w:rPr>
              <w:t>ersons with disability; c</w:t>
            </w:r>
            <w:r w:rsidRPr="00D96063">
              <w:rPr>
                <w:sz w:val="14"/>
                <w:szCs w:val="14"/>
                <w:lang w:eastAsia="fr-CH"/>
              </w:rPr>
              <w:t>hurches and religious bodies; trade fairs and exhibitions; the Volta Aluminium Company; the Volta River Authority</w:t>
            </w:r>
          </w:p>
        </w:tc>
        <w:tc>
          <w:tcPr>
            <w:tcW w:w="936" w:type="pct"/>
            <w:shd w:val="clear" w:color="auto" w:fill="C9DED4"/>
          </w:tcPr>
          <w:p w14:paraId="03FFE8BC" w14:textId="77777777" w:rsidR="00C15F2E" w:rsidRPr="00D96063" w:rsidRDefault="00C15F2E" w:rsidP="00997D10">
            <w:pPr>
              <w:jc w:val="left"/>
              <w:rPr>
                <w:sz w:val="16"/>
                <w:szCs w:val="16"/>
              </w:rPr>
            </w:pPr>
            <w:r w:rsidRPr="00D96063">
              <w:rPr>
                <w:sz w:val="16"/>
                <w:szCs w:val="16"/>
              </w:rPr>
              <w:t>Tariffs, VAT</w:t>
            </w:r>
          </w:p>
        </w:tc>
      </w:tr>
      <w:tr w:rsidR="00C15F2E" w:rsidRPr="00D96063" w14:paraId="03700F94" w14:textId="77777777" w:rsidTr="00997D10">
        <w:tc>
          <w:tcPr>
            <w:tcW w:w="4064" w:type="pct"/>
            <w:shd w:val="clear" w:color="auto" w:fill="auto"/>
          </w:tcPr>
          <w:p w14:paraId="31812910" w14:textId="77777777" w:rsidR="00C15F2E" w:rsidRPr="00D96063" w:rsidRDefault="00C15F2E" w:rsidP="00997D10">
            <w:pPr>
              <w:tabs>
                <w:tab w:val="left" w:pos="364"/>
              </w:tabs>
              <w:autoSpaceDE w:val="0"/>
              <w:autoSpaceDN w:val="0"/>
              <w:adjustRightInd w:val="0"/>
              <w:jc w:val="left"/>
              <w:rPr>
                <w:sz w:val="14"/>
                <w:szCs w:val="14"/>
                <w:u w:val="single"/>
              </w:rPr>
            </w:pPr>
            <w:r w:rsidRPr="00D96063">
              <w:rPr>
                <w:b/>
                <w:sz w:val="14"/>
                <w:szCs w:val="14"/>
                <w:lang w:eastAsia="fr-CH"/>
              </w:rPr>
              <w:t>"General exemptions" for the following products:</w:t>
            </w:r>
          </w:p>
        </w:tc>
        <w:tc>
          <w:tcPr>
            <w:tcW w:w="936" w:type="pct"/>
            <w:shd w:val="clear" w:color="auto" w:fill="auto"/>
          </w:tcPr>
          <w:p w14:paraId="431122C7" w14:textId="77777777" w:rsidR="00C15F2E" w:rsidRPr="00D96063" w:rsidRDefault="00C15F2E" w:rsidP="00997D10">
            <w:pPr>
              <w:jc w:val="left"/>
              <w:rPr>
                <w:sz w:val="16"/>
                <w:szCs w:val="16"/>
              </w:rPr>
            </w:pPr>
          </w:p>
        </w:tc>
      </w:tr>
      <w:tr w:rsidR="00C15F2E" w:rsidRPr="00D96063" w14:paraId="31BD63E4" w14:textId="77777777" w:rsidTr="00997D10">
        <w:trPr>
          <w:trHeight w:val="173"/>
        </w:trPr>
        <w:tc>
          <w:tcPr>
            <w:tcW w:w="4064" w:type="pct"/>
            <w:shd w:val="clear" w:color="auto" w:fill="C9DED4"/>
          </w:tcPr>
          <w:p w14:paraId="7D1247BA" w14:textId="77777777" w:rsidR="00C15F2E" w:rsidRPr="00D96063" w:rsidRDefault="00C15F2E" w:rsidP="00997D10">
            <w:pPr>
              <w:tabs>
                <w:tab w:val="left" w:pos="364"/>
              </w:tabs>
              <w:autoSpaceDE w:val="0"/>
              <w:autoSpaceDN w:val="0"/>
              <w:adjustRightInd w:val="0"/>
              <w:jc w:val="left"/>
              <w:rPr>
                <w:sz w:val="14"/>
                <w:szCs w:val="14"/>
              </w:rPr>
            </w:pPr>
            <w:r w:rsidRPr="00D96063">
              <w:rPr>
                <w:rFonts w:cs="Arial"/>
                <w:sz w:val="14"/>
                <w:szCs w:val="14"/>
                <w:lang w:eastAsia="fr-CH"/>
              </w:rPr>
              <w:t>A</w:t>
            </w:r>
            <w:r w:rsidRPr="00D96063">
              <w:rPr>
                <w:sz w:val="14"/>
                <w:szCs w:val="14"/>
                <w:lang w:eastAsia="fr-CH"/>
              </w:rPr>
              <w:t xml:space="preserve">dvertising matter; approved aircraft parts and accessories; </w:t>
            </w:r>
            <w:r w:rsidRPr="00D96063">
              <w:rPr>
                <w:rFonts w:cs="Arial"/>
                <w:sz w:val="14"/>
                <w:szCs w:val="14"/>
                <w:lang w:eastAsia="fr-CH"/>
              </w:rPr>
              <w:t>p</w:t>
            </w:r>
            <w:r w:rsidRPr="00D96063">
              <w:rPr>
                <w:sz w:val="14"/>
                <w:szCs w:val="14"/>
                <w:lang w:eastAsia="fr-CH"/>
              </w:rPr>
              <w:t>assengers' personal baggage</w:t>
            </w:r>
          </w:p>
        </w:tc>
        <w:tc>
          <w:tcPr>
            <w:tcW w:w="936" w:type="pct"/>
            <w:shd w:val="clear" w:color="auto" w:fill="C9DED4"/>
          </w:tcPr>
          <w:p w14:paraId="415695CB" w14:textId="77777777" w:rsidR="00C15F2E" w:rsidRPr="00D96063" w:rsidRDefault="00C15F2E" w:rsidP="00997D10">
            <w:pPr>
              <w:jc w:val="left"/>
              <w:rPr>
                <w:sz w:val="16"/>
                <w:szCs w:val="16"/>
              </w:rPr>
            </w:pPr>
            <w:r w:rsidRPr="00D96063">
              <w:rPr>
                <w:sz w:val="16"/>
                <w:szCs w:val="16"/>
              </w:rPr>
              <w:t>Tariffs, VAT</w:t>
            </w:r>
          </w:p>
        </w:tc>
      </w:tr>
      <w:tr w:rsidR="00C15F2E" w:rsidRPr="00D96063" w14:paraId="65EC253A" w14:textId="77777777" w:rsidTr="00997D10">
        <w:tc>
          <w:tcPr>
            <w:tcW w:w="4064" w:type="pct"/>
            <w:shd w:val="clear" w:color="auto" w:fill="auto"/>
          </w:tcPr>
          <w:p w14:paraId="49ADDED2" w14:textId="77777777" w:rsidR="00C15F2E" w:rsidRPr="00D96063" w:rsidRDefault="00C15F2E" w:rsidP="00997D10">
            <w:pPr>
              <w:tabs>
                <w:tab w:val="left" w:pos="364"/>
              </w:tabs>
              <w:autoSpaceDE w:val="0"/>
              <w:autoSpaceDN w:val="0"/>
              <w:adjustRightInd w:val="0"/>
              <w:jc w:val="left"/>
              <w:rPr>
                <w:sz w:val="14"/>
                <w:szCs w:val="14"/>
                <w:lang w:eastAsia="fr-CH"/>
              </w:rPr>
            </w:pPr>
            <w:r w:rsidRPr="00D96063">
              <w:rPr>
                <w:rFonts w:cs="Arial"/>
                <w:sz w:val="14"/>
                <w:szCs w:val="14"/>
                <w:lang w:eastAsia="fr-CH"/>
              </w:rPr>
              <w:t>W</w:t>
            </w:r>
            <w:r w:rsidRPr="00D96063">
              <w:rPr>
                <w:sz w:val="14"/>
                <w:szCs w:val="14"/>
                <w:lang w:eastAsia="fr-CH"/>
              </w:rPr>
              <w:t>est African raw foodstuffs and fish caught by Ghanaian-owned vessels</w:t>
            </w:r>
          </w:p>
        </w:tc>
        <w:tc>
          <w:tcPr>
            <w:tcW w:w="936" w:type="pct"/>
            <w:shd w:val="clear" w:color="auto" w:fill="auto"/>
          </w:tcPr>
          <w:p w14:paraId="2E49F296" w14:textId="77777777" w:rsidR="00C15F2E" w:rsidRPr="00D96063" w:rsidRDefault="00C15F2E" w:rsidP="00997D10">
            <w:pPr>
              <w:jc w:val="left"/>
              <w:rPr>
                <w:sz w:val="16"/>
                <w:szCs w:val="16"/>
              </w:rPr>
            </w:pPr>
            <w:r w:rsidRPr="00D96063">
              <w:rPr>
                <w:sz w:val="16"/>
                <w:szCs w:val="16"/>
              </w:rPr>
              <w:t>Tariffs</w:t>
            </w:r>
          </w:p>
        </w:tc>
      </w:tr>
      <w:tr w:rsidR="00C15F2E" w:rsidRPr="00D96063" w14:paraId="6FAEE755" w14:textId="77777777" w:rsidTr="00997D10">
        <w:tc>
          <w:tcPr>
            <w:tcW w:w="4064" w:type="pct"/>
            <w:shd w:val="clear" w:color="auto" w:fill="C9DED4"/>
          </w:tcPr>
          <w:p w14:paraId="2F5D1FE0" w14:textId="77777777" w:rsidR="00C15F2E" w:rsidRPr="00D96063" w:rsidRDefault="00C15F2E" w:rsidP="00997D10">
            <w:pPr>
              <w:tabs>
                <w:tab w:val="left" w:pos="364"/>
              </w:tabs>
              <w:autoSpaceDE w:val="0"/>
              <w:autoSpaceDN w:val="0"/>
              <w:adjustRightInd w:val="0"/>
              <w:jc w:val="left"/>
              <w:rPr>
                <w:rFonts w:cs="Arial"/>
                <w:sz w:val="14"/>
                <w:szCs w:val="14"/>
                <w:lang w:eastAsia="fr-CH"/>
              </w:rPr>
            </w:pPr>
            <w:r w:rsidRPr="00D96063">
              <w:rPr>
                <w:rFonts w:cs="Arial"/>
                <w:sz w:val="14"/>
                <w:szCs w:val="14"/>
                <w:lang w:eastAsia="fr-CH"/>
              </w:rPr>
              <w:t>Educational, cultural, or scientific material</w:t>
            </w:r>
          </w:p>
        </w:tc>
        <w:tc>
          <w:tcPr>
            <w:tcW w:w="936" w:type="pct"/>
            <w:shd w:val="clear" w:color="auto" w:fill="C9DED4"/>
          </w:tcPr>
          <w:p w14:paraId="229CAD3E" w14:textId="77777777" w:rsidR="00C15F2E" w:rsidRPr="00D96063" w:rsidRDefault="00C15F2E" w:rsidP="00997D10">
            <w:pPr>
              <w:jc w:val="left"/>
              <w:rPr>
                <w:sz w:val="16"/>
                <w:szCs w:val="16"/>
              </w:rPr>
            </w:pPr>
            <w:r w:rsidRPr="00D96063">
              <w:rPr>
                <w:sz w:val="16"/>
                <w:szCs w:val="16"/>
              </w:rPr>
              <w:t>Tariffs</w:t>
            </w:r>
          </w:p>
        </w:tc>
      </w:tr>
      <w:tr w:rsidR="00C15F2E" w:rsidRPr="00D96063" w14:paraId="208BBACE" w14:textId="77777777" w:rsidTr="00997D10">
        <w:tc>
          <w:tcPr>
            <w:tcW w:w="4064" w:type="pct"/>
            <w:shd w:val="clear" w:color="auto" w:fill="auto"/>
          </w:tcPr>
          <w:p w14:paraId="23ED907B" w14:textId="77777777" w:rsidR="00C15F2E" w:rsidRPr="00D96063" w:rsidRDefault="00C15F2E" w:rsidP="00997D10">
            <w:pPr>
              <w:tabs>
                <w:tab w:val="left" w:pos="364"/>
              </w:tabs>
              <w:autoSpaceDE w:val="0"/>
              <w:autoSpaceDN w:val="0"/>
              <w:adjustRightInd w:val="0"/>
              <w:jc w:val="left"/>
              <w:rPr>
                <w:sz w:val="14"/>
                <w:szCs w:val="14"/>
                <w:lang w:eastAsia="fr-CH"/>
              </w:rPr>
            </w:pPr>
            <w:r w:rsidRPr="00D96063">
              <w:rPr>
                <w:rFonts w:cs="Arial"/>
                <w:sz w:val="14"/>
                <w:szCs w:val="14"/>
                <w:lang w:eastAsia="fr-CH"/>
              </w:rPr>
              <w:t>F</w:t>
            </w:r>
            <w:r w:rsidRPr="00D96063">
              <w:rPr>
                <w:sz w:val="14"/>
                <w:szCs w:val="14"/>
                <w:lang w:eastAsia="fr-CH"/>
              </w:rPr>
              <w:t>ishing floats and gear as approved by the Commissioner</w:t>
            </w:r>
          </w:p>
        </w:tc>
        <w:tc>
          <w:tcPr>
            <w:tcW w:w="936" w:type="pct"/>
            <w:shd w:val="clear" w:color="auto" w:fill="auto"/>
          </w:tcPr>
          <w:p w14:paraId="6BCC8809" w14:textId="77777777" w:rsidR="00C15F2E" w:rsidRPr="00D96063" w:rsidRDefault="00C15F2E" w:rsidP="00997D10">
            <w:pPr>
              <w:jc w:val="left"/>
              <w:rPr>
                <w:sz w:val="16"/>
                <w:szCs w:val="16"/>
              </w:rPr>
            </w:pPr>
            <w:r w:rsidRPr="00D96063">
              <w:rPr>
                <w:sz w:val="16"/>
                <w:szCs w:val="16"/>
              </w:rPr>
              <w:t>Tariffs, VAT</w:t>
            </w:r>
          </w:p>
        </w:tc>
      </w:tr>
      <w:tr w:rsidR="00C15F2E" w:rsidRPr="00D96063" w14:paraId="01CE7CB4" w14:textId="77777777" w:rsidTr="00997D10">
        <w:tc>
          <w:tcPr>
            <w:tcW w:w="4064" w:type="pct"/>
            <w:shd w:val="clear" w:color="auto" w:fill="C9DED4"/>
          </w:tcPr>
          <w:p w14:paraId="2B8A3C4A" w14:textId="77777777" w:rsidR="00C15F2E" w:rsidRPr="00D96063" w:rsidRDefault="00C15F2E" w:rsidP="00997D10">
            <w:pPr>
              <w:tabs>
                <w:tab w:val="left" w:pos="364"/>
              </w:tabs>
              <w:autoSpaceDE w:val="0"/>
              <w:autoSpaceDN w:val="0"/>
              <w:adjustRightInd w:val="0"/>
              <w:jc w:val="left"/>
              <w:rPr>
                <w:sz w:val="14"/>
                <w:szCs w:val="14"/>
                <w:lang w:eastAsia="fr-CH"/>
              </w:rPr>
            </w:pPr>
            <w:r w:rsidRPr="00D96063">
              <w:rPr>
                <w:rFonts w:cs="Arial"/>
                <w:sz w:val="14"/>
                <w:szCs w:val="14"/>
                <w:lang w:eastAsia="fr-CH"/>
              </w:rPr>
              <w:t>I</w:t>
            </w:r>
            <w:r w:rsidRPr="00D96063">
              <w:rPr>
                <w:sz w:val="14"/>
                <w:szCs w:val="14"/>
                <w:lang w:eastAsia="fr-CH"/>
              </w:rPr>
              <w:t>nfants' foods</w:t>
            </w:r>
          </w:p>
        </w:tc>
        <w:tc>
          <w:tcPr>
            <w:tcW w:w="936" w:type="pct"/>
            <w:shd w:val="clear" w:color="auto" w:fill="C9DED4"/>
          </w:tcPr>
          <w:p w14:paraId="7137B959" w14:textId="77777777" w:rsidR="00C15F2E" w:rsidRPr="00D96063" w:rsidRDefault="00C15F2E" w:rsidP="00997D10">
            <w:pPr>
              <w:jc w:val="left"/>
              <w:rPr>
                <w:sz w:val="16"/>
                <w:szCs w:val="16"/>
              </w:rPr>
            </w:pPr>
            <w:r w:rsidRPr="00D96063">
              <w:rPr>
                <w:sz w:val="16"/>
                <w:szCs w:val="16"/>
              </w:rPr>
              <w:t>Tariffs</w:t>
            </w:r>
          </w:p>
        </w:tc>
      </w:tr>
      <w:tr w:rsidR="00C15F2E" w:rsidRPr="00D96063" w14:paraId="0B647606" w14:textId="77777777" w:rsidTr="00997D10">
        <w:trPr>
          <w:trHeight w:val="243"/>
        </w:trPr>
        <w:tc>
          <w:tcPr>
            <w:tcW w:w="4064" w:type="pct"/>
            <w:shd w:val="clear" w:color="auto" w:fill="auto"/>
          </w:tcPr>
          <w:p w14:paraId="6992B21F" w14:textId="77777777" w:rsidR="00C15F2E" w:rsidRPr="00D96063" w:rsidRDefault="00C15F2E" w:rsidP="00997D10">
            <w:pPr>
              <w:tabs>
                <w:tab w:val="left" w:pos="364"/>
              </w:tabs>
              <w:autoSpaceDE w:val="0"/>
              <w:autoSpaceDN w:val="0"/>
              <w:adjustRightInd w:val="0"/>
              <w:jc w:val="left"/>
              <w:rPr>
                <w:sz w:val="14"/>
                <w:szCs w:val="14"/>
              </w:rPr>
            </w:pPr>
            <w:r w:rsidRPr="00D96063">
              <w:rPr>
                <w:rFonts w:cs="Arial"/>
                <w:sz w:val="14"/>
                <w:szCs w:val="14"/>
                <w:lang w:eastAsia="fr-CH"/>
              </w:rPr>
              <w:t>Approved equipment</w:t>
            </w:r>
            <w:r w:rsidRPr="00D96063">
              <w:rPr>
                <w:sz w:val="14"/>
                <w:szCs w:val="14"/>
                <w:lang w:eastAsia="fr-CH"/>
              </w:rPr>
              <w:t xml:space="preserve">, spare parts, chemicals and jute bags for agricultural purposes </w:t>
            </w:r>
          </w:p>
        </w:tc>
        <w:tc>
          <w:tcPr>
            <w:tcW w:w="936" w:type="pct"/>
            <w:shd w:val="clear" w:color="auto" w:fill="auto"/>
          </w:tcPr>
          <w:p w14:paraId="3BC839F6" w14:textId="77777777" w:rsidR="00C15F2E" w:rsidRPr="00D96063" w:rsidRDefault="00C15F2E" w:rsidP="00997D10">
            <w:pPr>
              <w:jc w:val="left"/>
              <w:rPr>
                <w:sz w:val="16"/>
                <w:szCs w:val="16"/>
              </w:rPr>
            </w:pPr>
            <w:r w:rsidRPr="00D96063">
              <w:rPr>
                <w:sz w:val="16"/>
                <w:szCs w:val="16"/>
              </w:rPr>
              <w:t>Tariffs, VAT</w:t>
            </w:r>
          </w:p>
        </w:tc>
      </w:tr>
      <w:tr w:rsidR="00C15F2E" w:rsidRPr="00D96063" w14:paraId="5F68CB32" w14:textId="77777777" w:rsidTr="00997D10">
        <w:tc>
          <w:tcPr>
            <w:tcW w:w="4064" w:type="pct"/>
            <w:shd w:val="clear" w:color="auto" w:fill="C9DED4"/>
          </w:tcPr>
          <w:p w14:paraId="28108DFC" w14:textId="77777777" w:rsidR="00C15F2E" w:rsidRPr="00D96063" w:rsidRDefault="00C15F2E" w:rsidP="00997D10">
            <w:pPr>
              <w:tabs>
                <w:tab w:val="left" w:pos="364"/>
              </w:tabs>
              <w:autoSpaceDE w:val="0"/>
              <w:autoSpaceDN w:val="0"/>
              <w:adjustRightInd w:val="0"/>
              <w:jc w:val="left"/>
              <w:rPr>
                <w:sz w:val="14"/>
                <w:szCs w:val="14"/>
              </w:rPr>
            </w:pPr>
            <w:r w:rsidRPr="00D96063">
              <w:rPr>
                <w:rFonts w:cs="Arial"/>
                <w:sz w:val="14"/>
                <w:szCs w:val="14"/>
                <w:lang w:eastAsia="fr-CH"/>
              </w:rPr>
              <w:t>G</w:t>
            </w:r>
            <w:r w:rsidRPr="00D96063">
              <w:rPr>
                <w:sz w:val="14"/>
                <w:szCs w:val="14"/>
                <w:lang w:eastAsia="fr-CH"/>
              </w:rPr>
              <w:t>ifts from recognized donors as approved by the Minister of Finance</w:t>
            </w:r>
          </w:p>
        </w:tc>
        <w:tc>
          <w:tcPr>
            <w:tcW w:w="936" w:type="pct"/>
            <w:shd w:val="clear" w:color="auto" w:fill="C9DED4"/>
          </w:tcPr>
          <w:p w14:paraId="1E23D32B" w14:textId="77777777" w:rsidR="00C15F2E" w:rsidRPr="00D96063" w:rsidRDefault="00C15F2E" w:rsidP="00997D10">
            <w:pPr>
              <w:jc w:val="left"/>
              <w:rPr>
                <w:sz w:val="16"/>
                <w:szCs w:val="16"/>
              </w:rPr>
            </w:pPr>
            <w:r w:rsidRPr="00D96063">
              <w:rPr>
                <w:sz w:val="16"/>
                <w:szCs w:val="16"/>
              </w:rPr>
              <w:t>Tariffs, VAT</w:t>
            </w:r>
          </w:p>
        </w:tc>
      </w:tr>
      <w:tr w:rsidR="00C15F2E" w:rsidRPr="00D96063" w14:paraId="4FB3FDA8" w14:textId="77777777" w:rsidTr="00997D10">
        <w:tc>
          <w:tcPr>
            <w:tcW w:w="4064" w:type="pct"/>
            <w:shd w:val="clear" w:color="auto" w:fill="auto"/>
          </w:tcPr>
          <w:p w14:paraId="52482E4E" w14:textId="77777777" w:rsidR="00C15F2E" w:rsidRPr="00D96063" w:rsidRDefault="00C15F2E" w:rsidP="00997D10">
            <w:pPr>
              <w:tabs>
                <w:tab w:val="left" w:pos="364"/>
              </w:tabs>
              <w:jc w:val="left"/>
              <w:rPr>
                <w:sz w:val="14"/>
                <w:szCs w:val="14"/>
              </w:rPr>
            </w:pPr>
            <w:r w:rsidRPr="00D96063">
              <w:rPr>
                <w:sz w:val="14"/>
                <w:szCs w:val="14"/>
              </w:rPr>
              <w:t>Agricultural and industrial machinery, solar, wind and thermal generating sets, electric generating set of 375 KVA and above, solar cells and panels (HS 85.02)</w:t>
            </w:r>
          </w:p>
        </w:tc>
        <w:tc>
          <w:tcPr>
            <w:tcW w:w="936" w:type="pct"/>
            <w:shd w:val="clear" w:color="auto" w:fill="auto"/>
          </w:tcPr>
          <w:p w14:paraId="36254AD1" w14:textId="77777777" w:rsidR="00C15F2E" w:rsidRPr="00D96063" w:rsidRDefault="00C15F2E" w:rsidP="00997D10">
            <w:pPr>
              <w:jc w:val="left"/>
              <w:rPr>
                <w:sz w:val="16"/>
                <w:szCs w:val="16"/>
              </w:rPr>
            </w:pPr>
            <w:r w:rsidRPr="00D96063">
              <w:rPr>
                <w:sz w:val="16"/>
                <w:szCs w:val="16"/>
              </w:rPr>
              <w:t>Tariffs, ODCs, VAT</w:t>
            </w:r>
          </w:p>
        </w:tc>
      </w:tr>
      <w:tr w:rsidR="00C15F2E" w:rsidRPr="00D96063" w14:paraId="52E744D5" w14:textId="77777777" w:rsidTr="00997D10">
        <w:tc>
          <w:tcPr>
            <w:tcW w:w="4064" w:type="pct"/>
            <w:shd w:val="clear" w:color="auto" w:fill="C9DED4"/>
          </w:tcPr>
          <w:p w14:paraId="4716E5AE" w14:textId="77777777" w:rsidR="00C15F2E" w:rsidRPr="00D96063" w:rsidRDefault="00C15F2E" w:rsidP="00997D10">
            <w:pPr>
              <w:tabs>
                <w:tab w:val="left" w:pos="364"/>
              </w:tabs>
              <w:jc w:val="left"/>
              <w:rPr>
                <w:sz w:val="14"/>
                <w:szCs w:val="14"/>
              </w:rPr>
            </w:pPr>
            <w:r w:rsidRPr="00D96063">
              <w:rPr>
                <w:sz w:val="14"/>
                <w:szCs w:val="14"/>
              </w:rPr>
              <w:t xml:space="preserve">Ambulances, hearses  </w:t>
            </w:r>
          </w:p>
        </w:tc>
        <w:tc>
          <w:tcPr>
            <w:tcW w:w="936" w:type="pct"/>
            <w:shd w:val="clear" w:color="auto" w:fill="C9DED4"/>
          </w:tcPr>
          <w:p w14:paraId="54762145" w14:textId="77777777" w:rsidR="00C15F2E" w:rsidRPr="00D96063" w:rsidRDefault="00C15F2E" w:rsidP="00997D10">
            <w:pPr>
              <w:jc w:val="left"/>
              <w:rPr>
                <w:sz w:val="16"/>
                <w:szCs w:val="16"/>
              </w:rPr>
            </w:pPr>
            <w:r w:rsidRPr="00D96063">
              <w:rPr>
                <w:sz w:val="16"/>
                <w:szCs w:val="16"/>
              </w:rPr>
              <w:t>Tariffs, ODCs, VAT</w:t>
            </w:r>
          </w:p>
        </w:tc>
      </w:tr>
      <w:tr w:rsidR="00C15F2E" w:rsidRPr="00D96063" w14:paraId="37FE3F2E" w14:textId="77777777" w:rsidTr="00997D10">
        <w:tc>
          <w:tcPr>
            <w:tcW w:w="4064" w:type="pct"/>
            <w:shd w:val="clear" w:color="auto" w:fill="auto"/>
          </w:tcPr>
          <w:p w14:paraId="0D488762" w14:textId="77777777" w:rsidR="00C15F2E" w:rsidRPr="00D96063" w:rsidRDefault="00C15F2E" w:rsidP="00997D10">
            <w:pPr>
              <w:tabs>
                <w:tab w:val="left" w:pos="364"/>
              </w:tabs>
              <w:jc w:val="left"/>
              <w:rPr>
                <w:sz w:val="14"/>
                <w:szCs w:val="14"/>
              </w:rPr>
            </w:pPr>
            <w:r w:rsidRPr="00D96063">
              <w:rPr>
                <w:sz w:val="14"/>
                <w:szCs w:val="14"/>
              </w:rPr>
              <w:t>Mosquito nets falling within Heading No. 5608.19.00.10</w:t>
            </w:r>
          </w:p>
        </w:tc>
        <w:tc>
          <w:tcPr>
            <w:tcW w:w="936" w:type="pct"/>
            <w:shd w:val="clear" w:color="auto" w:fill="auto"/>
          </w:tcPr>
          <w:p w14:paraId="327E7293" w14:textId="77777777" w:rsidR="00C15F2E" w:rsidRPr="00D96063" w:rsidRDefault="00C15F2E" w:rsidP="00997D10">
            <w:pPr>
              <w:jc w:val="left"/>
              <w:rPr>
                <w:sz w:val="16"/>
                <w:szCs w:val="16"/>
              </w:rPr>
            </w:pPr>
            <w:r w:rsidRPr="00D96063">
              <w:rPr>
                <w:sz w:val="16"/>
                <w:szCs w:val="16"/>
              </w:rPr>
              <w:t>Tariffs, ODCs, VAT</w:t>
            </w:r>
          </w:p>
        </w:tc>
      </w:tr>
      <w:tr w:rsidR="00C15F2E" w:rsidRPr="00D96063" w14:paraId="7208B32A" w14:textId="77777777" w:rsidTr="00997D10">
        <w:tc>
          <w:tcPr>
            <w:tcW w:w="4064" w:type="pct"/>
            <w:shd w:val="clear" w:color="auto" w:fill="C9DED4"/>
          </w:tcPr>
          <w:p w14:paraId="2FCA9005" w14:textId="77777777" w:rsidR="00C15F2E" w:rsidRPr="00D96063" w:rsidRDefault="00C15F2E" w:rsidP="00997D10">
            <w:pPr>
              <w:tabs>
                <w:tab w:val="left" w:pos="364"/>
              </w:tabs>
              <w:jc w:val="left"/>
              <w:rPr>
                <w:sz w:val="14"/>
                <w:szCs w:val="14"/>
              </w:rPr>
            </w:pPr>
            <w:r w:rsidRPr="00D96063">
              <w:rPr>
                <w:sz w:val="14"/>
                <w:szCs w:val="14"/>
              </w:rPr>
              <w:t>Tools, implements, cutlery, knives, spoons and forks, of base metal (HS 82)</w:t>
            </w:r>
          </w:p>
        </w:tc>
        <w:tc>
          <w:tcPr>
            <w:tcW w:w="936" w:type="pct"/>
            <w:shd w:val="clear" w:color="auto" w:fill="C9DED4"/>
          </w:tcPr>
          <w:p w14:paraId="0903CE29" w14:textId="77777777" w:rsidR="00C15F2E" w:rsidRPr="00D96063" w:rsidRDefault="00C15F2E" w:rsidP="00997D10">
            <w:pPr>
              <w:jc w:val="left"/>
              <w:rPr>
                <w:sz w:val="16"/>
                <w:szCs w:val="16"/>
              </w:rPr>
            </w:pPr>
            <w:r w:rsidRPr="00D96063">
              <w:rPr>
                <w:sz w:val="16"/>
                <w:szCs w:val="16"/>
              </w:rPr>
              <w:t>Tariffs, ODCs, VAT</w:t>
            </w:r>
          </w:p>
        </w:tc>
      </w:tr>
      <w:tr w:rsidR="00C15F2E" w:rsidRPr="00D96063" w14:paraId="57F9A82C" w14:textId="77777777" w:rsidTr="00DD70E9">
        <w:tc>
          <w:tcPr>
            <w:tcW w:w="4064" w:type="pct"/>
            <w:tcBorders>
              <w:bottom w:val="nil"/>
            </w:tcBorders>
            <w:shd w:val="clear" w:color="auto" w:fill="auto"/>
          </w:tcPr>
          <w:p w14:paraId="52CE3BE8" w14:textId="77777777" w:rsidR="00C15F2E" w:rsidRPr="00D96063" w:rsidRDefault="00C15F2E" w:rsidP="00997D10">
            <w:pPr>
              <w:tabs>
                <w:tab w:val="left" w:pos="364"/>
              </w:tabs>
              <w:jc w:val="left"/>
              <w:rPr>
                <w:sz w:val="14"/>
                <w:szCs w:val="14"/>
              </w:rPr>
            </w:pPr>
            <w:r w:rsidRPr="00D96063">
              <w:rPr>
                <w:sz w:val="14"/>
                <w:szCs w:val="14"/>
              </w:rPr>
              <w:t>Nuclear reactors, boilers, machinery and parts thereof (HS 84 except 84.71)</w:t>
            </w:r>
          </w:p>
        </w:tc>
        <w:tc>
          <w:tcPr>
            <w:tcW w:w="936" w:type="pct"/>
            <w:tcBorders>
              <w:bottom w:val="nil"/>
            </w:tcBorders>
            <w:shd w:val="clear" w:color="auto" w:fill="auto"/>
          </w:tcPr>
          <w:p w14:paraId="4CDD119E" w14:textId="77777777" w:rsidR="00C15F2E" w:rsidRPr="00D96063" w:rsidRDefault="00C15F2E" w:rsidP="00997D10">
            <w:pPr>
              <w:jc w:val="left"/>
              <w:rPr>
                <w:sz w:val="16"/>
                <w:szCs w:val="16"/>
              </w:rPr>
            </w:pPr>
            <w:r w:rsidRPr="00D96063">
              <w:rPr>
                <w:sz w:val="16"/>
                <w:szCs w:val="16"/>
              </w:rPr>
              <w:t>Tariffs, ODCs, VAT</w:t>
            </w:r>
          </w:p>
        </w:tc>
      </w:tr>
      <w:tr w:rsidR="00C15F2E" w:rsidRPr="00D96063" w14:paraId="7A25F825" w14:textId="77777777" w:rsidTr="00DD70E9">
        <w:tc>
          <w:tcPr>
            <w:tcW w:w="4064" w:type="pct"/>
            <w:tcBorders>
              <w:top w:val="nil"/>
              <w:bottom w:val="nil"/>
            </w:tcBorders>
            <w:shd w:val="clear" w:color="auto" w:fill="C9DED4"/>
          </w:tcPr>
          <w:p w14:paraId="1FB58EA8" w14:textId="77777777" w:rsidR="00C15F2E" w:rsidRPr="00D96063" w:rsidRDefault="00C15F2E" w:rsidP="00997D10">
            <w:pPr>
              <w:tabs>
                <w:tab w:val="left" w:pos="364"/>
              </w:tabs>
              <w:jc w:val="left"/>
              <w:rPr>
                <w:sz w:val="14"/>
                <w:szCs w:val="14"/>
              </w:rPr>
            </w:pPr>
            <w:r w:rsidRPr="00D96063">
              <w:rPr>
                <w:sz w:val="14"/>
                <w:szCs w:val="14"/>
              </w:rPr>
              <w:t>Automatic data processing machines and units thereof (HS 84.71)</w:t>
            </w:r>
          </w:p>
        </w:tc>
        <w:tc>
          <w:tcPr>
            <w:tcW w:w="936" w:type="pct"/>
            <w:tcBorders>
              <w:top w:val="nil"/>
              <w:bottom w:val="nil"/>
            </w:tcBorders>
            <w:shd w:val="clear" w:color="auto" w:fill="C9DED4"/>
          </w:tcPr>
          <w:p w14:paraId="132E8160" w14:textId="77777777" w:rsidR="00C15F2E" w:rsidRPr="00D96063" w:rsidRDefault="00C15F2E" w:rsidP="00997D10">
            <w:pPr>
              <w:jc w:val="left"/>
              <w:rPr>
                <w:sz w:val="16"/>
                <w:szCs w:val="16"/>
              </w:rPr>
            </w:pPr>
            <w:r w:rsidRPr="00D96063">
              <w:rPr>
                <w:sz w:val="16"/>
                <w:szCs w:val="16"/>
              </w:rPr>
              <w:t>Tariffs, ODCs</w:t>
            </w:r>
          </w:p>
        </w:tc>
      </w:tr>
      <w:tr w:rsidR="00C15F2E" w:rsidRPr="00D96063" w14:paraId="7D511913" w14:textId="77777777" w:rsidTr="00DD70E9">
        <w:tc>
          <w:tcPr>
            <w:tcW w:w="4064" w:type="pct"/>
            <w:tcBorders>
              <w:top w:val="nil"/>
            </w:tcBorders>
            <w:shd w:val="clear" w:color="auto" w:fill="auto"/>
          </w:tcPr>
          <w:p w14:paraId="1DAD8D18" w14:textId="77777777" w:rsidR="00C15F2E" w:rsidRPr="00D96063" w:rsidRDefault="00C15F2E" w:rsidP="00997D10">
            <w:pPr>
              <w:tabs>
                <w:tab w:val="left" w:pos="364"/>
              </w:tabs>
              <w:jc w:val="left"/>
              <w:rPr>
                <w:sz w:val="14"/>
                <w:szCs w:val="14"/>
              </w:rPr>
            </w:pPr>
            <w:r w:rsidRPr="00D96063">
              <w:rPr>
                <w:sz w:val="14"/>
                <w:szCs w:val="14"/>
              </w:rPr>
              <w:t xml:space="preserve">Electrical machinery and equipment, sound recorders and reproducers, television image and sound recorders and reproducers and parts thereof (HS 85 except 85.02) </w:t>
            </w:r>
          </w:p>
        </w:tc>
        <w:tc>
          <w:tcPr>
            <w:tcW w:w="936" w:type="pct"/>
            <w:tcBorders>
              <w:top w:val="nil"/>
            </w:tcBorders>
            <w:shd w:val="clear" w:color="auto" w:fill="auto"/>
          </w:tcPr>
          <w:p w14:paraId="260A89B1" w14:textId="77777777" w:rsidR="00C15F2E" w:rsidRPr="00D96063" w:rsidRDefault="00C15F2E" w:rsidP="00997D10">
            <w:pPr>
              <w:jc w:val="left"/>
              <w:rPr>
                <w:sz w:val="16"/>
                <w:szCs w:val="16"/>
              </w:rPr>
            </w:pPr>
            <w:r w:rsidRPr="00D96063">
              <w:rPr>
                <w:sz w:val="16"/>
                <w:szCs w:val="16"/>
              </w:rPr>
              <w:t>Tariffs, ODCs, VAT</w:t>
            </w:r>
          </w:p>
        </w:tc>
      </w:tr>
      <w:tr w:rsidR="00C15F2E" w:rsidRPr="00D96063" w14:paraId="67778487" w14:textId="77777777" w:rsidTr="00997D10">
        <w:tc>
          <w:tcPr>
            <w:tcW w:w="4064" w:type="pct"/>
            <w:shd w:val="clear" w:color="auto" w:fill="C9DED4"/>
          </w:tcPr>
          <w:p w14:paraId="2B3BDC93" w14:textId="77777777" w:rsidR="00C15F2E" w:rsidRPr="00D96063" w:rsidRDefault="00C15F2E" w:rsidP="00997D10">
            <w:pPr>
              <w:tabs>
                <w:tab w:val="left" w:pos="364"/>
              </w:tabs>
              <w:jc w:val="left"/>
              <w:rPr>
                <w:sz w:val="14"/>
                <w:szCs w:val="14"/>
              </w:rPr>
            </w:pPr>
            <w:r w:rsidRPr="00D96063">
              <w:rPr>
                <w:sz w:val="14"/>
                <w:szCs w:val="14"/>
              </w:rPr>
              <w:t>Musical instruments; parts and accessories of such articles (HS 92)</w:t>
            </w:r>
          </w:p>
        </w:tc>
        <w:tc>
          <w:tcPr>
            <w:tcW w:w="936" w:type="pct"/>
            <w:shd w:val="clear" w:color="auto" w:fill="C9DED4"/>
          </w:tcPr>
          <w:p w14:paraId="3289B1D2" w14:textId="77777777" w:rsidR="00C15F2E" w:rsidRPr="00D96063" w:rsidRDefault="00C15F2E" w:rsidP="00997D10">
            <w:pPr>
              <w:jc w:val="left"/>
              <w:rPr>
                <w:sz w:val="16"/>
                <w:szCs w:val="16"/>
              </w:rPr>
            </w:pPr>
            <w:r w:rsidRPr="00D96063">
              <w:rPr>
                <w:sz w:val="16"/>
                <w:szCs w:val="16"/>
              </w:rPr>
              <w:t>Tariffs, ODCs, VAT</w:t>
            </w:r>
          </w:p>
        </w:tc>
      </w:tr>
      <w:tr w:rsidR="00C15F2E" w:rsidRPr="00D96063" w14:paraId="7134E769" w14:textId="77777777" w:rsidTr="00997D10">
        <w:tc>
          <w:tcPr>
            <w:tcW w:w="4064" w:type="pct"/>
            <w:shd w:val="clear" w:color="auto" w:fill="auto"/>
          </w:tcPr>
          <w:p w14:paraId="6F241491" w14:textId="77777777" w:rsidR="00C15F2E" w:rsidRPr="00D96063" w:rsidRDefault="00C15F2E" w:rsidP="00997D10">
            <w:pPr>
              <w:tabs>
                <w:tab w:val="left" w:pos="364"/>
              </w:tabs>
              <w:jc w:val="left"/>
              <w:rPr>
                <w:sz w:val="14"/>
                <w:szCs w:val="14"/>
              </w:rPr>
            </w:pPr>
            <w:r w:rsidRPr="00D96063">
              <w:rPr>
                <w:sz w:val="14"/>
                <w:szCs w:val="14"/>
              </w:rPr>
              <w:t>Air-conditioners; carpets, bedding, and fixtures; fans and radio sets; refrigerators/deep freezers; television sets; public address systems; and crockery (HS 98.07, 98.08)</w:t>
            </w:r>
          </w:p>
        </w:tc>
        <w:tc>
          <w:tcPr>
            <w:tcW w:w="936" w:type="pct"/>
            <w:shd w:val="clear" w:color="auto" w:fill="auto"/>
          </w:tcPr>
          <w:p w14:paraId="56360399" w14:textId="77777777" w:rsidR="00C15F2E" w:rsidRPr="00D96063" w:rsidRDefault="00C15F2E" w:rsidP="00997D10">
            <w:pPr>
              <w:jc w:val="left"/>
              <w:rPr>
                <w:sz w:val="16"/>
                <w:szCs w:val="16"/>
              </w:rPr>
            </w:pPr>
            <w:r w:rsidRPr="00D96063">
              <w:rPr>
                <w:sz w:val="16"/>
                <w:szCs w:val="16"/>
              </w:rPr>
              <w:t>Tariffs, ODCs, VAT</w:t>
            </w:r>
          </w:p>
        </w:tc>
      </w:tr>
      <w:tr w:rsidR="00C15F2E" w:rsidRPr="00D96063" w14:paraId="48C94BC8" w14:textId="77777777" w:rsidTr="00997D10">
        <w:tc>
          <w:tcPr>
            <w:tcW w:w="4064" w:type="pct"/>
            <w:shd w:val="clear" w:color="auto" w:fill="C9DED4"/>
          </w:tcPr>
          <w:p w14:paraId="159E9764" w14:textId="77777777" w:rsidR="00C15F2E" w:rsidRPr="00D96063" w:rsidRDefault="00C15F2E" w:rsidP="00997D10">
            <w:pPr>
              <w:tabs>
                <w:tab w:val="left" w:pos="364"/>
              </w:tabs>
              <w:jc w:val="left"/>
              <w:rPr>
                <w:sz w:val="14"/>
                <w:szCs w:val="14"/>
              </w:rPr>
            </w:pPr>
            <w:r w:rsidRPr="00D96063">
              <w:rPr>
                <w:sz w:val="14"/>
                <w:szCs w:val="14"/>
              </w:rPr>
              <w:t>Sawn, chipped, sliced or peeled wood (HS 44.07)</w:t>
            </w:r>
          </w:p>
        </w:tc>
        <w:tc>
          <w:tcPr>
            <w:tcW w:w="936" w:type="pct"/>
            <w:shd w:val="clear" w:color="auto" w:fill="C9DED4"/>
          </w:tcPr>
          <w:p w14:paraId="00228EB4" w14:textId="77777777" w:rsidR="00C15F2E" w:rsidRPr="00D96063" w:rsidRDefault="00C15F2E" w:rsidP="00997D10">
            <w:pPr>
              <w:jc w:val="left"/>
              <w:rPr>
                <w:sz w:val="16"/>
                <w:szCs w:val="16"/>
              </w:rPr>
            </w:pPr>
            <w:r w:rsidRPr="00D96063">
              <w:rPr>
                <w:sz w:val="16"/>
                <w:szCs w:val="16"/>
              </w:rPr>
              <w:t>Tariffs, ODCs</w:t>
            </w:r>
          </w:p>
        </w:tc>
      </w:tr>
      <w:tr w:rsidR="00C15F2E" w:rsidRPr="00D96063" w14:paraId="0DF4293D" w14:textId="77777777" w:rsidTr="00997D10">
        <w:tc>
          <w:tcPr>
            <w:tcW w:w="4064" w:type="pct"/>
            <w:shd w:val="clear" w:color="auto" w:fill="auto"/>
          </w:tcPr>
          <w:p w14:paraId="6D6D20EE" w14:textId="77777777" w:rsidR="00C15F2E" w:rsidRPr="00D96063" w:rsidRDefault="00C15F2E" w:rsidP="00997D10">
            <w:pPr>
              <w:tabs>
                <w:tab w:val="left" w:pos="364"/>
              </w:tabs>
              <w:jc w:val="left"/>
              <w:rPr>
                <w:sz w:val="14"/>
                <w:szCs w:val="14"/>
              </w:rPr>
            </w:pPr>
            <w:r w:rsidRPr="00D96063">
              <w:rPr>
                <w:sz w:val="14"/>
                <w:szCs w:val="14"/>
              </w:rPr>
              <w:t>Aluminium ingots (HS 76.01)</w:t>
            </w:r>
          </w:p>
        </w:tc>
        <w:tc>
          <w:tcPr>
            <w:tcW w:w="936" w:type="pct"/>
            <w:shd w:val="clear" w:color="auto" w:fill="auto"/>
          </w:tcPr>
          <w:p w14:paraId="0E953A8F" w14:textId="77777777" w:rsidR="00C15F2E" w:rsidRPr="00D96063" w:rsidRDefault="00C15F2E" w:rsidP="00997D10">
            <w:pPr>
              <w:jc w:val="left"/>
              <w:rPr>
                <w:sz w:val="16"/>
                <w:szCs w:val="16"/>
              </w:rPr>
            </w:pPr>
            <w:r w:rsidRPr="00D96063">
              <w:rPr>
                <w:sz w:val="16"/>
                <w:szCs w:val="16"/>
              </w:rPr>
              <w:t>Tariffs, ODCs</w:t>
            </w:r>
          </w:p>
        </w:tc>
      </w:tr>
      <w:tr w:rsidR="00C15F2E" w:rsidRPr="00D96063" w14:paraId="226BC93B" w14:textId="77777777" w:rsidTr="00997D10">
        <w:tc>
          <w:tcPr>
            <w:tcW w:w="4064" w:type="pct"/>
            <w:shd w:val="clear" w:color="auto" w:fill="C9DED4"/>
          </w:tcPr>
          <w:p w14:paraId="6ADEBFDB" w14:textId="77777777" w:rsidR="00C15F2E" w:rsidRPr="00D96063" w:rsidRDefault="00C15F2E" w:rsidP="00997D10">
            <w:pPr>
              <w:tabs>
                <w:tab w:val="left" w:pos="364"/>
              </w:tabs>
              <w:jc w:val="left"/>
              <w:rPr>
                <w:sz w:val="14"/>
                <w:szCs w:val="14"/>
              </w:rPr>
            </w:pPr>
            <w:r w:rsidRPr="00D96063">
              <w:rPr>
                <w:sz w:val="14"/>
                <w:szCs w:val="14"/>
              </w:rPr>
              <w:lastRenderedPageBreak/>
              <w:t>Floats, float cords, lead weights, other inputs for manufacture of fishing nets (HS 45.03, 58.08, 70.20, 78.06, 98.02)</w:t>
            </w:r>
          </w:p>
        </w:tc>
        <w:tc>
          <w:tcPr>
            <w:tcW w:w="936" w:type="pct"/>
            <w:shd w:val="clear" w:color="auto" w:fill="C9DED4"/>
          </w:tcPr>
          <w:p w14:paraId="7E732552" w14:textId="77777777" w:rsidR="00C15F2E" w:rsidRPr="00D96063" w:rsidRDefault="00C15F2E" w:rsidP="00997D10">
            <w:pPr>
              <w:jc w:val="left"/>
              <w:rPr>
                <w:sz w:val="16"/>
                <w:szCs w:val="16"/>
              </w:rPr>
            </w:pPr>
            <w:r w:rsidRPr="00D96063">
              <w:rPr>
                <w:sz w:val="16"/>
                <w:szCs w:val="16"/>
              </w:rPr>
              <w:t>Tariffs, ODCs</w:t>
            </w:r>
          </w:p>
        </w:tc>
      </w:tr>
      <w:tr w:rsidR="00C15F2E" w:rsidRPr="00D96063" w14:paraId="14A242FB" w14:textId="77777777" w:rsidTr="00997D10">
        <w:tc>
          <w:tcPr>
            <w:tcW w:w="4064" w:type="pct"/>
            <w:shd w:val="clear" w:color="auto" w:fill="auto"/>
          </w:tcPr>
          <w:p w14:paraId="1C139B73" w14:textId="77777777" w:rsidR="00C15F2E" w:rsidRPr="00D96063" w:rsidRDefault="00C15F2E" w:rsidP="00997D10">
            <w:pPr>
              <w:tabs>
                <w:tab w:val="left" w:pos="364"/>
              </w:tabs>
              <w:jc w:val="left"/>
              <w:rPr>
                <w:sz w:val="14"/>
                <w:szCs w:val="14"/>
              </w:rPr>
            </w:pPr>
            <w:r w:rsidRPr="00D96063">
              <w:rPr>
                <w:sz w:val="14"/>
                <w:szCs w:val="14"/>
              </w:rPr>
              <w:t>Recording instruments for the music industry (HS 98.10)</w:t>
            </w:r>
          </w:p>
        </w:tc>
        <w:tc>
          <w:tcPr>
            <w:tcW w:w="936" w:type="pct"/>
            <w:shd w:val="clear" w:color="auto" w:fill="auto"/>
          </w:tcPr>
          <w:p w14:paraId="373F5B67" w14:textId="77777777" w:rsidR="00C15F2E" w:rsidRPr="00D96063" w:rsidRDefault="00C15F2E" w:rsidP="00997D10">
            <w:pPr>
              <w:jc w:val="left"/>
              <w:rPr>
                <w:sz w:val="16"/>
                <w:szCs w:val="16"/>
              </w:rPr>
            </w:pPr>
            <w:r w:rsidRPr="00D96063">
              <w:rPr>
                <w:sz w:val="16"/>
                <w:szCs w:val="16"/>
              </w:rPr>
              <w:t>Tariffs, ODCs</w:t>
            </w:r>
          </w:p>
        </w:tc>
      </w:tr>
      <w:tr w:rsidR="00C15F2E" w:rsidRPr="00D96063" w14:paraId="40098B4E" w14:textId="77777777" w:rsidTr="00997D10">
        <w:tc>
          <w:tcPr>
            <w:tcW w:w="4064" w:type="pct"/>
            <w:shd w:val="clear" w:color="auto" w:fill="C9DED4"/>
          </w:tcPr>
          <w:p w14:paraId="2FF05261" w14:textId="77777777" w:rsidR="00C15F2E" w:rsidRPr="00D96063" w:rsidRDefault="00C15F2E" w:rsidP="00997D10">
            <w:pPr>
              <w:tabs>
                <w:tab w:val="left" w:pos="224"/>
                <w:tab w:val="left" w:pos="364"/>
              </w:tabs>
              <w:jc w:val="left"/>
              <w:rPr>
                <w:b/>
                <w:sz w:val="14"/>
                <w:szCs w:val="14"/>
              </w:rPr>
            </w:pPr>
            <w:r w:rsidRPr="00D96063">
              <w:rPr>
                <w:b/>
                <w:sz w:val="14"/>
                <w:szCs w:val="14"/>
              </w:rPr>
              <w:t>Imports under Bonded Warehousing provisions/Customs Law, 1993</w:t>
            </w:r>
          </w:p>
        </w:tc>
        <w:tc>
          <w:tcPr>
            <w:tcW w:w="936" w:type="pct"/>
            <w:shd w:val="clear" w:color="auto" w:fill="C9DED4"/>
          </w:tcPr>
          <w:p w14:paraId="319519BF" w14:textId="77777777" w:rsidR="00C15F2E" w:rsidRPr="00D96063" w:rsidRDefault="00C15F2E" w:rsidP="00997D10">
            <w:pPr>
              <w:jc w:val="left"/>
              <w:rPr>
                <w:sz w:val="16"/>
                <w:szCs w:val="16"/>
              </w:rPr>
            </w:pPr>
            <w:r w:rsidRPr="00D96063">
              <w:rPr>
                <w:sz w:val="16"/>
                <w:szCs w:val="16"/>
              </w:rPr>
              <w:t>Tariffs, ODCs, VAT</w:t>
            </w:r>
          </w:p>
        </w:tc>
      </w:tr>
      <w:tr w:rsidR="00C15F2E" w:rsidRPr="00D96063" w14:paraId="7EA81AD2" w14:textId="77777777" w:rsidTr="00997D10">
        <w:tc>
          <w:tcPr>
            <w:tcW w:w="4064" w:type="pct"/>
            <w:tcBorders>
              <w:bottom w:val="nil"/>
            </w:tcBorders>
            <w:shd w:val="clear" w:color="auto" w:fill="auto"/>
          </w:tcPr>
          <w:p w14:paraId="4931FDC9" w14:textId="77777777" w:rsidR="00C15F2E" w:rsidRPr="00D96063" w:rsidRDefault="00C15F2E" w:rsidP="00997D10">
            <w:pPr>
              <w:tabs>
                <w:tab w:val="left" w:pos="210"/>
                <w:tab w:val="left" w:pos="364"/>
              </w:tabs>
              <w:jc w:val="left"/>
              <w:rPr>
                <w:sz w:val="14"/>
                <w:szCs w:val="14"/>
              </w:rPr>
            </w:pPr>
            <w:r w:rsidRPr="00D96063">
              <w:rPr>
                <w:b/>
                <w:sz w:val="14"/>
                <w:szCs w:val="14"/>
              </w:rPr>
              <w:t xml:space="preserve">Imports under Free Trade Zones provisions </w:t>
            </w:r>
          </w:p>
        </w:tc>
        <w:tc>
          <w:tcPr>
            <w:tcW w:w="936" w:type="pct"/>
            <w:tcBorders>
              <w:bottom w:val="nil"/>
            </w:tcBorders>
            <w:shd w:val="clear" w:color="auto" w:fill="auto"/>
          </w:tcPr>
          <w:p w14:paraId="1DE1E8AE" w14:textId="77777777" w:rsidR="00C15F2E" w:rsidRPr="00D96063" w:rsidRDefault="00C15F2E" w:rsidP="00997D10">
            <w:pPr>
              <w:jc w:val="left"/>
              <w:rPr>
                <w:sz w:val="16"/>
                <w:szCs w:val="16"/>
              </w:rPr>
            </w:pPr>
            <w:r w:rsidRPr="00D96063">
              <w:rPr>
                <w:sz w:val="16"/>
                <w:szCs w:val="16"/>
              </w:rPr>
              <w:t>Tariffs, ODCs, VAT</w:t>
            </w:r>
          </w:p>
        </w:tc>
      </w:tr>
      <w:tr w:rsidR="00C15F2E" w:rsidRPr="00D96063" w14:paraId="0C49C5E4" w14:textId="77777777" w:rsidTr="00997D10">
        <w:tc>
          <w:tcPr>
            <w:tcW w:w="4064" w:type="pct"/>
            <w:tcBorders>
              <w:top w:val="nil"/>
              <w:bottom w:val="single" w:sz="4" w:space="0" w:color="auto"/>
            </w:tcBorders>
            <w:shd w:val="clear" w:color="auto" w:fill="C9DED4"/>
          </w:tcPr>
          <w:p w14:paraId="1219F2A9" w14:textId="77777777" w:rsidR="00C15F2E" w:rsidRPr="00D96063" w:rsidRDefault="00C15F2E" w:rsidP="00997D10">
            <w:pPr>
              <w:tabs>
                <w:tab w:val="left" w:pos="238"/>
                <w:tab w:val="left" w:pos="364"/>
                <w:tab w:val="left" w:pos="406"/>
              </w:tabs>
              <w:jc w:val="left"/>
              <w:rPr>
                <w:sz w:val="14"/>
                <w:szCs w:val="14"/>
              </w:rPr>
            </w:pPr>
            <w:r w:rsidRPr="00D96063">
              <w:rPr>
                <w:b/>
                <w:sz w:val="14"/>
                <w:szCs w:val="14"/>
              </w:rPr>
              <w:t>Metals, chemicals, equipment, machinery listed under the Mining List (252 items)</w:t>
            </w:r>
          </w:p>
        </w:tc>
        <w:tc>
          <w:tcPr>
            <w:tcW w:w="936" w:type="pct"/>
            <w:tcBorders>
              <w:top w:val="nil"/>
              <w:bottom w:val="single" w:sz="4" w:space="0" w:color="auto"/>
            </w:tcBorders>
            <w:shd w:val="clear" w:color="auto" w:fill="C9DED4"/>
          </w:tcPr>
          <w:p w14:paraId="087F075A" w14:textId="77777777" w:rsidR="00C15F2E" w:rsidRPr="00D96063" w:rsidRDefault="00C15F2E" w:rsidP="00997D10">
            <w:pPr>
              <w:jc w:val="left"/>
              <w:rPr>
                <w:sz w:val="16"/>
                <w:szCs w:val="16"/>
              </w:rPr>
            </w:pPr>
            <w:r w:rsidRPr="00D96063">
              <w:rPr>
                <w:sz w:val="16"/>
                <w:szCs w:val="16"/>
              </w:rPr>
              <w:t>Tariffs</w:t>
            </w:r>
          </w:p>
        </w:tc>
      </w:tr>
    </w:tbl>
    <w:p w14:paraId="0539662B" w14:textId="77777777" w:rsidR="00C15F2E" w:rsidRPr="00D96063" w:rsidRDefault="00C15F2E" w:rsidP="00E101A6">
      <w:pPr>
        <w:pStyle w:val="NoteText"/>
        <w:spacing w:before="120" w:after="240"/>
      </w:pPr>
      <w:r w:rsidRPr="00D96063">
        <w:t>Source:</w:t>
      </w:r>
      <w:r w:rsidRPr="00D96063">
        <w:rPr>
          <w:i/>
        </w:rPr>
        <w:tab/>
      </w:r>
      <w:r w:rsidRPr="00D96063">
        <w:t>WTO Secretariat based on information provided by the authorities.</w:t>
      </w:r>
    </w:p>
    <w:p w14:paraId="061124CA" w14:textId="77777777" w:rsidR="00C15F2E" w:rsidRPr="00D96063" w:rsidRDefault="00C15F2E" w:rsidP="00E101A6">
      <w:pPr>
        <w:pStyle w:val="Heading3"/>
        <w:numPr>
          <w:ilvl w:val="2"/>
          <w:numId w:val="16"/>
        </w:numPr>
      </w:pPr>
      <w:bookmarkStart w:id="106" w:name="_Toc103607672"/>
      <w:r w:rsidRPr="00D96063">
        <w:t>Other taxes and charges affecting imports</w:t>
      </w:r>
      <w:bookmarkEnd w:id="106"/>
    </w:p>
    <w:p w14:paraId="5ABD1074" w14:textId="77777777" w:rsidR="00C15F2E" w:rsidRPr="00D96063" w:rsidRDefault="00C15F2E" w:rsidP="00E101A6">
      <w:pPr>
        <w:pStyle w:val="Heading4"/>
        <w:numPr>
          <w:ilvl w:val="3"/>
          <w:numId w:val="16"/>
        </w:numPr>
      </w:pPr>
      <w:bookmarkStart w:id="107" w:name="_Toc103607673"/>
      <w:bookmarkEnd w:id="100"/>
      <w:r w:rsidRPr="00D96063">
        <w:t>VAT</w:t>
      </w:r>
      <w:bookmarkEnd w:id="107"/>
    </w:p>
    <w:p w14:paraId="222D1F63" w14:textId="77777777" w:rsidR="00C15F2E" w:rsidRPr="00D96063" w:rsidRDefault="00C15F2E" w:rsidP="00C405EB">
      <w:pPr>
        <w:pStyle w:val="BodyText"/>
        <w:numPr>
          <w:ilvl w:val="6"/>
          <w:numId w:val="16"/>
        </w:numPr>
      </w:pPr>
      <w:r w:rsidRPr="00D96063">
        <w:t>Ghana's standard VAT rate has been 12.5% since 2017.</w:t>
      </w:r>
      <w:r w:rsidRPr="00D96063">
        <w:rPr>
          <w:rStyle w:val="FootnoteReference"/>
        </w:rPr>
        <w:footnoteReference w:id="52"/>
      </w:r>
      <w:r w:rsidRPr="00D96063">
        <w:t xml:space="preserve"> VAT is levied on the c.i.f. value of imports plus tariff and other border taxes, and on the ex</w:t>
      </w:r>
      <w:r w:rsidRPr="00D96063">
        <w:noBreakHyphen/>
        <w:t>factory price of locally produced goods.</w:t>
      </w:r>
      <w:r w:rsidRPr="00D96063">
        <w:rPr>
          <w:rStyle w:val="FootnoteReference"/>
        </w:rPr>
        <w:footnoteReference w:id="53"/>
      </w:r>
      <w:r w:rsidRPr="00D96063">
        <w:t xml:space="preserve"> The zero rate applies to goods and services for export. The following goods and services are exempt from VAT: agricultural inputs, electricity, transportation, construction, pharmaceuticals, bicycles, books, and machinery and equipment. About 40% of VAT revenues are collected on imports (Table 3.2). VAT on financial services (17.5%) was abolished in 2022. </w:t>
      </w:r>
      <w:r w:rsidRPr="00D96063">
        <w:rPr>
          <w:iCs/>
          <w:color w:val="000000" w:themeColor="text1"/>
          <w:lang w:eastAsia="en-GB"/>
        </w:rPr>
        <w:t>Transportation services are exempt from VAT.</w:t>
      </w:r>
    </w:p>
    <w:p w14:paraId="3819EC5C" w14:textId="378472A6" w:rsidR="00C15F2E" w:rsidRPr="00D96063" w:rsidRDefault="00C15F2E" w:rsidP="00E101A6">
      <w:pPr>
        <w:pStyle w:val="BodyText"/>
        <w:numPr>
          <w:ilvl w:val="6"/>
          <w:numId w:val="16"/>
        </w:numPr>
      </w:pPr>
      <w:r w:rsidRPr="00D96063">
        <w:t>Ghana introduced a VAT Flat Rate Scheme (VFRS) in 2017 that provides for a reduced flat rate of 3% in lieu of VAT (and NHIL and GETFund)</w:t>
      </w:r>
      <w:r w:rsidRPr="00D96063">
        <w:rPr>
          <w:rFonts w:cs="Open Sans"/>
          <w:shd w:val="clear" w:color="auto" w:fill="FFFFFF"/>
        </w:rPr>
        <w:t xml:space="preserve">. Nevertheless, wholesalers and </w:t>
      </w:r>
      <w:r w:rsidRPr="00D96063">
        <w:t xml:space="preserve">importers will continue to pay VAT/NHIL/GETFund at importation at the standard cumulated rate of 17% on their purchases. </w:t>
      </w:r>
      <w:r w:rsidRPr="00D96063">
        <w:rPr>
          <w:rFonts w:cs="Open Sans"/>
          <w:shd w:val="clear" w:color="auto" w:fill="FFFFFF"/>
        </w:rPr>
        <w:t>As a result, the new VFRS constitutes a sales tax rather than a VAT (Box 3.2).</w:t>
      </w:r>
      <w:r w:rsidRPr="00D96063">
        <w:rPr>
          <w:rStyle w:val="FootnoteReference"/>
          <w:shd w:val="clear" w:color="auto" w:fill="FFFFFF"/>
        </w:rPr>
        <w:footnoteReference w:id="54"/>
      </w:r>
      <w:r w:rsidRPr="00D96063">
        <w:rPr>
          <w:shd w:val="clear" w:color="auto" w:fill="FFFFFF"/>
        </w:rPr>
        <w:t xml:space="preserve"> </w:t>
      </w:r>
      <w:r w:rsidRPr="00D96063">
        <w:t xml:space="preserve">This means that wholesalers pay 17.5% tax on their purchases and collect 3% tax on </w:t>
      </w:r>
      <w:r w:rsidRPr="00D96063">
        <w:rPr>
          <w:rFonts w:cs="Open Sans"/>
          <w:shd w:val="clear" w:color="auto" w:fill="FFFFFF"/>
        </w:rPr>
        <w:t>the sales. The VFRS covers all products except power, heat, refrigeration, or ventilation.</w:t>
      </w:r>
    </w:p>
    <w:p w14:paraId="558D65A1" w14:textId="1134A566" w:rsidR="00C15F2E" w:rsidRPr="00D96063" w:rsidRDefault="00C15F2E" w:rsidP="00B44A47">
      <w:pPr>
        <w:pStyle w:val="Caption"/>
        <w:keepLines/>
      </w:pPr>
      <w:bookmarkStart w:id="108" w:name="_Toc103607970"/>
      <w:r w:rsidRPr="00D96063">
        <w:t xml:space="preserve">Box </w:t>
      </w:r>
      <w:fldSimple w:instr=" STYLEREF 1 \s ">
        <w:r w:rsidR="004B63B1">
          <w:rPr>
            <w:noProof/>
          </w:rPr>
          <w:t>3</w:t>
        </w:r>
      </w:fldSimple>
      <w:r w:rsidR="00952BFE" w:rsidRPr="00D96063">
        <w:t>.</w:t>
      </w:r>
      <w:fldSimple w:instr=" SEQ Box \* ARABIC \s 1 ">
        <w:r w:rsidR="004B63B1">
          <w:rPr>
            <w:noProof/>
          </w:rPr>
          <w:t>2</w:t>
        </w:r>
      </w:fldSimple>
      <w:r w:rsidRPr="00D96063">
        <w:t xml:space="preserve"> Computing VAT payable under the VFRS</w:t>
      </w:r>
      <w:bookmarkEnd w:id="108"/>
    </w:p>
    <w:tbl>
      <w:tblPr>
        <w:tblStyle w:val="WTOBox1"/>
        <w:tblW w:w="0" w:type="auto"/>
        <w:tblLook w:val="04A0" w:firstRow="1" w:lastRow="0" w:firstColumn="1" w:lastColumn="0" w:noHBand="0" w:noVBand="1"/>
      </w:tblPr>
      <w:tblGrid>
        <w:gridCol w:w="9016"/>
      </w:tblGrid>
      <w:tr w:rsidR="00C15F2E" w:rsidRPr="008516FD" w14:paraId="6086F82F" w14:textId="77777777" w:rsidTr="00997D10">
        <w:tc>
          <w:tcPr>
            <w:tcW w:w="9016" w:type="dxa"/>
          </w:tcPr>
          <w:p w14:paraId="2C80B405" w14:textId="77777777" w:rsidR="00C15F2E" w:rsidRPr="008516FD" w:rsidRDefault="00C15F2E" w:rsidP="00B44A47">
            <w:pPr>
              <w:keepNext/>
              <w:keepLines/>
              <w:rPr>
                <w:sz w:val="16"/>
                <w:szCs w:val="16"/>
              </w:rPr>
            </w:pPr>
            <w:r w:rsidRPr="008516FD">
              <w:rPr>
                <w:sz w:val="16"/>
                <w:szCs w:val="16"/>
              </w:rPr>
              <w:t>(a) Example: Cost (taxation base) of the item = GHS 100</w:t>
            </w:r>
          </w:p>
        </w:tc>
      </w:tr>
      <w:tr w:rsidR="00C15F2E" w:rsidRPr="008516FD" w14:paraId="5F5A8BC3" w14:textId="77777777" w:rsidTr="00997D10">
        <w:tc>
          <w:tcPr>
            <w:tcW w:w="9016" w:type="dxa"/>
          </w:tcPr>
          <w:p w14:paraId="34EC1125" w14:textId="77777777" w:rsidR="00C15F2E" w:rsidRPr="008516FD" w:rsidRDefault="00C15F2E" w:rsidP="00B44A47">
            <w:pPr>
              <w:keepNext/>
              <w:keepLines/>
              <w:rPr>
                <w:sz w:val="16"/>
                <w:szCs w:val="16"/>
              </w:rPr>
            </w:pPr>
            <w:r w:rsidRPr="008516FD">
              <w:rPr>
                <w:sz w:val="16"/>
                <w:szCs w:val="16"/>
              </w:rPr>
              <w:t>(b) VAT paid on item (17.5%*100) = GHS 17.50 (sum of VAT at 12.5%, NHIL at 2.5%, and GETFund 2.5%)</w:t>
            </w:r>
          </w:p>
        </w:tc>
      </w:tr>
      <w:tr w:rsidR="00C15F2E" w:rsidRPr="008516FD" w14:paraId="23BA92EB" w14:textId="77777777" w:rsidTr="00997D10">
        <w:tc>
          <w:tcPr>
            <w:tcW w:w="9016" w:type="dxa"/>
          </w:tcPr>
          <w:p w14:paraId="2FB09115" w14:textId="788DC9D9" w:rsidR="00C15F2E" w:rsidRPr="008516FD" w:rsidRDefault="00C15F2E" w:rsidP="00B44A47">
            <w:pPr>
              <w:keepNext/>
              <w:keepLines/>
              <w:rPr>
                <w:sz w:val="16"/>
                <w:szCs w:val="16"/>
              </w:rPr>
            </w:pPr>
            <w:r w:rsidRPr="008516FD">
              <w:rPr>
                <w:sz w:val="16"/>
                <w:szCs w:val="16"/>
              </w:rPr>
              <w:t>(c) Hypothesis of a profit and other overhead margin of 10% (10%*117.50) = GHS 11.75</w:t>
            </w:r>
          </w:p>
        </w:tc>
      </w:tr>
      <w:tr w:rsidR="00C15F2E" w:rsidRPr="008516FD" w14:paraId="56778260" w14:textId="77777777" w:rsidTr="00997D10">
        <w:tc>
          <w:tcPr>
            <w:tcW w:w="9016" w:type="dxa"/>
          </w:tcPr>
          <w:p w14:paraId="47A3155E" w14:textId="77777777" w:rsidR="00C15F2E" w:rsidRPr="008516FD" w:rsidRDefault="00C15F2E" w:rsidP="00B44A47">
            <w:pPr>
              <w:keepNext/>
              <w:keepLines/>
              <w:rPr>
                <w:sz w:val="16"/>
                <w:szCs w:val="16"/>
              </w:rPr>
            </w:pPr>
            <w:r w:rsidRPr="008516FD">
              <w:rPr>
                <w:sz w:val="16"/>
                <w:szCs w:val="16"/>
              </w:rPr>
              <w:t>(d) Taxable value (a+b+c) = GHS 129.25</w:t>
            </w:r>
          </w:p>
        </w:tc>
      </w:tr>
      <w:tr w:rsidR="00C15F2E" w:rsidRPr="008516FD" w14:paraId="1DE083D7" w14:textId="77777777" w:rsidTr="00997D10">
        <w:tc>
          <w:tcPr>
            <w:tcW w:w="9016" w:type="dxa"/>
          </w:tcPr>
          <w:p w14:paraId="41D184CD" w14:textId="77777777" w:rsidR="00C15F2E" w:rsidRPr="008516FD" w:rsidRDefault="00C15F2E" w:rsidP="00B44A47">
            <w:pPr>
              <w:keepNext/>
              <w:keepLines/>
              <w:rPr>
                <w:sz w:val="16"/>
                <w:szCs w:val="16"/>
              </w:rPr>
            </w:pPr>
            <w:r w:rsidRPr="008516FD">
              <w:rPr>
                <w:sz w:val="16"/>
                <w:szCs w:val="16"/>
              </w:rPr>
              <w:t>(e) VFRS (3%*129.25) = 3.88</w:t>
            </w:r>
          </w:p>
        </w:tc>
      </w:tr>
      <w:tr w:rsidR="00C15F2E" w:rsidRPr="008516FD" w14:paraId="1CE36B4C" w14:textId="77777777" w:rsidTr="00997D10">
        <w:tc>
          <w:tcPr>
            <w:tcW w:w="9016" w:type="dxa"/>
          </w:tcPr>
          <w:p w14:paraId="492EA100" w14:textId="77777777" w:rsidR="00C15F2E" w:rsidRPr="008516FD" w:rsidRDefault="00C15F2E" w:rsidP="00B44A47">
            <w:pPr>
              <w:keepNext/>
              <w:keepLines/>
              <w:rPr>
                <w:sz w:val="16"/>
                <w:szCs w:val="16"/>
              </w:rPr>
            </w:pPr>
            <w:r w:rsidRPr="008516FD">
              <w:rPr>
                <w:sz w:val="16"/>
                <w:szCs w:val="16"/>
              </w:rPr>
              <w:t>(f) Tax inclusive cost to consumer (d+e) = GHS 133.13</w:t>
            </w:r>
          </w:p>
        </w:tc>
      </w:tr>
    </w:tbl>
    <w:p w14:paraId="5B980478" w14:textId="77777777" w:rsidR="00C15F2E" w:rsidRPr="00D96063" w:rsidRDefault="00C15F2E" w:rsidP="00105D48">
      <w:pPr>
        <w:pStyle w:val="NoteText"/>
        <w:spacing w:before="120" w:after="240"/>
      </w:pPr>
      <w:r w:rsidRPr="00D96063">
        <w:t>Source:</w:t>
      </w:r>
      <w:r w:rsidRPr="00D96063">
        <w:tab/>
        <w:t>Government of Ghana.</w:t>
      </w:r>
    </w:p>
    <w:p w14:paraId="71F062D5" w14:textId="77777777" w:rsidR="00C15F2E" w:rsidRPr="00D96063" w:rsidRDefault="00C15F2E" w:rsidP="003758E5">
      <w:pPr>
        <w:pStyle w:val="Heading4"/>
        <w:numPr>
          <w:ilvl w:val="3"/>
          <w:numId w:val="17"/>
        </w:numPr>
      </w:pPr>
      <w:bookmarkStart w:id="109" w:name="_Toc103607674"/>
      <w:r w:rsidRPr="00D96063">
        <w:t>Excise duties</w:t>
      </w:r>
      <w:bookmarkEnd w:id="109"/>
    </w:p>
    <w:p w14:paraId="2E0C6D28" w14:textId="77777777" w:rsidR="00C15F2E" w:rsidRPr="00D96063" w:rsidRDefault="00C15F2E" w:rsidP="00E101A6">
      <w:pPr>
        <w:pStyle w:val="BodyText"/>
        <w:numPr>
          <w:ilvl w:val="6"/>
          <w:numId w:val="16"/>
        </w:numPr>
        <w:rPr>
          <w:rFonts w:cs="Times New Roman"/>
        </w:rPr>
      </w:pPr>
      <w:r w:rsidRPr="00D96063">
        <w:rPr>
          <w:shd w:val="clear" w:color="auto" w:fill="FFFFFF"/>
        </w:rPr>
        <w:t xml:space="preserve">Excise duties are imposed on selected (imported and locally produced) products (Table 3.6). </w:t>
      </w:r>
      <w:r w:rsidRPr="00D96063">
        <w:t xml:space="preserve">The taxation base is the ex-factory price for locally produced goods and the duty-inclusive c.i.f. price for imported goods. </w:t>
      </w:r>
      <w:r w:rsidRPr="00D96063">
        <w:rPr>
          <w:rFonts w:cs="Arial"/>
          <w:color w:val="202124"/>
          <w:shd w:val="clear" w:color="auto" w:fill="FFFFFF"/>
        </w:rPr>
        <w:t>The excise duty payable on malt drinks, beer, and stout, other than indigenous beer, is determined by the percentage of local raw materials used: the higher the local content, the lower the excise tax.</w:t>
      </w:r>
    </w:p>
    <w:p w14:paraId="2DC4610A" w14:textId="12967350" w:rsidR="00C15F2E" w:rsidRPr="00D96063" w:rsidRDefault="00C15F2E" w:rsidP="00DB5F40">
      <w:pPr>
        <w:pStyle w:val="Caption"/>
      </w:pPr>
      <w:bookmarkStart w:id="110" w:name="_Toc103607887"/>
      <w:bookmarkStart w:id="111" w:name="_Hlk84241162"/>
      <w:r w:rsidRPr="00D96063">
        <w:lastRenderedPageBreak/>
        <w:t xml:space="preserve">Table </w:t>
      </w:r>
      <w:fldSimple w:instr=" STYLEREF 1 \s ">
        <w:r w:rsidR="004B63B1">
          <w:rPr>
            <w:noProof/>
          </w:rPr>
          <w:t>3</w:t>
        </w:r>
      </w:fldSimple>
      <w:r w:rsidR="00BF3184">
        <w:t>.</w:t>
      </w:r>
      <w:fldSimple w:instr=" SEQ Table \* ARABIC \s 1 ">
        <w:r w:rsidR="004B63B1">
          <w:rPr>
            <w:noProof/>
          </w:rPr>
          <w:t>6</w:t>
        </w:r>
      </w:fldSimple>
      <w:r w:rsidRPr="00D96063">
        <w:t xml:space="preserve"> Excise duties, 2022</w:t>
      </w:r>
      <w:bookmarkEnd w:id="110"/>
    </w:p>
    <w:tbl>
      <w:tblPr>
        <w:tblStyle w:val="WTOTable1"/>
        <w:tblW w:w="5000" w:type="pct"/>
        <w:tblLook w:val="04A0" w:firstRow="1" w:lastRow="0" w:firstColumn="1" w:lastColumn="0" w:noHBand="0" w:noVBand="1"/>
      </w:tblPr>
      <w:tblGrid>
        <w:gridCol w:w="1461"/>
        <w:gridCol w:w="5954"/>
        <w:gridCol w:w="1601"/>
      </w:tblGrid>
      <w:tr w:rsidR="00C15F2E" w:rsidRPr="00D96063" w14:paraId="05F7B45B" w14:textId="77777777" w:rsidTr="00997D10">
        <w:trPr>
          <w:cnfStyle w:val="100000000000" w:firstRow="1" w:lastRow="0" w:firstColumn="0" w:lastColumn="0" w:oddVBand="0" w:evenVBand="0" w:oddHBand="0" w:evenHBand="0" w:firstRowFirstColumn="0" w:firstRowLastColumn="0" w:lastRowFirstColumn="0" w:lastRowLastColumn="0"/>
          <w:tblHeader/>
        </w:trPr>
        <w:tc>
          <w:tcPr>
            <w:tcW w:w="784" w:type="pct"/>
          </w:tcPr>
          <w:p w14:paraId="61CB7760" w14:textId="77777777" w:rsidR="00C15F2E" w:rsidRPr="00D96063" w:rsidRDefault="00C15F2E" w:rsidP="00997D10">
            <w:pPr>
              <w:rPr>
                <w:b w:val="0"/>
                <w:sz w:val="16"/>
              </w:rPr>
            </w:pPr>
            <w:r w:rsidRPr="00D96063">
              <w:rPr>
                <w:sz w:val="16"/>
              </w:rPr>
              <w:t>Heading or</w:t>
            </w:r>
          </w:p>
          <w:p w14:paraId="55AF874C" w14:textId="77777777" w:rsidR="00C15F2E" w:rsidRPr="00D96063" w:rsidRDefault="00C15F2E" w:rsidP="00997D10">
            <w:pPr>
              <w:rPr>
                <w:color w:val="1C1B23"/>
                <w:sz w:val="16"/>
              </w:rPr>
            </w:pPr>
            <w:r w:rsidRPr="00D96063">
              <w:rPr>
                <w:sz w:val="16"/>
              </w:rPr>
              <w:t>subchapter</w:t>
            </w:r>
          </w:p>
        </w:tc>
        <w:tc>
          <w:tcPr>
            <w:tcW w:w="3315" w:type="pct"/>
          </w:tcPr>
          <w:p w14:paraId="49E65E41" w14:textId="77777777" w:rsidR="00C15F2E" w:rsidRPr="00D96063" w:rsidRDefault="00C15F2E" w:rsidP="00997D10">
            <w:pPr>
              <w:rPr>
                <w:sz w:val="16"/>
              </w:rPr>
            </w:pPr>
            <w:r w:rsidRPr="00D96063">
              <w:rPr>
                <w:sz w:val="16"/>
              </w:rPr>
              <w:t>Product description</w:t>
            </w:r>
          </w:p>
        </w:tc>
        <w:tc>
          <w:tcPr>
            <w:tcW w:w="901" w:type="pct"/>
          </w:tcPr>
          <w:p w14:paraId="25BAAFD1" w14:textId="77777777" w:rsidR="00C15F2E" w:rsidRPr="00D96063" w:rsidRDefault="00C15F2E" w:rsidP="008516FD">
            <w:pPr>
              <w:jc w:val="center"/>
              <w:rPr>
                <w:sz w:val="16"/>
              </w:rPr>
            </w:pPr>
            <w:r w:rsidRPr="00D96063">
              <w:rPr>
                <w:sz w:val="16"/>
              </w:rPr>
              <w:t>Rate of duty</w:t>
            </w:r>
          </w:p>
        </w:tc>
      </w:tr>
      <w:tr w:rsidR="00C15F2E" w:rsidRPr="00D96063" w14:paraId="0B881789" w14:textId="77777777" w:rsidTr="00997D10">
        <w:trPr>
          <w:trHeight w:val="593"/>
        </w:trPr>
        <w:tc>
          <w:tcPr>
            <w:tcW w:w="784" w:type="pct"/>
          </w:tcPr>
          <w:p w14:paraId="0ACEA8DB" w14:textId="77777777" w:rsidR="00C15F2E" w:rsidRPr="00D96063" w:rsidRDefault="00C15F2E" w:rsidP="008516FD">
            <w:pPr>
              <w:ind w:right="227"/>
              <w:jc w:val="left"/>
              <w:rPr>
                <w:sz w:val="16"/>
              </w:rPr>
            </w:pPr>
            <w:r w:rsidRPr="00D96063">
              <w:rPr>
                <w:sz w:val="16"/>
              </w:rPr>
              <w:t>2201</w:t>
            </w:r>
          </w:p>
        </w:tc>
        <w:tc>
          <w:tcPr>
            <w:tcW w:w="3315" w:type="pct"/>
          </w:tcPr>
          <w:p w14:paraId="353089F7" w14:textId="77777777" w:rsidR="00C15F2E" w:rsidRPr="00D96063" w:rsidRDefault="00C15F2E" w:rsidP="00105D48">
            <w:pPr>
              <w:jc w:val="left"/>
              <w:rPr>
                <w:sz w:val="16"/>
              </w:rPr>
            </w:pPr>
            <w:r w:rsidRPr="00D96063">
              <w:rPr>
                <w:sz w:val="16"/>
              </w:rPr>
              <w:t>Waters, including mineral water of all description</w:t>
            </w:r>
          </w:p>
          <w:p w14:paraId="2229893F" w14:textId="77777777" w:rsidR="00C15F2E" w:rsidRPr="00D96063" w:rsidRDefault="00C15F2E" w:rsidP="00105D48">
            <w:pPr>
              <w:jc w:val="left"/>
              <w:rPr>
                <w:sz w:val="16"/>
              </w:rPr>
            </w:pPr>
            <w:r w:rsidRPr="00D96063">
              <w:rPr>
                <w:sz w:val="16"/>
              </w:rPr>
              <w:t>Distilled, bottle water</w:t>
            </w:r>
          </w:p>
          <w:p w14:paraId="2E82F86D" w14:textId="77777777" w:rsidR="00C15F2E" w:rsidRPr="00D96063" w:rsidRDefault="00C15F2E" w:rsidP="00105D48">
            <w:pPr>
              <w:jc w:val="left"/>
              <w:rPr>
                <w:sz w:val="16"/>
              </w:rPr>
            </w:pPr>
            <w:r w:rsidRPr="00D96063">
              <w:rPr>
                <w:sz w:val="16"/>
              </w:rPr>
              <w:t>Sachet water</w:t>
            </w:r>
          </w:p>
        </w:tc>
        <w:tc>
          <w:tcPr>
            <w:tcW w:w="901" w:type="pct"/>
          </w:tcPr>
          <w:p w14:paraId="71812C76" w14:textId="77777777" w:rsidR="00C15F2E" w:rsidRPr="00D96063" w:rsidRDefault="00C15F2E" w:rsidP="00105D48">
            <w:pPr>
              <w:ind w:right="283"/>
              <w:jc w:val="right"/>
              <w:rPr>
                <w:sz w:val="16"/>
              </w:rPr>
            </w:pPr>
            <w:r w:rsidRPr="00D96063">
              <w:rPr>
                <w:sz w:val="16"/>
              </w:rPr>
              <w:t>17.5%</w:t>
            </w:r>
          </w:p>
          <w:p w14:paraId="039393EC" w14:textId="77777777" w:rsidR="00C15F2E" w:rsidRPr="00D96063" w:rsidRDefault="00C15F2E" w:rsidP="00105D48">
            <w:pPr>
              <w:ind w:right="283"/>
              <w:jc w:val="right"/>
              <w:rPr>
                <w:sz w:val="16"/>
              </w:rPr>
            </w:pPr>
            <w:r w:rsidRPr="00D96063">
              <w:rPr>
                <w:sz w:val="16"/>
              </w:rPr>
              <w:t>17.5%</w:t>
            </w:r>
          </w:p>
          <w:p w14:paraId="4F9E6B52" w14:textId="77777777" w:rsidR="00C15F2E" w:rsidRPr="00D96063" w:rsidRDefault="00C15F2E" w:rsidP="00105D48">
            <w:pPr>
              <w:ind w:right="283"/>
              <w:jc w:val="right"/>
              <w:rPr>
                <w:sz w:val="16"/>
              </w:rPr>
            </w:pPr>
            <w:r w:rsidRPr="00D96063">
              <w:rPr>
                <w:sz w:val="16"/>
              </w:rPr>
              <w:t>0%</w:t>
            </w:r>
          </w:p>
        </w:tc>
      </w:tr>
      <w:tr w:rsidR="00C15F2E" w:rsidRPr="00D96063" w14:paraId="11793297" w14:textId="77777777" w:rsidTr="00997D10">
        <w:trPr>
          <w:cnfStyle w:val="000000010000" w:firstRow="0" w:lastRow="0" w:firstColumn="0" w:lastColumn="0" w:oddVBand="0" w:evenVBand="0" w:oddHBand="0" w:evenHBand="1" w:firstRowFirstColumn="0" w:firstRowLastColumn="0" w:lastRowFirstColumn="0" w:lastRowLastColumn="0"/>
        </w:trPr>
        <w:tc>
          <w:tcPr>
            <w:tcW w:w="784" w:type="pct"/>
          </w:tcPr>
          <w:p w14:paraId="7EFBA813" w14:textId="77777777" w:rsidR="00C15F2E" w:rsidRPr="00D96063" w:rsidRDefault="00C15F2E" w:rsidP="008516FD">
            <w:pPr>
              <w:ind w:right="227"/>
              <w:jc w:val="left"/>
              <w:rPr>
                <w:color w:val="1C1B23"/>
                <w:sz w:val="16"/>
              </w:rPr>
            </w:pPr>
            <w:r w:rsidRPr="00D96063">
              <w:rPr>
                <w:sz w:val="16"/>
              </w:rPr>
              <w:t>220290</w:t>
            </w:r>
          </w:p>
        </w:tc>
        <w:tc>
          <w:tcPr>
            <w:tcW w:w="3315" w:type="pct"/>
          </w:tcPr>
          <w:p w14:paraId="176BE1C8" w14:textId="77777777" w:rsidR="00C15F2E" w:rsidRPr="00D96063" w:rsidRDefault="00C15F2E" w:rsidP="00105D48">
            <w:pPr>
              <w:jc w:val="left"/>
              <w:rPr>
                <w:sz w:val="16"/>
              </w:rPr>
            </w:pPr>
            <w:r w:rsidRPr="00D96063">
              <w:rPr>
                <w:sz w:val="16"/>
              </w:rPr>
              <w:t>Malt drink, made with:</w:t>
            </w:r>
          </w:p>
          <w:p w14:paraId="20C17952" w14:textId="77777777" w:rsidR="00C15F2E" w:rsidRPr="00D96063" w:rsidRDefault="00C15F2E" w:rsidP="00105D48">
            <w:pPr>
              <w:jc w:val="left"/>
              <w:rPr>
                <w:sz w:val="16"/>
              </w:rPr>
            </w:pPr>
            <w:r w:rsidRPr="00D96063">
              <w:rPr>
                <w:sz w:val="16"/>
              </w:rPr>
              <w:t>Less than 50% of local raw material</w:t>
            </w:r>
          </w:p>
          <w:p w14:paraId="3957F317" w14:textId="77777777" w:rsidR="00C15F2E" w:rsidRPr="00D96063" w:rsidRDefault="00C15F2E" w:rsidP="00105D48">
            <w:pPr>
              <w:jc w:val="left"/>
              <w:rPr>
                <w:sz w:val="16"/>
              </w:rPr>
            </w:pPr>
            <w:r w:rsidRPr="00D96063">
              <w:rPr>
                <w:sz w:val="16"/>
              </w:rPr>
              <w:t>50%-70% of local raw material</w:t>
            </w:r>
          </w:p>
          <w:p w14:paraId="7E158AF3" w14:textId="77777777" w:rsidR="00C15F2E" w:rsidRPr="00D96063" w:rsidRDefault="00C15F2E" w:rsidP="00105D48">
            <w:pPr>
              <w:jc w:val="left"/>
              <w:rPr>
                <w:sz w:val="16"/>
              </w:rPr>
            </w:pPr>
            <w:r w:rsidRPr="00D96063">
              <w:rPr>
                <w:sz w:val="16"/>
              </w:rPr>
              <w:t>Above 70% of local raw material</w:t>
            </w:r>
          </w:p>
        </w:tc>
        <w:tc>
          <w:tcPr>
            <w:tcW w:w="901" w:type="pct"/>
          </w:tcPr>
          <w:p w14:paraId="1B808510" w14:textId="77777777" w:rsidR="00C15F2E" w:rsidRPr="00D96063" w:rsidRDefault="00C15F2E" w:rsidP="00105D48">
            <w:pPr>
              <w:ind w:right="283"/>
              <w:jc w:val="right"/>
              <w:rPr>
                <w:sz w:val="16"/>
              </w:rPr>
            </w:pPr>
          </w:p>
          <w:p w14:paraId="2C7D8929" w14:textId="77777777" w:rsidR="00C15F2E" w:rsidRPr="00D96063" w:rsidRDefault="00C15F2E" w:rsidP="00105D48">
            <w:pPr>
              <w:ind w:right="283"/>
              <w:jc w:val="right"/>
              <w:rPr>
                <w:sz w:val="16"/>
              </w:rPr>
            </w:pPr>
            <w:r w:rsidRPr="00D96063">
              <w:rPr>
                <w:sz w:val="16"/>
              </w:rPr>
              <w:t>17.5%</w:t>
            </w:r>
          </w:p>
          <w:p w14:paraId="6703B545" w14:textId="77777777" w:rsidR="00C15F2E" w:rsidRPr="00D96063" w:rsidRDefault="00C15F2E" w:rsidP="00105D48">
            <w:pPr>
              <w:ind w:right="283"/>
              <w:jc w:val="right"/>
              <w:rPr>
                <w:sz w:val="16"/>
              </w:rPr>
            </w:pPr>
            <w:r w:rsidRPr="00D96063">
              <w:rPr>
                <w:sz w:val="16"/>
              </w:rPr>
              <w:t>10%</w:t>
            </w:r>
          </w:p>
          <w:p w14:paraId="144E0DEE" w14:textId="77777777" w:rsidR="00C15F2E" w:rsidRPr="00D96063" w:rsidRDefault="00C15F2E" w:rsidP="00105D48">
            <w:pPr>
              <w:ind w:right="283"/>
              <w:jc w:val="right"/>
              <w:rPr>
                <w:sz w:val="16"/>
              </w:rPr>
            </w:pPr>
            <w:r w:rsidRPr="00D96063">
              <w:rPr>
                <w:sz w:val="16"/>
              </w:rPr>
              <w:t>7.5%</w:t>
            </w:r>
          </w:p>
        </w:tc>
      </w:tr>
      <w:tr w:rsidR="00C15F2E" w:rsidRPr="00D96063" w14:paraId="36F24F52" w14:textId="77777777" w:rsidTr="00997D10">
        <w:tc>
          <w:tcPr>
            <w:tcW w:w="784" w:type="pct"/>
          </w:tcPr>
          <w:p w14:paraId="71967723" w14:textId="77777777" w:rsidR="00C15F2E" w:rsidRPr="00D96063" w:rsidRDefault="00C15F2E" w:rsidP="008516FD">
            <w:pPr>
              <w:ind w:right="227"/>
              <w:jc w:val="left"/>
              <w:rPr>
                <w:color w:val="1C1B23"/>
                <w:sz w:val="16"/>
              </w:rPr>
            </w:pPr>
            <w:r w:rsidRPr="00D96063">
              <w:rPr>
                <w:sz w:val="16"/>
              </w:rPr>
              <w:t>220390</w:t>
            </w:r>
          </w:p>
        </w:tc>
        <w:tc>
          <w:tcPr>
            <w:tcW w:w="3315" w:type="pct"/>
          </w:tcPr>
          <w:p w14:paraId="346560F8" w14:textId="77777777" w:rsidR="00C15F2E" w:rsidRPr="00D96063" w:rsidRDefault="00C15F2E" w:rsidP="00105D48">
            <w:pPr>
              <w:jc w:val="left"/>
              <w:rPr>
                <w:sz w:val="16"/>
              </w:rPr>
            </w:pPr>
            <w:r w:rsidRPr="00D96063">
              <w:rPr>
                <w:sz w:val="16"/>
              </w:rPr>
              <w:t>Beer stout other than indigenous beer, made with:</w:t>
            </w:r>
          </w:p>
          <w:p w14:paraId="3045C942" w14:textId="77777777" w:rsidR="00C15F2E" w:rsidRPr="00D96063" w:rsidRDefault="00C15F2E" w:rsidP="00105D48">
            <w:pPr>
              <w:jc w:val="left"/>
              <w:rPr>
                <w:sz w:val="16"/>
              </w:rPr>
            </w:pPr>
            <w:r w:rsidRPr="00D96063">
              <w:rPr>
                <w:sz w:val="16"/>
              </w:rPr>
              <w:t>Less than 50% of local raw material</w:t>
            </w:r>
          </w:p>
          <w:p w14:paraId="0046C78A" w14:textId="77777777" w:rsidR="00C15F2E" w:rsidRPr="00D96063" w:rsidRDefault="00C15F2E" w:rsidP="00105D48">
            <w:pPr>
              <w:jc w:val="left"/>
              <w:rPr>
                <w:sz w:val="16"/>
              </w:rPr>
            </w:pPr>
            <w:r w:rsidRPr="00D96063">
              <w:rPr>
                <w:sz w:val="16"/>
              </w:rPr>
              <w:t>50%-70% of local raw material</w:t>
            </w:r>
          </w:p>
          <w:p w14:paraId="3661B573" w14:textId="77777777" w:rsidR="00C15F2E" w:rsidRPr="00D96063" w:rsidRDefault="00C15F2E" w:rsidP="00105D48">
            <w:pPr>
              <w:jc w:val="left"/>
              <w:rPr>
                <w:sz w:val="16"/>
              </w:rPr>
            </w:pPr>
            <w:r w:rsidRPr="00D96063">
              <w:rPr>
                <w:sz w:val="16"/>
              </w:rPr>
              <w:t>Above 70% of local raw material</w:t>
            </w:r>
          </w:p>
        </w:tc>
        <w:tc>
          <w:tcPr>
            <w:tcW w:w="901" w:type="pct"/>
          </w:tcPr>
          <w:p w14:paraId="5D7ADF15" w14:textId="77777777" w:rsidR="00C15F2E" w:rsidRPr="00D96063" w:rsidRDefault="00C15F2E" w:rsidP="00105D48">
            <w:pPr>
              <w:ind w:right="283"/>
              <w:jc w:val="right"/>
              <w:rPr>
                <w:sz w:val="16"/>
              </w:rPr>
            </w:pPr>
          </w:p>
          <w:p w14:paraId="4DCD1CD8" w14:textId="77777777" w:rsidR="00C15F2E" w:rsidRPr="00D96063" w:rsidRDefault="00C15F2E" w:rsidP="00105D48">
            <w:pPr>
              <w:ind w:right="283"/>
              <w:jc w:val="right"/>
              <w:rPr>
                <w:sz w:val="16"/>
              </w:rPr>
            </w:pPr>
            <w:r w:rsidRPr="00D96063">
              <w:rPr>
                <w:sz w:val="16"/>
              </w:rPr>
              <w:t>47.5%</w:t>
            </w:r>
          </w:p>
          <w:p w14:paraId="50D859BE" w14:textId="77777777" w:rsidR="00C15F2E" w:rsidRPr="00D96063" w:rsidRDefault="00C15F2E" w:rsidP="00105D48">
            <w:pPr>
              <w:ind w:right="283"/>
              <w:jc w:val="right"/>
              <w:rPr>
                <w:sz w:val="16"/>
              </w:rPr>
            </w:pPr>
            <w:r w:rsidRPr="00D96063">
              <w:rPr>
                <w:sz w:val="16"/>
              </w:rPr>
              <w:t>32.5%</w:t>
            </w:r>
          </w:p>
          <w:p w14:paraId="16F7AE9C" w14:textId="77777777" w:rsidR="00C15F2E" w:rsidRPr="00D96063" w:rsidRDefault="00C15F2E" w:rsidP="00105D48">
            <w:pPr>
              <w:ind w:right="283"/>
              <w:jc w:val="right"/>
              <w:rPr>
                <w:sz w:val="16"/>
              </w:rPr>
            </w:pPr>
            <w:r w:rsidRPr="00D96063">
              <w:rPr>
                <w:sz w:val="16"/>
              </w:rPr>
              <w:t>10%</w:t>
            </w:r>
          </w:p>
        </w:tc>
      </w:tr>
      <w:tr w:rsidR="00C15F2E" w:rsidRPr="00D96063" w14:paraId="29122E2F" w14:textId="77777777" w:rsidTr="00997D10">
        <w:trPr>
          <w:cnfStyle w:val="000000010000" w:firstRow="0" w:lastRow="0" w:firstColumn="0" w:lastColumn="0" w:oddVBand="0" w:evenVBand="0" w:oddHBand="0" w:evenHBand="1" w:firstRowFirstColumn="0" w:firstRowLastColumn="0" w:lastRowFirstColumn="0" w:lastRowLastColumn="0"/>
        </w:trPr>
        <w:tc>
          <w:tcPr>
            <w:tcW w:w="784" w:type="pct"/>
          </w:tcPr>
          <w:p w14:paraId="08D9BC8F" w14:textId="77777777" w:rsidR="00C15F2E" w:rsidRPr="00D96063" w:rsidRDefault="00C15F2E" w:rsidP="008516FD">
            <w:pPr>
              <w:ind w:right="227"/>
              <w:jc w:val="left"/>
              <w:rPr>
                <w:sz w:val="16"/>
              </w:rPr>
            </w:pPr>
            <w:r w:rsidRPr="00D96063">
              <w:rPr>
                <w:sz w:val="16"/>
              </w:rPr>
              <w:t>2204</w:t>
            </w:r>
          </w:p>
        </w:tc>
        <w:tc>
          <w:tcPr>
            <w:tcW w:w="3315" w:type="pct"/>
          </w:tcPr>
          <w:p w14:paraId="24235D2B" w14:textId="77777777" w:rsidR="00C15F2E" w:rsidRPr="00D96063" w:rsidRDefault="00C15F2E" w:rsidP="00105D48">
            <w:pPr>
              <w:jc w:val="left"/>
              <w:rPr>
                <w:sz w:val="16"/>
              </w:rPr>
            </w:pPr>
            <w:r w:rsidRPr="00D96063">
              <w:rPr>
                <w:sz w:val="16"/>
              </w:rPr>
              <w:t>Wines, including sparkling wine</w:t>
            </w:r>
          </w:p>
        </w:tc>
        <w:tc>
          <w:tcPr>
            <w:tcW w:w="901" w:type="pct"/>
          </w:tcPr>
          <w:p w14:paraId="7BB9FC54" w14:textId="77777777" w:rsidR="00C15F2E" w:rsidRPr="00D96063" w:rsidRDefault="00C15F2E" w:rsidP="00105D48">
            <w:pPr>
              <w:ind w:right="283"/>
              <w:jc w:val="right"/>
              <w:rPr>
                <w:sz w:val="16"/>
              </w:rPr>
            </w:pPr>
            <w:r w:rsidRPr="00D96063">
              <w:rPr>
                <w:sz w:val="16"/>
              </w:rPr>
              <w:t>22.5%</w:t>
            </w:r>
          </w:p>
        </w:tc>
      </w:tr>
      <w:tr w:rsidR="00C15F2E" w:rsidRPr="00D96063" w14:paraId="5D3B665F" w14:textId="77777777" w:rsidTr="00997D10">
        <w:tc>
          <w:tcPr>
            <w:tcW w:w="784" w:type="pct"/>
          </w:tcPr>
          <w:p w14:paraId="39828ABB" w14:textId="77777777" w:rsidR="00C15F2E" w:rsidRPr="00D96063" w:rsidRDefault="00C15F2E" w:rsidP="008516FD">
            <w:pPr>
              <w:ind w:right="227"/>
              <w:jc w:val="left"/>
              <w:rPr>
                <w:color w:val="1C1B23"/>
                <w:sz w:val="16"/>
              </w:rPr>
            </w:pPr>
            <w:r w:rsidRPr="00D96063">
              <w:rPr>
                <w:color w:val="1C1B23"/>
                <w:sz w:val="16"/>
              </w:rPr>
              <w:t>2206001000</w:t>
            </w:r>
          </w:p>
        </w:tc>
        <w:tc>
          <w:tcPr>
            <w:tcW w:w="3315" w:type="pct"/>
          </w:tcPr>
          <w:p w14:paraId="6010F09D" w14:textId="77777777" w:rsidR="00C15F2E" w:rsidRPr="00D96063" w:rsidRDefault="00C15F2E" w:rsidP="00105D48">
            <w:pPr>
              <w:jc w:val="left"/>
              <w:rPr>
                <w:sz w:val="16"/>
              </w:rPr>
            </w:pPr>
            <w:r w:rsidRPr="00D96063">
              <w:rPr>
                <w:sz w:val="16"/>
              </w:rPr>
              <w:t>Cider beer</w:t>
            </w:r>
          </w:p>
        </w:tc>
        <w:tc>
          <w:tcPr>
            <w:tcW w:w="901" w:type="pct"/>
          </w:tcPr>
          <w:p w14:paraId="04EB9839" w14:textId="77777777" w:rsidR="00C15F2E" w:rsidRPr="00D96063" w:rsidRDefault="00C15F2E" w:rsidP="00105D48">
            <w:pPr>
              <w:ind w:right="283"/>
              <w:jc w:val="right"/>
              <w:rPr>
                <w:sz w:val="16"/>
              </w:rPr>
            </w:pPr>
            <w:r w:rsidRPr="00D96063">
              <w:rPr>
                <w:sz w:val="16"/>
              </w:rPr>
              <w:t>17.5%</w:t>
            </w:r>
          </w:p>
        </w:tc>
      </w:tr>
      <w:tr w:rsidR="00C15F2E" w:rsidRPr="00D96063" w14:paraId="5CD98B99" w14:textId="77777777" w:rsidTr="00997D10">
        <w:trPr>
          <w:cnfStyle w:val="000000010000" w:firstRow="0" w:lastRow="0" w:firstColumn="0" w:lastColumn="0" w:oddVBand="0" w:evenVBand="0" w:oddHBand="0" w:evenHBand="1" w:firstRowFirstColumn="0" w:firstRowLastColumn="0" w:lastRowFirstColumn="0" w:lastRowLastColumn="0"/>
          <w:trHeight w:val="976"/>
        </w:trPr>
        <w:tc>
          <w:tcPr>
            <w:tcW w:w="784" w:type="pct"/>
            <w:tcBorders>
              <w:bottom w:val="nil"/>
            </w:tcBorders>
          </w:tcPr>
          <w:p w14:paraId="4AD33609" w14:textId="77777777" w:rsidR="00C15F2E" w:rsidRPr="00D96063" w:rsidRDefault="00C15F2E" w:rsidP="008516FD">
            <w:pPr>
              <w:keepNext/>
              <w:ind w:right="227"/>
              <w:jc w:val="left"/>
              <w:rPr>
                <w:sz w:val="16"/>
              </w:rPr>
            </w:pPr>
            <w:r w:rsidRPr="00D96063">
              <w:rPr>
                <w:sz w:val="16"/>
              </w:rPr>
              <w:t>2208</w:t>
            </w:r>
          </w:p>
        </w:tc>
        <w:tc>
          <w:tcPr>
            <w:tcW w:w="3315" w:type="pct"/>
            <w:tcBorders>
              <w:bottom w:val="nil"/>
            </w:tcBorders>
          </w:tcPr>
          <w:p w14:paraId="23CCC3D9" w14:textId="77777777" w:rsidR="00C15F2E" w:rsidRPr="00D96063" w:rsidRDefault="00C15F2E" w:rsidP="00105D48">
            <w:pPr>
              <w:keepNext/>
              <w:jc w:val="left"/>
              <w:rPr>
                <w:sz w:val="16"/>
              </w:rPr>
            </w:pPr>
            <w:r w:rsidRPr="00D96063">
              <w:rPr>
                <w:sz w:val="16"/>
              </w:rPr>
              <w:t>Spirits:</w:t>
            </w:r>
          </w:p>
          <w:p w14:paraId="018227BD" w14:textId="77777777" w:rsidR="00C15F2E" w:rsidRPr="00D96063" w:rsidRDefault="00C15F2E" w:rsidP="00105D48">
            <w:pPr>
              <w:keepNext/>
              <w:jc w:val="left"/>
              <w:rPr>
                <w:sz w:val="16"/>
              </w:rPr>
            </w:pPr>
            <w:r w:rsidRPr="00D96063">
              <w:rPr>
                <w:sz w:val="16"/>
              </w:rPr>
              <w:t>(a) Distilled or rectified, blended or compounded</w:t>
            </w:r>
          </w:p>
          <w:p w14:paraId="793B3135" w14:textId="637C332F" w:rsidR="00C15F2E" w:rsidRPr="00D96063" w:rsidRDefault="00C15F2E" w:rsidP="00105D48">
            <w:pPr>
              <w:keepNext/>
              <w:jc w:val="left"/>
              <w:rPr>
                <w:sz w:val="16"/>
              </w:rPr>
            </w:pPr>
            <w:r w:rsidRPr="00D96063">
              <w:rPr>
                <w:sz w:val="16"/>
              </w:rPr>
              <w:t>(b) For use solely in laboratories or in the compounding of drugs</w:t>
            </w:r>
          </w:p>
          <w:p w14:paraId="6EDBBD42" w14:textId="108440A3" w:rsidR="00C15F2E" w:rsidRPr="00D96063" w:rsidRDefault="00C15F2E" w:rsidP="00105D48">
            <w:pPr>
              <w:keepNext/>
              <w:jc w:val="left"/>
              <w:rPr>
                <w:sz w:val="16"/>
              </w:rPr>
            </w:pPr>
            <w:r w:rsidRPr="00D96063">
              <w:rPr>
                <w:sz w:val="16"/>
              </w:rPr>
              <w:t>(c) Denatured to the satisfaction of the Commissioner-General</w:t>
            </w:r>
          </w:p>
          <w:p w14:paraId="7EF86DDB" w14:textId="77777777" w:rsidR="00C15F2E" w:rsidRPr="00D96063" w:rsidRDefault="00C15F2E" w:rsidP="00105D48">
            <w:pPr>
              <w:keepNext/>
              <w:jc w:val="left"/>
              <w:rPr>
                <w:sz w:val="16"/>
              </w:rPr>
            </w:pPr>
            <w:r w:rsidRPr="00D96063">
              <w:rPr>
                <w:sz w:val="16"/>
              </w:rPr>
              <w:t>(d) "Akpeteshie"</w:t>
            </w:r>
          </w:p>
        </w:tc>
        <w:tc>
          <w:tcPr>
            <w:tcW w:w="901" w:type="pct"/>
            <w:tcBorders>
              <w:bottom w:val="nil"/>
            </w:tcBorders>
          </w:tcPr>
          <w:p w14:paraId="1B9B6585" w14:textId="77777777" w:rsidR="00C15F2E" w:rsidRPr="00D96063" w:rsidRDefault="00C15F2E" w:rsidP="00105D48">
            <w:pPr>
              <w:keepNext/>
              <w:ind w:right="283"/>
              <w:jc w:val="right"/>
              <w:rPr>
                <w:color w:val="1C1B23"/>
                <w:sz w:val="16"/>
              </w:rPr>
            </w:pPr>
          </w:p>
          <w:p w14:paraId="339255A4" w14:textId="77777777" w:rsidR="00C15F2E" w:rsidRPr="00D96063" w:rsidRDefault="00C15F2E" w:rsidP="00105D48">
            <w:pPr>
              <w:keepNext/>
              <w:ind w:right="283"/>
              <w:jc w:val="right"/>
              <w:rPr>
                <w:sz w:val="16"/>
              </w:rPr>
            </w:pPr>
            <w:r w:rsidRPr="00D96063">
              <w:rPr>
                <w:color w:val="1C1B23"/>
                <w:sz w:val="16"/>
              </w:rPr>
              <w:t>25%</w:t>
            </w:r>
          </w:p>
          <w:p w14:paraId="0FEC4282" w14:textId="77777777" w:rsidR="00C15F2E" w:rsidRPr="00D96063" w:rsidRDefault="00C15F2E" w:rsidP="00105D48">
            <w:pPr>
              <w:keepNext/>
              <w:ind w:right="283"/>
              <w:jc w:val="right"/>
              <w:rPr>
                <w:sz w:val="16"/>
              </w:rPr>
            </w:pPr>
            <w:r w:rsidRPr="00D96063">
              <w:rPr>
                <w:color w:val="1C1B23"/>
                <w:sz w:val="16"/>
              </w:rPr>
              <w:t>0%</w:t>
            </w:r>
          </w:p>
          <w:p w14:paraId="75C0251A" w14:textId="77777777" w:rsidR="00C15F2E" w:rsidRPr="00D96063" w:rsidRDefault="00C15F2E" w:rsidP="00105D48">
            <w:pPr>
              <w:keepNext/>
              <w:ind w:right="283"/>
              <w:jc w:val="right"/>
              <w:rPr>
                <w:color w:val="1C1B23"/>
                <w:sz w:val="16"/>
              </w:rPr>
            </w:pPr>
            <w:r w:rsidRPr="00D96063">
              <w:rPr>
                <w:sz w:val="16"/>
              </w:rPr>
              <w:t>10%</w:t>
            </w:r>
          </w:p>
          <w:p w14:paraId="675C5945" w14:textId="77777777" w:rsidR="00C15F2E" w:rsidRPr="00D96063" w:rsidRDefault="00C15F2E" w:rsidP="00105D48">
            <w:pPr>
              <w:keepNext/>
              <w:ind w:right="283"/>
              <w:jc w:val="right"/>
              <w:rPr>
                <w:sz w:val="16"/>
              </w:rPr>
            </w:pPr>
            <w:r w:rsidRPr="00D96063">
              <w:rPr>
                <w:sz w:val="16"/>
              </w:rPr>
              <w:t>20%</w:t>
            </w:r>
          </w:p>
        </w:tc>
      </w:tr>
      <w:tr w:rsidR="00C15F2E" w:rsidRPr="00D96063" w14:paraId="021EDA62" w14:textId="77777777" w:rsidTr="00997D10">
        <w:trPr>
          <w:trHeight w:val="982"/>
        </w:trPr>
        <w:tc>
          <w:tcPr>
            <w:tcW w:w="784" w:type="pct"/>
            <w:tcBorders>
              <w:top w:val="nil"/>
              <w:bottom w:val="nil"/>
            </w:tcBorders>
          </w:tcPr>
          <w:p w14:paraId="20CD5D20" w14:textId="77777777" w:rsidR="00C15F2E" w:rsidRPr="00D96063" w:rsidRDefault="00C15F2E" w:rsidP="008516FD">
            <w:pPr>
              <w:ind w:right="227"/>
              <w:jc w:val="left"/>
              <w:rPr>
                <w:sz w:val="16"/>
              </w:rPr>
            </w:pPr>
            <w:r w:rsidRPr="00D96063">
              <w:rPr>
                <w:sz w:val="16"/>
              </w:rPr>
              <w:t>2402</w:t>
            </w:r>
          </w:p>
        </w:tc>
        <w:tc>
          <w:tcPr>
            <w:tcW w:w="3315" w:type="pct"/>
            <w:tcBorders>
              <w:top w:val="nil"/>
              <w:bottom w:val="nil"/>
            </w:tcBorders>
            <w:shd w:val="clear" w:color="auto" w:fill="auto"/>
          </w:tcPr>
          <w:p w14:paraId="017A67BA" w14:textId="77777777" w:rsidR="00C15F2E" w:rsidRPr="00D96063" w:rsidRDefault="00C15F2E" w:rsidP="00105D48">
            <w:pPr>
              <w:jc w:val="left"/>
              <w:rPr>
                <w:sz w:val="16"/>
              </w:rPr>
            </w:pPr>
            <w:r w:rsidRPr="00D96063">
              <w:rPr>
                <w:sz w:val="16"/>
              </w:rPr>
              <w:t>Tobacco products</w:t>
            </w:r>
          </w:p>
          <w:p w14:paraId="4FE9E88A" w14:textId="77777777" w:rsidR="00C15F2E" w:rsidRPr="00D96063" w:rsidRDefault="00C15F2E" w:rsidP="00105D48">
            <w:pPr>
              <w:jc w:val="left"/>
              <w:rPr>
                <w:sz w:val="16"/>
              </w:rPr>
            </w:pPr>
            <w:r w:rsidRPr="00D96063">
              <w:rPr>
                <w:sz w:val="16"/>
              </w:rPr>
              <w:t>(a) Cigarettes</w:t>
            </w:r>
          </w:p>
          <w:p w14:paraId="5B8AE926" w14:textId="030750DF" w:rsidR="00C15F2E" w:rsidRPr="00D96063" w:rsidRDefault="00C15F2E" w:rsidP="00105D48">
            <w:pPr>
              <w:jc w:val="left"/>
              <w:rPr>
                <w:sz w:val="16"/>
              </w:rPr>
            </w:pPr>
            <w:r w:rsidRPr="00D96063">
              <w:rPr>
                <w:sz w:val="16"/>
              </w:rPr>
              <w:t>(b) Cigars</w:t>
            </w:r>
          </w:p>
          <w:p w14:paraId="7B1F3523" w14:textId="77777777" w:rsidR="00C15F2E" w:rsidRPr="00D96063" w:rsidRDefault="00C15F2E" w:rsidP="00105D48">
            <w:pPr>
              <w:jc w:val="left"/>
              <w:rPr>
                <w:sz w:val="16"/>
              </w:rPr>
            </w:pPr>
            <w:r w:rsidRPr="00D96063">
              <w:rPr>
                <w:sz w:val="16"/>
              </w:rPr>
              <w:t>(c) Negrohead</w:t>
            </w:r>
          </w:p>
          <w:p w14:paraId="774673DA" w14:textId="77777777" w:rsidR="00C15F2E" w:rsidRPr="00D96063" w:rsidRDefault="00C15F2E" w:rsidP="00105D48">
            <w:pPr>
              <w:jc w:val="left"/>
              <w:rPr>
                <w:sz w:val="16"/>
              </w:rPr>
            </w:pPr>
            <w:r w:rsidRPr="00D96063">
              <w:rPr>
                <w:sz w:val="16"/>
              </w:rPr>
              <w:t>(d) Snuff and other tobacco</w:t>
            </w:r>
          </w:p>
        </w:tc>
        <w:tc>
          <w:tcPr>
            <w:tcW w:w="901" w:type="pct"/>
            <w:tcBorders>
              <w:top w:val="nil"/>
              <w:bottom w:val="nil"/>
            </w:tcBorders>
            <w:shd w:val="clear" w:color="auto" w:fill="auto"/>
          </w:tcPr>
          <w:p w14:paraId="64D76103" w14:textId="77777777" w:rsidR="00C15F2E" w:rsidRPr="00D96063" w:rsidRDefault="00C15F2E" w:rsidP="00105D48">
            <w:pPr>
              <w:ind w:right="283"/>
              <w:jc w:val="right"/>
              <w:rPr>
                <w:sz w:val="16"/>
              </w:rPr>
            </w:pPr>
          </w:p>
          <w:p w14:paraId="35B1A2CE" w14:textId="77777777" w:rsidR="00C15F2E" w:rsidRPr="00D96063" w:rsidRDefault="00C15F2E" w:rsidP="00105D48">
            <w:pPr>
              <w:ind w:right="283"/>
              <w:jc w:val="right"/>
              <w:rPr>
                <w:sz w:val="16"/>
              </w:rPr>
            </w:pPr>
            <w:r w:rsidRPr="00D96063">
              <w:rPr>
                <w:sz w:val="16"/>
              </w:rPr>
              <w:t>175%</w:t>
            </w:r>
          </w:p>
          <w:p w14:paraId="7ABF9631" w14:textId="77777777" w:rsidR="00C15F2E" w:rsidRPr="00D96063" w:rsidRDefault="00C15F2E" w:rsidP="00105D48">
            <w:pPr>
              <w:ind w:right="283"/>
              <w:jc w:val="right"/>
              <w:rPr>
                <w:sz w:val="16"/>
              </w:rPr>
            </w:pPr>
            <w:r w:rsidRPr="00D96063">
              <w:rPr>
                <w:sz w:val="16"/>
              </w:rPr>
              <w:t>175%</w:t>
            </w:r>
          </w:p>
          <w:p w14:paraId="22F1E271" w14:textId="77777777" w:rsidR="00C15F2E" w:rsidRPr="00D96063" w:rsidRDefault="00C15F2E" w:rsidP="00105D48">
            <w:pPr>
              <w:ind w:right="283"/>
              <w:jc w:val="right"/>
              <w:rPr>
                <w:sz w:val="16"/>
              </w:rPr>
            </w:pPr>
            <w:r w:rsidRPr="00D96063">
              <w:rPr>
                <w:color w:val="1C1B23"/>
                <w:sz w:val="16"/>
              </w:rPr>
              <w:t>GHS 12/kg</w:t>
            </w:r>
          </w:p>
          <w:p w14:paraId="3488E0A5" w14:textId="77777777" w:rsidR="00C15F2E" w:rsidRPr="00D96063" w:rsidRDefault="00C15F2E" w:rsidP="00105D48">
            <w:pPr>
              <w:ind w:right="283"/>
              <w:jc w:val="right"/>
              <w:rPr>
                <w:sz w:val="16"/>
              </w:rPr>
            </w:pPr>
            <w:r w:rsidRPr="00D96063">
              <w:rPr>
                <w:sz w:val="16"/>
              </w:rPr>
              <w:t>170%</w:t>
            </w:r>
          </w:p>
        </w:tc>
      </w:tr>
      <w:tr w:rsidR="00C15F2E" w:rsidRPr="00D96063" w14:paraId="2926F30F" w14:textId="77777777" w:rsidTr="00997D10">
        <w:trPr>
          <w:cnfStyle w:val="000000010000" w:firstRow="0" w:lastRow="0" w:firstColumn="0" w:lastColumn="0" w:oddVBand="0" w:evenVBand="0" w:oddHBand="0" w:evenHBand="1" w:firstRowFirstColumn="0" w:firstRowLastColumn="0" w:lastRowFirstColumn="0" w:lastRowLastColumn="0"/>
          <w:trHeight w:val="48"/>
        </w:trPr>
        <w:tc>
          <w:tcPr>
            <w:tcW w:w="784" w:type="pct"/>
            <w:tcBorders>
              <w:top w:val="nil"/>
              <w:bottom w:val="nil"/>
            </w:tcBorders>
          </w:tcPr>
          <w:p w14:paraId="74AC9D2B" w14:textId="77777777" w:rsidR="00C15F2E" w:rsidRPr="00D96063" w:rsidRDefault="00C15F2E" w:rsidP="008516FD">
            <w:pPr>
              <w:ind w:right="227"/>
              <w:jc w:val="left"/>
              <w:rPr>
                <w:sz w:val="16"/>
              </w:rPr>
            </w:pPr>
            <w:r w:rsidRPr="00D96063">
              <w:rPr>
                <w:sz w:val="16"/>
              </w:rPr>
              <w:t>3919, 3920</w:t>
            </w:r>
          </w:p>
        </w:tc>
        <w:tc>
          <w:tcPr>
            <w:tcW w:w="3315" w:type="pct"/>
            <w:tcBorders>
              <w:top w:val="nil"/>
              <w:bottom w:val="nil"/>
            </w:tcBorders>
          </w:tcPr>
          <w:p w14:paraId="1D1663FA" w14:textId="77777777" w:rsidR="00C15F2E" w:rsidRPr="00D96063" w:rsidRDefault="00C15F2E" w:rsidP="00105D48">
            <w:pPr>
              <w:jc w:val="left"/>
              <w:rPr>
                <w:sz w:val="16"/>
              </w:rPr>
            </w:pPr>
            <w:r w:rsidRPr="00D96063">
              <w:rPr>
                <w:sz w:val="16"/>
              </w:rPr>
              <w:t>Plastic plates, sheets, film, foil, tape, strip and other shapes</w:t>
            </w:r>
          </w:p>
        </w:tc>
        <w:tc>
          <w:tcPr>
            <w:tcW w:w="901" w:type="pct"/>
            <w:tcBorders>
              <w:top w:val="nil"/>
              <w:bottom w:val="nil"/>
            </w:tcBorders>
          </w:tcPr>
          <w:p w14:paraId="7F0620D8" w14:textId="77777777" w:rsidR="00C15F2E" w:rsidRPr="00D96063" w:rsidRDefault="00C15F2E" w:rsidP="00105D48">
            <w:pPr>
              <w:ind w:right="283"/>
              <w:jc w:val="right"/>
              <w:rPr>
                <w:sz w:val="16"/>
              </w:rPr>
            </w:pPr>
            <w:r w:rsidRPr="00D96063">
              <w:rPr>
                <w:sz w:val="16"/>
              </w:rPr>
              <w:t>10%</w:t>
            </w:r>
          </w:p>
        </w:tc>
      </w:tr>
      <w:tr w:rsidR="00C15F2E" w:rsidRPr="00D96063" w14:paraId="31BF06ED" w14:textId="77777777" w:rsidTr="00997D10">
        <w:trPr>
          <w:trHeight w:val="245"/>
        </w:trPr>
        <w:tc>
          <w:tcPr>
            <w:tcW w:w="784" w:type="pct"/>
            <w:tcBorders>
              <w:top w:val="nil"/>
              <w:bottom w:val="single" w:sz="4" w:space="0" w:color="auto"/>
            </w:tcBorders>
          </w:tcPr>
          <w:p w14:paraId="56475233" w14:textId="77777777" w:rsidR="00C15F2E" w:rsidRPr="00D96063" w:rsidRDefault="00C15F2E" w:rsidP="008516FD">
            <w:pPr>
              <w:ind w:right="227"/>
              <w:jc w:val="left"/>
              <w:rPr>
                <w:sz w:val="16"/>
              </w:rPr>
            </w:pPr>
            <w:r w:rsidRPr="00D96063">
              <w:rPr>
                <w:sz w:val="16"/>
              </w:rPr>
              <w:t>3923, 6305</w:t>
            </w:r>
          </w:p>
        </w:tc>
        <w:tc>
          <w:tcPr>
            <w:tcW w:w="3315" w:type="pct"/>
            <w:tcBorders>
              <w:top w:val="nil"/>
              <w:bottom w:val="single" w:sz="4" w:space="0" w:color="auto"/>
            </w:tcBorders>
          </w:tcPr>
          <w:p w14:paraId="092960DF" w14:textId="77777777" w:rsidR="00C15F2E" w:rsidRPr="00D96063" w:rsidRDefault="00C15F2E" w:rsidP="00105D48">
            <w:pPr>
              <w:jc w:val="left"/>
              <w:rPr>
                <w:sz w:val="16"/>
              </w:rPr>
            </w:pPr>
            <w:r w:rsidRPr="00D96063">
              <w:rPr>
                <w:color w:val="1C1B23"/>
                <w:sz w:val="16"/>
              </w:rPr>
              <w:t>Sacks and bags, bottles and other articles for the packing of goods, of plastic</w:t>
            </w:r>
          </w:p>
        </w:tc>
        <w:tc>
          <w:tcPr>
            <w:tcW w:w="901" w:type="pct"/>
            <w:tcBorders>
              <w:top w:val="nil"/>
              <w:bottom w:val="single" w:sz="4" w:space="0" w:color="auto"/>
            </w:tcBorders>
          </w:tcPr>
          <w:p w14:paraId="13760589" w14:textId="77777777" w:rsidR="00C15F2E" w:rsidRPr="00D96063" w:rsidRDefault="00C15F2E" w:rsidP="00105D48">
            <w:pPr>
              <w:ind w:right="283"/>
              <w:jc w:val="right"/>
              <w:rPr>
                <w:sz w:val="16"/>
              </w:rPr>
            </w:pPr>
            <w:r w:rsidRPr="00D96063">
              <w:rPr>
                <w:sz w:val="16"/>
              </w:rPr>
              <w:t>10%</w:t>
            </w:r>
          </w:p>
        </w:tc>
      </w:tr>
    </w:tbl>
    <w:p w14:paraId="087987BF" w14:textId="77777777" w:rsidR="00C15F2E" w:rsidRPr="00D96063" w:rsidRDefault="00C15F2E" w:rsidP="00E101A6">
      <w:pPr>
        <w:pStyle w:val="NoteText"/>
        <w:spacing w:before="120" w:after="120"/>
        <w:rPr>
          <w:lang w:eastAsia="en-GB"/>
        </w:rPr>
      </w:pPr>
      <w:r w:rsidRPr="00D96063">
        <w:t>Source</w:t>
      </w:r>
      <w:r w:rsidRPr="00D96063">
        <w:rPr>
          <w:lang w:eastAsia="en-GB"/>
        </w:rPr>
        <w:t>:</w:t>
      </w:r>
      <w:r w:rsidRPr="00D96063">
        <w:rPr>
          <w:lang w:eastAsia="en-GB"/>
        </w:rPr>
        <w:tab/>
        <w:t>2016 Tariff Interpretation Order, and information provided by the authorities.</w:t>
      </w:r>
    </w:p>
    <w:p w14:paraId="39594F1A" w14:textId="77777777" w:rsidR="00C15F2E" w:rsidRPr="00D96063" w:rsidRDefault="00C15F2E" w:rsidP="00E101A6">
      <w:pPr>
        <w:pStyle w:val="Heading4"/>
        <w:numPr>
          <w:ilvl w:val="3"/>
          <w:numId w:val="16"/>
        </w:numPr>
      </w:pPr>
      <w:bookmarkStart w:id="112" w:name="_Toc103607675"/>
      <w:bookmarkEnd w:id="111"/>
      <w:r w:rsidRPr="00D96063">
        <w:t>Other taxes and levies</w:t>
      </w:r>
      <w:bookmarkEnd w:id="112"/>
    </w:p>
    <w:p w14:paraId="323C726F" w14:textId="260AD2AE" w:rsidR="00C15F2E" w:rsidRPr="00D96063" w:rsidRDefault="00C15F2E" w:rsidP="001D4050">
      <w:pPr>
        <w:pStyle w:val="BodyText"/>
        <w:numPr>
          <w:ilvl w:val="6"/>
          <w:numId w:val="16"/>
        </w:numPr>
        <w:rPr>
          <w:b/>
          <w:bCs/>
        </w:rPr>
      </w:pPr>
      <w:bookmarkStart w:id="113" w:name="_Hlk95376076"/>
      <w:r w:rsidRPr="00D96063">
        <w:t>Ghana's legislative instruments provide for numerous levies and other charges on imports, and their number has increased considerably since the previous Review in 2014 (Table 3.7). Newly introduced levies include the African Union Levy (2017), Ghana Education Fund Levy (2018), COVID</w:t>
      </w:r>
      <w:r w:rsidRPr="00D96063">
        <w:rPr>
          <w:rFonts w:ascii="Cambria Math" w:hAnsi="Cambria Math" w:cs="Cambria Math"/>
        </w:rPr>
        <w:t>‑</w:t>
      </w:r>
      <w:r w:rsidRPr="00D96063">
        <w:t>19 Health Recovery Levy (2021), National Health Insurance Levy (2021), Ghana EXIM Bank Levy (2016), Sanitation and Pollution Levy (2021), Petroleum Tax (2021), as well as three energy sector levies (2021). The Special Import Levy (1%-2%) was abolished in 2017.</w:t>
      </w:r>
    </w:p>
    <w:p w14:paraId="53FEEBEF" w14:textId="6F2F106F" w:rsidR="00C15F2E" w:rsidRPr="00D96063" w:rsidRDefault="00C15F2E" w:rsidP="001D4050">
      <w:pPr>
        <w:pStyle w:val="BodyText"/>
        <w:numPr>
          <w:ilvl w:val="6"/>
          <w:numId w:val="16"/>
        </w:numPr>
        <w:rPr>
          <w:b/>
          <w:bCs/>
        </w:rPr>
      </w:pPr>
      <w:r w:rsidRPr="00D96063">
        <w:t>The Ghana Shippers' Authority levies from shipping lines a service charge of 2% of gross freight value of all freight entering or leaving Ghana by any means of maritime transport, and remits to the Ghana Maritime Authority 50% of this amount.</w:t>
      </w:r>
      <w:r w:rsidRPr="00D96063">
        <w:rPr>
          <w:rFonts w:cs="Arial"/>
          <w:szCs w:val="18"/>
          <w:vertAlign w:val="superscript"/>
        </w:rPr>
        <w:footnoteReference w:id="55"/>
      </w:r>
    </w:p>
    <w:p w14:paraId="75AE00F8" w14:textId="77777777" w:rsidR="00C15F2E" w:rsidRPr="00D96063" w:rsidRDefault="00C15F2E" w:rsidP="00603343">
      <w:pPr>
        <w:pStyle w:val="BodyText"/>
        <w:numPr>
          <w:ilvl w:val="6"/>
          <w:numId w:val="16"/>
        </w:numPr>
      </w:pPr>
      <w:r w:rsidRPr="00D96063">
        <w:t>In total, these border levies add several percentage points to the ECOWAS tariff, depending on the product. Several levies and charges, currently levied on imports, may run counter to Articles 6.1 and 6.2 of the TFA. To address these issues, MOTI has formed a Technical Working Group on Fees and Charges made up of the principal government entities involved in border management and some of the major trade associations. The recommendations made by this group have yet to be published.</w:t>
      </w:r>
    </w:p>
    <w:p w14:paraId="2F681F6F" w14:textId="4B05123F" w:rsidR="00C15F2E" w:rsidRPr="00D96063" w:rsidRDefault="00C15F2E" w:rsidP="00DB5F40">
      <w:pPr>
        <w:pStyle w:val="Caption"/>
      </w:pPr>
      <w:bookmarkStart w:id="114" w:name="_Toc103607888"/>
      <w:bookmarkEnd w:id="113"/>
      <w:r w:rsidRPr="00D96063">
        <w:t xml:space="preserve">Table </w:t>
      </w:r>
      <w:fldSimple w:instr=" STYLEREF 1 \s ">
        <w:r w:rsidR="004B63B1">
          <w:rPr>
            <w:noProof/>
          </w:rPr>
          <w:t>3</w:t>
        </w:r>
      </w:fldSimple>
      <w:r w:rsidR="00BF3184">
        <w:t>.</w:t>
      </w:r>
      <w:fldSimple w:instr=" SEQ Table \* ARABIC \s 1 ">
        <w:r w:rsidR="004B63B1">
          <w:rPr>
            <w:noProof/>
          </w:rPr>
          <w:t>7</w:t>
        </w:r>
      </w:fldSimple>
      <w:r w:rsidRPr="00D96063">
        <w:t xml:space="preserve"> Taxes, levies, and charges applied to imported goods</w:t>
      </w:r>
      <w:bookmarkEnd w:id="114"/>
    </w:p>
    <w:tbl>
      <w:tblPr>
        <w:tblStyle w:val="WTOTable1"/>
        <w:tblW w:w="0" w:type="auto"/>
        <w:tblLayout w:type="fixed"/>
        <w:tblLook w:val="04A0" w:firstRow="1" w:lastRow="0" w:firstColumn="1" w:lastColumn="0" w:noHBand="0" w:noVBand="1"/>
      </w:tblPr>
      <w:tblGrid>
        <w:gridCol w:w="2547"/>
        <w:gridCol w:w="1417"/>
        <w:gridCol w:w="2268"/>
        <w:gridCol w:w="2784"/>
      </w:tblGrid>
      <w:tr w:rsidR="00C15F2E" w:rsidRPr="00D96063" w14:paraId="56D8B6AB" w14:textId="77777777" w:rsidTr="00790917">
        <w:trPr>
          <w:cnfStyle w:val="100000000000" w:firstRow="1" w:lastRow="0" w:firstColumn="0" w:lastColumn="0" w:oddVBand="0" w:evenVBand="0" w:oddHBand="0" w:evenHBand="0" w:firstRowFirstColumn="0" w:firstRowLastColumn="0" w:lastRowFirstColumn="0" w:lastRowLastColumn="0"/>
          <w:tblHeader/>
        </w:trPr>
        <w:tc>
          <w:tcPr>
            <w:tcW w:w="2547" w:type="dxa"/>
            <w:hideMark/>
          </w:tcPr>
          <w:p w14:paraId="488AAA2F" w14:textId="77777777" w:rsidR="00C15F2E" w:rsidRPr="00D96063" w:rsidRDefault="00C15F2E" w:rsidP="00997D10">
            <w:pPr>
              <w:jc w:val="center"/>
              <w:rPr>
                <w:color w:val="FFFFFF" w:themeColor="background1"/>
                <w:sz w:val="14"/>
                <w:szCs w:val="14"/>
              </w:rPr>
            </w:pPr>
            <w:r w:rsidRPr="00D96063">
              <w:rPr>
                <w:color w:val="FFFFFF" w:themeColor="background1"/>
                <w:sz w:val="14"/>
                <w:szCs w:val="14"/>
              </w:rPr>
              <w:t>Name (date introduced)</w:t>
            </w:r>
          </w:p>
        </w:tc>
        <w:tc>
          <w:tcPr>
            <w:tcW w:w="1417" w:type="dxa"/>
            <w:hideMark/>
          </w:tcPr>
          <w:p w14:paraId="0AAFA425" w14:textId="77777777" w:rsidR="00C15F2E" w:rsidRPr="00D96063" w:rsidRDefault="00C15F2E" w:rsidP="008516FD">
            <w:pPr>
              <w:jc w:val="left"/>
              <w:rPr>
                <w:color w:val="FFFFFF" w:themeColor="background1"/>
                <w:sz w:val="14"/>
                <w:szCs w:val="14"/>
              </w:rPr>
            </w:pPr>
            <w:r w:rsidRPr="00D96063">
              <w:rPr>
                <w:color w:val="FFFFFF" w:themeColor="background1"/>
                <w:sz w:val="14"/>
                <w:szCs w:val="14"/>
              </w:rPr>
              <w:t>Rate</w:t>
            </w:r>
          </w:p>
        </w:tc>
        <w:tc>
          <w:tcPr>
            <w:tcW w:w="2268" w:type="dxa"/>
            <w:hideMark/>
          </w:tcPr>
          <w:p w14:paraId="0F38D578" w14:textId="77777777" w:rsidR="00C15F2E" w:rsidRPr="00D96063" w:rsidRDefault="00C15F2E" w:rsidP="008516FD">
            <w:pPr>
              <w:jc w:val="left"/>
              <w:rPr>
                <w:color w:val="FFFFFF" w:themeColor="background1"/>
                <w:sz w:val="14"/>
                <w:szCs w:val="14"/>
              </w:rPr>
            </w:pPr>
            <w:r w:rsidRPr="00D96063">
              <w:rPr>
                <w:color w:val="FFFFFF" w:themeColor="background1"/>
                <w:sz w:val="14"/>
                <w:szCs w:val="14"/>
              </w:rPr>
              <w:t>Taxation base</w:t>
            </w:r>
          </w:p>
        </w:tc>
        <w:tc>
          <w:tcPr>
            <w:tcW w:w="2784" w:type="dxa"/>
            <w:hideMark/>
          </w:tcPr>
          <w:p w14:paraId="12620EA6" w14:textId="77777777" w:rsidR="00C15F2E" w:rsidRPr="00D96063" w:rsidRDefault="00C15F2E" w:rsidP="008516FD">
            <w:pPr>
              <w:jc w:val="left"/>
              <w:rPr>
                <w:color w:val="FFFFFF" w:themeColor="background1"/>
                <w:sz w:val="14"/>
                <w:szCs w:val="14"/>
              </w:rPr>
            </w:pPr>
            <w:r w:rsidRPr="00D96063">
              <w:rPr>
                <w:color w:val="FFFFFF" w:themeColor="background1"/>
                <w:sz w:val="14"/>
                <w:szCs w:val="14"/>
              </w:rPr>
              <w:t>Regulation</w:t>
            </w:r>
          </w:p>
        </w:tc>
      </w:tr>
      <w:tr w:rsidR="00C15F2E" w:rsidRPr="00D96063" w14:paraId="26D1A81A" w14:textId="77777777" w:rsidTr="00825B8E">
        <w:tc>
          <w:tcPr>
            <w:tcW w:w="9016" w:type="dxa"/>
            <w:gridSpan w:val="4"/>
          </w:tcPr>
          <w:p w14:paraId="52E49915" w14:textId="77777777" w:rsidR="00C15F2E" w:rsidRPr="00D96063" w:rsidRDefault="00C15F2E" w:rsidP="001D4050">
            <w:pPr>
              <w:jc w:val="left"/>
              <w:rPr>
                <w:b/>
                <w:bCs/>
                <w:sz w:val="14"/>
                <w:szCs w:val="14"/>
              </w:rPr>
            </w:pPr>
            <w:r w:rsidRPr="00D96063">
              <w:rPr>
                <w:b/>
                <w:bCs/>
                <w:sz w:val="14"/>
                <w:szCs w:val="14"/>
              </w:rPr>
              <w:t>Taxes and levies</w:t>
            </w:r>
          </w:p>
        </w:tc>
      </w:tr>
      <w:tr w:rsidR="00C15F2E" w:rsidRPr="00D96063" w14:paraId="30A30196"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tcPr>
          <w:p w14:paraId="542AAF62" w14:textId="77777777" w:rsidR="00C15F2E" w:rsidRPr="00D96063" w:rsidRDefault="00C15F2E" w:rsidP="00790917">
            <w:pPr>
              <w:jc w:val="left"/>
              <w:rPr>
                <w:sz w:val="14"/>
                <w:szCs w:val="14"/>
              </w:rPr>
            </w:pPr>
            <w:r w:rsidRPr="00D96063">
              <w:rPr>
                <w:sz w:val="14"/>
                <w:szCs w:val="14"/>
              </w:rPr>
              <w:t>VAT (2017)</w:t>
            </w:r>
          </w:p>
        </w:tc>
        <w:tc>
          <w:tcPr>
            <w:tcW w:w="1417" w:type="dxa"/>
          </w:tcPr>
          <w:p w14:paraId="04971673" w14:textId="77777777" w:rsidR="00C15F2E" w:rsidRPr="00D96063" w:rsidRDefault="00C15F2E" w:rsidP="008516FD">
            <w:pPr>
              <w:ind w:right="113"/>
              <w:jc w:val="left"/>
              <w:rPr>
                <w:sz w:val="14"/>
                <w:szCs w:val="14"/>
              </w:rPr>
            </w:pPr>
            <w:r w:rsidRPr="00D96063">
              <w:rPr>
                <w:sz w:val="14"/>
                <w:szCs w:val="14"/>
              </w:rPr>
              <w:t>12.5%</w:t>
            </w:r>
          </w:p>
        </w:tc>
        <w:tc>
          <w:tcPr>
            <w:tcW w:w="2268" w:type="dxa"/>
          </w:tcPr>
          <w:p w14:paraId="3344F712" w14:textId="77777777" w:rsidR="00C15F2E" w:rsidRPr="00D96063" w:rsidRDefault="00C15F2E" w:rsidP="00790917">
            <w:pPr>
              <w:jc w:val="left"/>
              <w:rPr>
                <w:sz w:val="14"/>
                <w:szCs w:val="14"/>
              </w:rPr>
            </w:pPr>
            <w:r w:rsidRPr="00D96063">
              <w:rPr>
                <w:sz w:val="14"/>
                <w:szCs w:val="14"/>
              </w:rPr>
              <w:t>Value of taxable supplies</w:t>
            </w:r>
          </w:p>
        </w:tc>
        <w:tc>
          <w:tcPr>
            <w:tcW w:w="2784" w:type="dxa"/>
          </w:tcPr>
          <w:p w14:paraId="77C73757" w14:textId="77777777" w:rsidR="00C15F2E" w:rsidRPr="00D96063" w:rsidRDefault="00C15F2E" w:rsidP="00790917">
            <w:pPr>
              <w:jc w:val="left"/>
              <w:rPr>
                <w:sz w:val="14"/>
                <w:szCs w:val="14"/>
              </w:rPr>
            </w:pPr>
            <w:r w:rsidRPr="00D96063">
              <w:rPr>
                <w:sz w:val="14"/>
                <w:szCs w:val="14"/>
              </w:rPr>
              <w:t>VAT Tax Act, 2013 (Act 870) as amended by VAT (Amendment) Act, 2017 (Act 948)</w:t>
            </w:r>
          </w:p>
        </w:tc>
      </w:tr>
      <w:tr w:rsidR="00C15F2E" w:rsidRPr="00D96063" w14:paraId="1B94741E" w14:textId="77777777" w:rsidTr="00790917">
        <w:tc>
          <w:tcPr>
            <w:tcW w:w="2547" w:type="dxa"/>
          </w:tcPr>
          <w:p w14:paraId="7880B06E" w14:textId="77777777" w:rsidR="00C15F2E" w:rsidRPr="00D96063" w:rsidRDefault="00C15F2E" w:rsidP="00790917">
            <w:pPr>
              <w:jc w:val="left"/>
              <w:rPr>
                <w:sz w:val="14"/>
                <w:szCs w:val="14"/>
              </w:rPr>
            </w:pPr>
            <w:r w:rsidRPr="00D96063">
              <w:rPr>
                <w:sz w:val="14"/>
                <w:szCs w:val="14"/>
              </w:rPr>
              <w:t>Excise tax (2016)</w:t>
            </w:r>
          </w:p>
        </w:tc>
        <w:tc>
          <w:tcPr>
            <w:tcW w:w="1417" w:type="dxa"/>
          </w:tcPr>
          <w:p w14:paraId="7BFD5D19" w14:textId="77777777" w:rsidR="00C15F2E" w:rsidRPr="00D96063" w:rsidRDefault="00C15F2E" w:rsidP="008516FD">
            <w:pPr>
              <w:ind w:right="113"/>
              <w:jc w:val="left"/>
              <w:rPr>
                <w:sz w:val="14"/>
                <w:szCs w:val="14"/>
              </w:rPr>
            </w:pPr>
            <w:r w:rsidRPr="00D96063">
              <w:rPr>
                <w:sz w:val="14"/>
                <w:szCs w:val="14"/>
              </w:rPr>
              <w:t>0-175%</w:t>
            </w:r>
          </w:p>
        </w:tc>
        <w:tc>
          <w:tcPr>
            <w:tcW w:w="2268" w:type="dxa"/>
          </w:tcPr>
          <w:p w14:paraId="41E99313" w14:textId="77777777" w:rsidR="00C15F2E" w:rsidRPr="00D96063" w:rsidRDefault="00C15F2E" w:rsidP="00790917">
            <w:pPr>
              <w:jc w:val="left"/>
              <w:rPr>
                <w:sz w:val="14"/>
                <w:szCs w:val="14"/>
              </w:rPr>
            </w:pPr>
            <w:r w:rsidRPr="00D96063">
              <w:rPr>
                <w:sz w:val="14"/>
                <w:szCs w:val="14"/>
              </w:rPr>
              <w:t>Value of domestic production and c.i.f. value of imported goods</w:t>
            </w:r>
          </w:p>
          <w:p w14:paraId="38BC17A5" w14:textId="77777777" w:rsidR="00C15F2E" w:rsidRPr="00D96063" w:rsidRDefault="00C15F2E" w:rsidP="00790917">
            <w:pPr>
              <w:jc w:val="left"/>
              <w:rPr>
                <w:sz w:val="14"/>
                <w:szCs w:val="14"/>
              </w:rPr>
            </w:pPr>
          </w:p>
        </w:tc>
        <w:tc>
          <w:tcPr>
            <w:tcW w:w="2784" w:type="dxa"/>
          </w:tcPr>
          <w:p w14:paraId="22E3E352" w14:textId="77777777" w:rsidR="00C15F2E" w:rsidRPr="00D96063" w:rsidRDefault="00C15F2E" w:rsidP="00790917">
            <w:pPr>
              <w:jc w:val="left"/>
              <w:rPr>
                <w:sz w:val="14"/>
                <w:szCs w:val="14"/>
              </w:rPr>
            </w:pPr>
            <w:r w:rsidRPr="00D96063">
              <w:rPr>
                <w:sz w:val="14"/>
                <w:szCs w:val="14"/>
              </w:rPr>
              <w:t>Excise Duty Regulations, 2016 (L.I. 2242)</w:t>
            </w:r>
          </w:p>
        </w:tc>
      </w:tr>
      <w:tr w:rsidR="00C15F2E" w:rsidRPr="00D96063" w14:paraId="24990226"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tcPr>
          <w:p w14:paraId="293766A3" w14:textId="77777777" w:rsidR="00C15F2E" w:rsidRPr="00D96063" w:rsidRDefault="00C15F2E" w:rsidP="00790917">
            <w:pPr>
              <w:jc w:val="left"/>
              <w:rPr>
                <w:sz w:val="14"/>
                <w:szCs w:val="14"/>
              </w:rPr>
            </w:pPr>
            <w:r w:rsidRPr="00D96063">
              <w:rPr>
                <w:sz w:val="14"/>
                <w:szCs w:val="14"/>
              </w:rPr>
              <w:lastRenderedPageBreak/>
              <w:t>ECOWAS Levy (2003)</w:t>
            </w:r>
          </w:p>
        </w:tc>
        <w:tc>
          <w:tcPr>
            <w:tcW w:w="1417" w:type="dxa"/>
          </w:tcPr>
          <w:p w14:paraId="4D69367C" w14:textId="77777777" w:rsidR="00C15F2E" w:rsidRPr="00D96063" w:rsidRDefault="00C15F2E" w:rsidP="008516FD">
            <w:pPr>
              <w:ind w:right="113"/>
              <w:jc w:val="left"/>
              <w:rPr>
                <w:sz w:val="14"/>
                <w:szCs w:val="14"/>
              </w:rPr>
            </w:pPr>
            <w:r w:rsidRPr="00D96063">
              <w:rPr>
                <w:sz w:val="14"/>
                <w:szCs w:val="14"/>
              </w:rPr>
              <w:t>0.5%</w:t>
            </w:r>
          </w:p>
        </w:tc>
        <w:tc>
          <w:tcPr>
            <w:tcW w:w="2268" w:type="dxa"/>
          </w:tcPr>
          <w:p w14:paraId="585C0086" w14:textId="77777777" w:rsidR="00C15F2E" w:rsidRPr="00D96063" w:rsidRDefault="00C15F2E" w:rsidP="008516FD">
            <w:pPr>
              <w:jc w:val="left"/>
              <w:rPr>
                <w:sz w:val="14"/>
                <w:szCs w:val="14"/>
              </w:rPr>
            </w:pPr>
            <w:r w:rsidRPr="00D96063">
              <w:rPr>
                <w:sz w:val="14"/>
                <w:szCs w:val="14"/>
              </w:rPr>
              <w:t>c.i.f. value excluding duties, on imports from outside ECOWAS</w:t>
            </w:r>
          </w:p>
        </w:tc>
        <w:tc>
          <w:tcPr>
            <w:tcW w:w="2784" w:type="dxa"/>
          </w:tcPr>
          <w:p w14:paraId="5C8CE779" w14:textId="77777777" w:rsidR="00C15F2E" w:rsidRPr="00D96063" w:rsidRDefault="00C15F2E" w:rsidP="008516FD">
            <w:pPr>
              <w:jc w:val="left"/>
              <w:rPr>
                <w:sz w:val="14"/>
                <w:szCs w:val="14"/>
              </w:rPr>
            </w:pPr>
            <w:r w:rsidRPr="00D96063">
              <w:rPr>
                <w:sz w:val="14"/>
                <w:szCs w:val="14"/>
              </w:rPr>
              <w:t xml:space="preserve"> </w:t>
            </w:r>
          </w:p>
        </w:tc>
      </w:tr>
      <w:tr w:rsidR="00C15F2E" w:rsidRPr="00D96063" w14:paraId="6CDCD4B6" w14:textId="77777777" w:rsidTr="00790917">
        <w:tc>
          <w:tcPr>
            <w:tcW w:w="2547" w:type="dxa"/>
            <w:hideMark/>
          </w:tcPr>
          <w:p w14:paraId="1CF42294" w14:textId="77777777" w:rsidR="00C15F2E" w:rsidRPr="00D96063" w:rsidRDefault="00C15F2E" w:rsidP="00790917">
            <w:pPr>
              <w:jc w:val="left"/>
              <w:rPr>
                <w:sz w:val="14"/>
                <w:szCs w:val="14"/>
              </w:rPr>
            </w:pPr>
            <w:r w:rsidRPr="00D96063">
              <w:rPr>
                <w:sz w:val="14"/>
                <w:szCs w:val="14"/>
              </w:rPr>
              <w:t>Ghana EXIM Bank Levy (2016)</w:t>
            </w:r>
          </w:p>
        </w:tc>
        <w:tc>
          <w:tcPr>
            <w:tcW w:w="1417" w:type="dxa"/>
            <w:hideMark/>
          </w:tcPr>
          <w:p w14:paraId="5CDF5923" w14:textId="77777777" w:rsidR="00C15F2E" w:rsidRPr="00D96063" w:rsidRDefault="00C15F2E" w:rsidP="008516FD">
            <w:pPr>
              <w:ind w:right="113"/>
              <w:jc w:val="left"/>
              <w:rPr>
                <w:sz w:val="14"/>
                <w:szCs w:val="14"/>
              </w:rPr>
            </w:pPr>
            <w:r w:rsidRPr="00D96063">
              <w:rPr>
                <w:sz w:val="14"/>
                <w:szCs w:val="14"/>
              </w:rPr>
              <w:t>0.75%</w:t>
            </w:r>
          </w:p>
        </w:tc>
        <w:tc>
          <w:tcPr>
            <w:tcW w:w="2268" w:type="dxa"/>
            <w:hideMark/>
          </w:tcPr>
          <w:p w14:paraId="7F6B7797" w14:textId="77777777" w:rsidR="00C15F2E" w:rsidRPr="00D96063" w:rsidRDefault="00C15F2E" w:rsidP="008516FD">
            <w:pPr>
              <w:jc w:val="left"/>
              <w:rPr>
                <w:sz w:val="14"/>
                <w:szCs w:val="14"/>
              </w:rPr>
            </w:pPr>
            <w:r w:rsidRPr="00D96063">
              <w:rPr>
                <w:sz w:val="14"/>
                <w:szCs w:val="14"/>
              </w:rPr>
              <w:t>c.i.f. value excluding duties, all except petroleum products</w:t>
            </w:r>
          </w:p>
        </w:tc>
        <w:tc>
          <w:tcPr>
            <w:tcW w:w="2784" w:type="dxa"/>
          </w:tcPr>
          <w:p w14:paraId="58D7E0ED" w14:textId="77777777" w:rsidR="00C15F2E" w:rsidRPr="00D96063" w:rsidRDefault="00C15F2E" w:rsidP="008516FD">
            <w:pPr>
              <w:jc w:val="left"/>
              <w:rPr>
                <w:sz w:val="14"/>
                <w:szCs w:val="14"/>
              </w:rPr>
            </w:pPr>
            <w:r w:rsidRPr="00D96063">
              <w:rPr>
                <w:sz w:val="14"/>
                <w:szCs w:val="14"/>
              </w:rPr>
              <w:t>Ghana Export-Import Bank Act, 2016 (Act 911)</w:t>
            </w:r>
          </w:p>
        </w:tc>
      </w:tr>
      <w:tr w:rsidR="00C15F2E" w:rsidRPr="00D96063" w14:paraId="38A28A0C"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hideMark/>
          </w:tcPr>
          <w:p w14:paraId="6ED94A8B" w14:textId="77777777" w:rsidR="00C15F2E" w:rsidRPr="00D96063" w:rsidRDefault="00C15F2E" w:rsidP="00790917">
            <w:pPr>
              <w:jc w:val="left"/>
              <w:rPr>
                <w:sz w:val="14"/>
                <w:szCs w:val="14"/>
              </w:rPr>
            </w:pPr>
            <w:r w:rsidRPr="00D96063">
              <w:rPr>
                <w:sz w:val="14"/>
                <w:szCs w:val="14"/>
              </w:rPr>
              <w:t>Environmental tax (2013)</w:t>
            </w:r>
          </w:p>
        </w:tc>
        <w:tc>
          <w:tcPr>
            <w:tcW w:w="1417" w:type="dxa"/>
            <w:hideMark/>
          </w:tcPr>
          <w:p w14:paraId="210D9D3A" w14:textId="77777777" w:rsidR="00C15F2E" w:rsidRPr="00D96063" w:rsidRDefault="00C15F2E" w:rsidP="008516FD">
            <w:pPr>
              <w:ind w:right="113"/>
              <w:jc w:val="left"/>
              <w:rPr>
                <w:sz w:val="14"/>
                <w:szCs w:val="14"/>
              </w:rPr>
            </w:pPr>
            <w:r w:rsidRPr="00D96063">
              <w:rPr>
                <w:sz w:val="14"/>
                <w:szCs w:val="14"/>
              </w:rPr>
              <w:t>10%</w:t>
            </w:r>
          </w:p>
        </w:tc>
        <w:tc>
          <w:tcPr>
            <w:tcW w:w="2268" w:type="dxa"/>
            <w:hideMark/>
          </w:tcPr>
          <w:p w14:paraId="22556EBF" w14:textId="77777777" w:rsidR="00C15F2E" w:rsidRPr="00D96063" w:rsidRDefault="00C15F2E" w:rsidP="008516FD">
            <w:pPr>
              <w:jc w:val="left"/>
              <w:rPr>
                <w:sz w:val="14"/>
                <w:szCs w:val="14"/>
              </w:rPr>
            </w:pPr>
            <w:r w:rsidRPr="00D96063">
              <w:rPr>
                <w:sz w:val="14"/>
                <w:szCs w:val="14"/>
              </w:rPr>
              <w:t>c.i.f. value excluding duties, plastic items of HS Chapter 39</w:t>
            </w:r>
          </w:p>
        </w:tc>
        <w:tc>
          <w:tcPr>
            <w:tcW w:w="2784" w:type="dxa"/>
          </w:tcPr>
          <w:p w14:paraId="42866376" w14:textId="77777777" w:rsidR="00C15F2E" w:rsidRPr="00D96063" w:rsidRDefault="00C15F2E" w:rsidP="008516FD">
            <w:pPr>
              <w:jc w:val="left"/>
              <w:rPr>
                <w:sz w:val="14"/>
                <w:szCs w:val="14"/>
              </w:rPr>
            </w:pPr>
            <w:r w:rsidRPr="00D96063">
              <w:rPr>
                <w:sz w:val="14"/>
                <w:szCs w:val="14"/>
              </w:rPr>
              <w:t>Environmental Tax Act, 2013 (Act 863)</w:t>
            </w:r>
          </w:p>
        </w:tc>
      </w:tr>
      <w:tr w:rsidR="00C15F2E" w:rsidRPr="00D96063" w14:paraId="6ABB2CA8" w14:textId="77777777" w:rsidTr="00790917">
        <w:tc>
          <w:tcPr>
            <w:tcW w:w="2547" w:type="dxa"/>
            <w:hideMark/>
          </w:tcPr>
          <w:p w14:paraId="4E96C294" w14:textId="77777777" w:rsidR="00C15F2E" w:rsidRPr="00D96063" w:rsidRDefault="00C15F2E" w:rsidP="00790917">
            <w:pPr>
              <w:jc w:val="left"/>
              <w:rPr>
                <w:sz w:val="14"/>
                <w:szCs w:val="14"/>
              </w:rPr>
            </w:pPr>
            <w:r w:rsidRPr="00D96063">
              <w:rPr>
                <w:sz w:val="14"/>
                <w:szCs w:val="14"/>
              </w:rPr>
              <w:t>African Union Levy (2017)</w:t>
            </w:r>
          </w:p>
        </w:tc>
        <w:tc>
          <w:tcPr>
            <w:tcW w:w="1417" w:type="dxa"/>
          </w:tcPr>
          <w:p w14:paraId="08B387E7" w14:textId="77777777" w:rsidR="00C15F2E" w:rsidRPr="00D96063" w:rsidRDefault="00C15F2E" w:rsidP="008516FD">
            <w:pPr>
              <w:ind w:right="113"/>
              <w:jc w:val="left"/>
              <w:rPr>
                <w:sz w:val="14"/>
                <w:szCs w:val="14"/>
              </w:rPr>
            </w:pPr>
            <w:r w:rsidRPr="00D96063">
              <w:rPr>
                <w:sz w:val="14"/>
                <w:szCs w:val="14"/>
              </w:rPr>
              <w:t>0.2%</w:t>
            </w:r>
          </w:p>
        </w:tc>
        <w:tc>
          <w:tcPr>
            <w:tcW w:w="2268" w:type="dxa"/>
            <w:hideMark/>
          </w:tcPr>
          <w:p w14:paraId="6A715E1D" w14:textId="77777777" w:rsidR="00C15F2E" w:rsidRPr="00D96063" w:rsidRDefault="00C15F2E" w:rsidP="008516FD">
            <w:pPr>
              <w:jc w:val="left"/>
              <w:rPr>
                <w:sz w:val="14"/>
                <w:szCs w:val="14"/>
              </w:rPr>
            </w:pPr>
            <w:r w:rsidRPr="00D96063">
              <w:rPr>
                <w:sz w:val="14"/>
                <w:szCs w:val="14"/>
              </w:rPr>
              <w:t>c.i.f. value excluding duties, on all imports from outside the African Union</w:t>
            </w:r>
          </w:p>
        </w:tc>
        <w:tc>
          <w:tcPr>
            <w:tcW w:w="2784" w:type="dxa"/>
          </w:tcPr>
          <w:p w14:paraId="1A347D64" w14:textId="77777777" w:rsidR="00C15F2E" w:rsidRPr="00D96063" w:rsidRDefault="00C15F2E" w:rsidP="008516FD">
            <w:pPr>
              <w:jc w:val="left"/>
              <w:rPr>
                <w:sz w:val="14"/>
                <w:szCs w:val="14"/>
              </w:rPr>
            </w:pPr>
            <w:r w:rsidRPr="00D96063">
              <w:rPr>
                <w:sz w:val="14"/>
                <w:szCs w:val="14"/>
              </w:rPr>
              <w:t>African Union Import Levy Act, 2017 (Act 952)</w:t>
            </w:r>
          </w:p>
        </w:tc>
      </w:tr>
      <w:tr w:rsidR="00C15F2E" w:rsidRPr="00D96063" w14:paraId="7E07272E"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tcPr>
          <w:p w14:paraId="29AD263D" w14:textId="77777777" w:rsidR="00C15F2E" w:rsidRPr="00D96063" w:rsidRDefault="00C15F2E" w:rsidP="00790917">
            <w:pPr>
              <w:jc w:val="left"/>
              <w:rPr>
                <w:sz w:val="14"/>
                <w:szCs w:val="14"/>
              </w:rPr>
            </w:pPr>
            <w:bookmarkStart w:id="115" w:name="_Hlk84837238"/>
            <w:r w:rsidRPr="00D96063">
              <w:rPr>
                <w:sz w:val="14"/>
                <w:szCs w:val="14"/>
              </w:rPr>
              <w:t>National Health Insurance Levy (</w:t>
            </w:r>
            <w:r w:rsidRPr="00D96063">
              <w:rPr>
                <w:bCs/>
                <w:sz w:val="14"/>
                <w:szCs w:val="14"/>
              </w:rPr>
              <w:t>2021</w:t>
            </w:r>
            <w:r w:rsidRPr="00D96063">
              <w:rPr>
                <w:sz w:val="14"/>
                <w:szCs w:val="14"/>
              </w:rPr>
              <w:t xml:space="preserve">) </w:t>
            </w:r>
            <w:bookmarkEnd w:id="115"/>
          </w:p>
        </w:tc>
        <w:tc>
          <w:tcPr>
            <w:tcW w:w="1417" w:type="dxa"/>
          </w:tcPr>
          <w:p w14:paraId="72A0B9A4" w14:textId="77777777" w:rsidR="00C15F2E" w:rsidRPr="00D96063" w:rsidRDefault="00C15F2E" w:rsidP="008516FD">
            <w:pPr>
              <w:ind w:right="113"/>
              <w:jc w:val="left"/>
              <w:rPr>
                <w:sz w:val="14"/>
                <w:szCs w:val="14"/>
              </w:rPr>
            </w:pPr>
            <w:r w:rsidRPr="00D96063">
              <w:rPr>
                <w:sz w:val="14"/>
                <w:szCs w:val="14"/>
              </w:rPr>
              <w:t>3.5%</w:t>
            </w:r>
          </w:p>
        </w:tc>
        <w:tc>
          <w:tcPr>
            <w:tcW w:w="2268" w:type="dxa"/>
          </w:tcPr>
          <w:p w14:paraId="1AFEAD5C" w14:textId="77777777" w:rsidR="00C15F2E" w:rsidRPr="00D96063" w:rsidRDefault="00C15F2E" w:rsidP="008516FD">
            <w:pPr>
              <w:jc w:val="left"/>
              <w:rPr>
                <w:sz w:val="14"/>
                <w:szCs w:val="14"/>
              </w:rPr>
            </w:pPr>
            <w:r w:rsidRPr="00D96063">
              <w:rPr>
                <w:sz w:val="14"/>
                <w:szCs w:val="14"/>
              </w:rPr>
              <w:t>Domestic products and services; c.i.f. value of imported goods including customs duties; imports of services</w:t>
            </w:r>
          </w:p>
        </w:tc>
        <w:tc>
          <w:tcPr>
            <w:tcW w:w="2784" w:type="dxa"/>
          </w:tcPr>
          <w:p w14:paraId="374D61BD" w14:textId="77777777" w:rsidR="00C15F2E" w:rsidRPr="00D96063" w:rsidRDefault="00C15F2E" w:rsidP="008516FD">
            <w:pPr>
              <w:jc w:val="left"/>
              <w:rPr>
                <w:sz w:val="14"/>
                <w:szCs w:val="14"/>
              </w:rPr>
            </w:pPr>
            <w:r w:rsidRPr="00D96063">
              <w:rPr>
                <w:sz w:val="14"/>
                <w:szCs w:val="14"/>
              </w:rPr>
              <w:t>Value Added Tax Act,</w:t>
            </w:r>
          </w:p>
          <w:p w14:paraId="2EAB55CB" w14:textId="77777777" w:rsidR="00C15F2E" w:rsidRPr="00D96063" w:rsidRDefault="00C15F2E" w:rsidP="008516FD">
            <w:pPr>
              <w:jc w:val="left"/>
              <w:rPr>
                <w:sz w:val="14"/>
                <w:szCs w:val="14"/>
              </w:rPr>
            </w:pPr>
            <w:r w:rsidRPr="00D96063">
              <w:rPr>
                <w:sz w:val="14"/>
                <w:szCs w:val="14"/>
              </w:rPr>
              <w:t>2021 Budget Statement</w:t>
            </w:r>
          </w:p>
        </w:tc>
      </w:tr>
      <w:tr w:rsidR="00C15F2E" w:rsidRPr="00D96063" w14:paraId="5255F76B" w14:textId="77777777" w:rsidTr="00790917">
        <w:tc>
          <w:tcPr>
            <w:tcW w:w="2547" w:type="dxa"/>
          </w:tcPr>
          <w:p w14:paraId="73771920" w14:textId="77777777" w:rsidR="00C15F2E" w:rsidRPr="00D96063" w:rsidRDefault="00C15F2E" w:rsidP="00790917">
            <w:pPr>
              <w:jc w:val="left"/>
              <w:rPr>
                <w:sz w:val="14"/>
                <w:szCs w:val="14"/>
              </w:rPr>
            </w:pPr>
            <w:r w:rsidRPr="00D96063">
              <w:rPr>
                <w:sz w:val="14"/>
                <w:szCs w:val="14"/>
              </w:rPr>
              <w:t>COVID</w:t>
            </w:r>
            <w:r w:rsidRPr="00D96063">
              <w:rPr>
                <w:rFonts w:ascii="Cambria Math" w:hAnsi="Cambria Math" w:cs="Cambria Math"/>
                <w:sz w:val="14"/>
                <w:szCs w:val="14"/>
              </w:rPr>
              <w:t>‑</w:t>
            </w:r>
            <w:r w:rsidRPr="00D96063">
              <w:rPr>
                <w:sz w:val="14"/>
                <w:szCs w:val="14"/>
              </w:rPr>
              <w:t>19 Health Recovery Levy (</w:t>
            </w:r>
            <w:r w:rsidRPr="00D96063">
              <w:rPr>
                <w:bCs/>
                <w:sz w:val="14"/>
                <w:szCs w:val="14"/>
              </w:rPr>
              <w:t>2021</w:t>
            </w:r>
            <w:r w:rsidRPr="00D96063">
              <w:rPr>
                <w:sz w:val="14"/>
                <w:szCs w:val="14"/>
              </w:rPr>
              <w:t>)</w:t>
            </w:r>
          </w:p>
        </w:tc>
        <w:tc>
          <w:tcPr>
            <w:tcW w:w="1417" w:type="dxa"/>
          </w:tcPr>
          <w:p w14:paraId="3B0BE5EC" w14:textId="77777777" w:rsidR="00C15F2E" w:rsidRPr="00D96063" w:rsidRDefault="00C15F2E" w:rsidP="008516FD">
            <w:pPr>
              <w:ind w:right="113"/>
              <w:jc w:val="left"/>
              <w:rPr>
                <w:sz w:val="14"/>
                <w:szCs w:val="14"/>
              </w:rPr>
            </w:pPr>
            <w:r w:rsidRPr="00D96063">
              <w:rPr>
                <w:sz w:val="14"/>
                <w:szCs w:val="14"/>
              </w:rPr>
              <w:t>1%</w:t>
            </w:r>
          </w:p>
        </w:tc>
        <w:tc>
          <w:tcPr>
            <w:tcW w:w="2268" w:type="dxa"/>
          </w:tcPr>
          <w:p w14:paraId="52806DF8" w14:textId="77777777" w:rsidR="00C15F2E" w:rsidRPr="00D96063" w:rsidRDefault="00C15F2E" w:rsidP="008516FD">
            <w:pPr>
              <w:jc w:val="left"/>
              <w:rPr>
                <w:sz w:val="14"/>
                <w:szCs w:val="14"/>
              </w:rPr>
            </w:pPr>
            <w:r w:rsidRPr="00D96063">
              <w:rPr>
                <w:sz w:val="14"/>
                <w:szCs w:val="14"/>
              </w:rPr>
              <w:t>c.i.f. value excluding duties</w:t>
            </w:r>
          </w:p>
        </w:tc>
        <w:tc>
          <w:tcPr>
            <w:tcW w:w="2784" w:type="dxa"/>
          </w:tcPr>
          <w:p w14:paraId="240797C4" w14:textId="77777777" w:rsidR="00C15F2E" w:rsidRPr="00D96063" w:rsidRDefault="00C15F2E" w:rsidP="008516FD">
            <w:pPr>
              <w:jc w:val="left"/>
              <w:rPr>
                <w:sz w:val="14"/>
                <w:szCs w:val="14"/>
              </w:rPr>
            </w:pPr>
            <w:r w:rsidRPr="00D96063">
              <w:rPr>
                <w:sz w:val="14"/>
                <w:szCs w:val="14"/>
              </w:rPr>
              <w:t>COVID</w:t>
            </w:r>
            <w:r w:rsidRPr="00D96063">
              <w:rPr>
                <w:rFonts w:ascii="Cambria Math" w:hAnsi="Cambria Math" w:cs="Cambria Math"/>
                <w:sz w:val="14"/>
                <w:szCs w:val="14"/>
              </w:rPr>
              <w:t>‑</w:t>
            </w:r>
            <w:r w:rsidRPr="00D96063">
              <w:rPr>
                <w:sz w:val="14"/>
                <w:szCs w:val="14"/>
              </w:rPr>
              <w:t>19 Health Recovery Act, 2021</w:t>
            </w:r>
          </w:p>
        </w:tc>
      </w:tr>
      <w:tr w:rsidR="00C15F2E" w:rsidRPr="00D96063" w14:paraId="2FA6C0EE"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tcPr>
          <w:p w14:paraId="4701AD12" w14:textId="77777777" w:rsidR="00C15F2E" w:rsidRPr="00D96063" w:rsidRDefault="00C15F2E" w:rsidP="00790917">
            <w:pPr>
              <w:jc w:val="left"/>
              <w:rPr>
                <w:sz w:val="14"/>
                <w:szCs w:val="14"/>
              </w:rPr>
            </w:pPr>
            <w:r w:rsidRPr="00D96063">
              <w:rPr>
                <w:sz w:val="14"/>
                <w:szCs w:val="14"/>
              </w:rPr>
              <w:t>Ghana Education Fund Levy (2018)</w:t>
            </w:r>
          </w:p>
        </w:tc>
        <w:tc>
          <w:tcPr>
            <w:tcW w:w="1417" w:type="dxa"/>
          </w:tcPr>
          <w:p w14:paraId="26596647" w14:textId="77777777" w:rsidR="00C15F2E" w:rsidRPr="00D96063" w:rsidRDefault="00C15F2E" w:rsidP="008516FD">
            <w:pPr>
              <w:ind w:right="113"/>
              <w:jc w:val="left"/>
              <w:rPr>
                <w:sz w:val="14"/>
                <w:szCs w:val="14"/>
              </w:rPr>
            </w:pPr>
            <w:r w:rsidRPr="00D96063">
              <w:rPr>
                <w:sz w:val="14"/>
                <w:szCs w:val="14"/>
              </w:rPr>
              <w:t>2.5%</w:t>
            </w:r>
          </w:p>
        </w:tc>
        <w:tc>
          <w:tcPr>
            <w:tcW w:w="2268" w:type="dxa"/>
          </w:tcPr>
          <w:p w14:paraId="4EB58A5C" w14:textId="77777777" w:rsidR="00C15F2E" w:rsidRPr="00D96063" w:rsidRDefault="00C15F2E" w:rsidP="008516FD">
            <w:pPr>
              <w:jc w:val="left"/>
              <w:rPr>
                <w:sz w:val="14"/>
                <w:szCs w:val="14"/>
              </w:rPr>
            </w:pPr>
            <w:r w:rsidRPr="00D96063">
              <w:rPr>
                <w:sz w:val="14"/>
                <w:szCs w:val="14"/>
              </w:rPr>
              <w:t>c.i.f. value excluding duties</w:t>
            </w:r>
          </w:p>
        </w:tc>
        <w:tc>
          <w:tcPr>
            <w:tcW w:w="2784" w:type="dxa"/>
          </w:tcPr>
          <w:p w14:paraId="2589B9B9" w14:textId="77777777" w:rsidR="00C15F2E" w:rsidRPr="00D96063" w:rsidRDefault="00C15F2E" w:rsidP="008516FD">
            <w:pPr>
              <w:jc w:val="left"/>
              <w:rPr>
                <w:sz w:val="14"/>
                <w:szCs w:val="14"/>
              </w:rPr>
            </w:pPr>
            <w:r w:rsidRPr="00D96063">
              <w:rPr>
                <w:sz w:val="14"/>
                <w:szCs w:val="14"/>
              </w:rPr>
              <w:t>Ghana Education Trust Fund (Amendment) Act, 2018 (Act 972)</w:t>
            </w:r>
          </w:p>
        </w:tc>
      </w:tr>
      <w:tr w:rsidR="00C15F2E" w:rsidRPr="00D96063" w14:paraId="1BE403E0" w14:textId="77777777" w:rsidTr="00790917">
        <w:tc>
          <w:tcPr>
            <w:tcW w:w="2547" w:type="dxa"/>
          </w:tcPr>
          <w:p w14:paraId="2B443252" w14:textId="77777777" w:rsidR="00C15F2E" w:rsidRPr="00D96063" w:rsidRDefault="00C15F2E" w:rsidP="00790917">
            <w:pPr>
              <w:jc w:val="left"/>
              <w:rPr>
                <w:sz w:val="14"/>
                <w:szCs w:val="14"/>
              </w:rPr>
            </w:pPr>
            <w:r w:rsidRPr="00D96063">
              <w:rPr>
                <w:sz w:val="14"/>
                <w:szCs w:val="14"/>
              </w:rPr>
              <w:t>Sanitation and Pollution Levy (</w:t>
            </w:r>
            <w:r w:rsidRPr="00D96063">
              <w:rPr>
                <w:bCs/>
                <w:sz w:val="14"/>
                <w:szCs w:val="14"/>
              </w:rPr>
              <w:t>2021</w:t>
            </w:r>
            <w:r w:rsidRPr="00D96063">
              <w:rPr>
                <w:sz w:val="14"/>
                <w:szCs w:val="14"/>
              </w:rPr>
              <w:t>)</w:t>
            </w:r>
          </w:p>
        </w:tc>
        <w:tc>
          <w:tcPr>
            <w:tcW w:w="1417" w:type="dxa"/>
          </w:tcPr>
          <w:p w14:paraId="724B2EAE" w14:textId="77777777" w:rsidR="00C15F2E" w:rsidRPr="00D96063" w:rsidRDefault="00C15F2E" w:rsidP="008516FD">
            <w:pPr>
              <w:ind w:right="113"/>
              <w:jc w:val="left"/>
              <w:rPr>
                <w:sz w:val="14"/>
                <w:szCs w:val="14"/>
              </w:rPr>
            </w:pPr>
            <w:r w:rsidRPr="00D96063">
              <w:rPr>
                <w:sz w:val="14"/>
                <w:szCs w:val="14"/>
              </w:rPr>
              <w:t xml:space="preserve">GHS 0.10 </w:t>
            </w:r>
            <w:r w:rsidRPr="00D96063">
              <w:rPr>
                <w:sz w:val="14"/>
                <w:szCs w:val="14"/>
              </w:rPr>
              <w:br/>
              <w:t>per litre</w:t>
            </w:r>
          </w:p>
        </w:tc>
        <w:tc>
          <w:tcPr>
            <w:tcW w:w="2268" w:type="dxa"/>
          </w:tcPr>
          <w:p w14:paraId="494AC092" w14:textId="77777777" w:rsidR="00C15F2E" w:rsidRPr="00D96063" w:rsidRDefault="00C15F2E" w:rsidP="008516FD">
            <w:pPr>
              <w:jc w:val="left"/>
              <w:rPr>
                <w:sz w:val="14"/>
                <w:szCs w:val="14"/>
              </w:rPr>
            </w:pPr>
            <w:r w:rsidRPr="00D96063">
              <w:rPr>
                <w:sz w:val="14"/>
                <w:szCs w:val="14"/>
              </w:rPr>
              <w:t xml:space="preserve">Sales of petrol and diesel  </w:t>
            </w:r>
          </w:p>
        </w:tc>
        <w:tc>
          <w:tcPr>
            <w:tcW w:w="2784" w:type="dxa"/>
          </w:tcPr>
          <w:p w14:paraId="53CA8884" w14:textId="77777777" w:rsidR="00C15F2E" w:rsidRPr="00D96063" w:rsidRDefault="00C15F2E" w:rsidP="008516FD">
            <w:pPr>
              <w:jc w:val="left"/>
              <w:rPr>
                <w:sz w:val="14"/>
                <w:szCs w:val="14"/>
              </w:rPr>
            </w:pPr>
            <w:r w:rsidRPr="00D96063">
              <w:rPr>
                <w:sz w:val="14"/>
                <w:szCs w:val="14"/>
              </w:rPr>
              <w:t>Energy Sector Levies (Amendment) Act, 2021 (Act 1064)</w:t>
            </w:r>
          </w:p>
        </w:tc>
      </w:tr>
      <w:tr w:rsidR="00C15F2E" w:rsidRPr="00D96063" w14:paraId="58A0620E"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tcPr>
          <w:p w14:paraId="15756CA3" w14:textId="77777777" w:rsidR="00C15F2E" w:rsidRPr="00D96063" w:rsidRDefault="00C15F2E" w:rsidP="00790917">
            <w:pPr>
              <w:jc w:val="left"/>
              <w:rPr>
                <w:sz w:val="14"/>
                <w:szCs w:val="14"/>
              </w:rPr>
            </w:pPr>
            <w:r w:rsidRPr="00D96063">
              <w:rPr>
                <w:sz w:val="14"/>
                <w:szCs w:val="14"/>
              </w:rPr>
              <w:t>Energy Sector Recovery Levy (</w:t>
            </w:r>
            <w:r w:rsidRPr="00D96063">
              <w:rPr>
                <w:bCs/>
                <w:sz w:val="14"/>
                <w:szCs w:val="14"/>
              </w:rPr>
              <w:t>2021</w:t>
            </w:r>
            <w:r w:rsidRPr="00D96063">
              <w:rPr>
                <w:sz w:val="14"/>
                <w:szCs w:val="14"/>
              </w:rPr>
              <w:t>)</w:t>
            </w:r>
          </w:p>
        </w:tc>
        <w:tc>
          <w:tcPr>
            <w:tcW w:w="1417" w:type="dxa"/>
          </w:tcPr>
          <w:p w14:paraId="54D56EE6" w14:textId="77777777" w:rsidR="00C15F2E" w:rsidRPr="00D96063" w:rsidRDefault="00C15F2E" w:rsidP="008516FD">
            <w:pPr>
              <w:ind w:right="113"/>
              <w:jc w:val="left"/>
              <w:rPr>
                <w:sz w:val="14"/>
                <w:szCs w:val="14"/>
              </w:rPr>
            </w:pPr>
            <w:r w:rsidRPr="00D96063">
              <w:rPr>
                <w:sz w:val="14"/>
                <w:szCs w:val="14"/>
              </w:rPr>
              <w:t xml:space="preserve">GHS 0.20 </w:t>
            </w:r>
            <w:r w:rsidRPr="00D96063">
              <w:rPr>
                <w:sz w:val="14"/>
                <w:szCs w:val="14"/>
              </w:rPr>
              <w:br/>
              <w:t>per litre</w:t>
            </w:r>
          </w:p>
          <w:p w14:paraId="1B0C448D" w14:textId="77777777" w:rsidR="00C15F2E" w:rsidRPr="00D96063" w:rsidRDefault="00C15F2E" w:rsidP="008516FD">
            <w:pPr>
              <w:ind w:right="113"/>
              <w:jc w:val="left"/>
              <w:rPr>
                <w:sz w:val="14"/>
                <w:szCs w:val="14"/>
              </w:rPr>
            </w:pPr>
            <w:r w:rsidRPr="00D96063">
              <w:rPr>
                <w:sz w:val="14"/>
                <w:szCs w:val="14"/>
              </w:rPr>
              <w:t xml:space="preserve">GHS 0.18 </w:t>
            </w:r>
            <w:r w:rsidRPr="00D96063">
              <w:rPr>
                <w:sz w:val="14"/>
                <w:szCs w:val="14"/>
              </w:rPr>
              <w:br/>
              <w:t>per litre</w:t>
            </w:r>
          </w:p>
        </w:tc>
        <w:tc>
          <w:tcPr>
            <w:tcW w:w="2268" w:type="dxa"/>
          </w:tcPr>
          <w:p w14:paraId="40AE8447" w14:textId="77777777" w:rsidR="00C15F2E" w:rsidRPr="00D96063" w:rsidRDefault="00C15F2E" w:rsidP="008516FD">
            <w:pPr>
              <w:jc w:val="left"/>
              <w:rPr>
                <w:sz w:val="14"/>
                <w:szCs w:val="14"/>
              </w:rPr>
            </w:pPr>
            <w:r w:rsidRPr="00D96063">
              <w:rPr>
                <w:sz w:val="14"/>
                <w:szCs w:val="14"/>
              </w:rPr>
              <w:t>Sales of petrol, diesel</w:t>
            </w:r>
          </w:p>
          <w:p w14:paraId="02157455" w14:textId="77777777" w:rsidR="00C15F2E" w:rsidRPr="00D96063" w:rsidRDefault="00C15F2E" w:rsidP="008516FD">
            <w:pPr>
              <w:jc w:val="left"/>
              <w:rPr>
                <w:sz w:val="14"/>
                <w:szCs w:val="14"/>
              </w:rPr>
            </w:pPr>
          </w:p>
          <w:p w14:paraId="0C1CA0DF" w14:textId="77777777" w:rsidR="00C15F2E" w:rsidRPr="00D96063" w:rsidRDefault="00C15F2E" w:rsidP="008516FD">
            <w:pPr>
              <w:jc w:val="left"/>
              <w:rPr>
                <w:sz w:val="14"/>
                <w:szCs w:val="14"/>
              </w:rPr>
            </w:pPr>
            <w:r w:rsidRPr="00D96063">
              <w:rPr>
                <w:sz w:val="14"/>
                <w:szCs w:val="14"/>
              </w:rPr>
              <w:t xml:space="preserve">Sales of LPG </w:t>
            </w:r>
          </w:p>
        </w:tc>
        <w:tc>
          <w:tcPr>
            <w:tcW w:w="2784" w:type="dxa"/>
          </w:tcPr>
          <w:p w14:paraId="41544323" w14:textId="77777777" w:rsidR="00C15F2E" w:rsidRPr="00D96063" w:rsidRDefault="00C15F2E" w:rsidP="008516FD">
            <w:pPr>
              <w:jc w:val="left"/>
              <w:rPr>
                <w:sz w:val="14"/>
                <w:szCs w:val="14"/>
              </w:rPr>
            </w:pPr>
            <w:r w:rsidRPr="00D96063">
              <w:rPr>
                <w:sz w:val="14"/>
                <w:szCs w:val="14"/>
              </w:rPr>
              <w:t>Energy Sector Levies (Amendment) Act, 2021 (Act 1064)</w:t>
            </w:r>
          </w:p>
        </w:tc>
      </w:tr>
      <w:tr w:rsidR="00C15F2E" w:rsidRPr="00D96063" w14:paraId="2C34490B" w14:textId="77777777" w:rsidTr="00790917">
        <w:tc>
          <w:tcPr>
            <w:tcW w:w="2547" w:type="dxa"/>
          </w:tcPr>
          <w:p w14:paraId="1BDEA787" w14:textId="77777777" w:rsidR="00C15F2E" w:rsidRPr="00D96063" w:rsidRDefault="00C15F2E" w:rsidP="00790917">
            <w:pPr>
              <w:jc w:val="left"/>
              <w:rPr>
                <w:sz w:val="14"/>
                <w:szCs w:val="14"/>
              </w:rPr>
            </w:pPr>
            <w:r w:rsidRPr="00D96063">
              <w:rPr>
                <w:sz w:val="14"/>
                <w:szCs w:val="14"/>
              </w:rPr>
              <w:t>Energy Debt Recovery Levy (2021)</w:t>
            </w:r>
          </w:p>
        </w:tc>
        <w:tc>
          <w:tcPr>
            <w:tcW w:w="1417" w:type="dxa"/>
          </w:tcPr>
          <w:p w14:paraId="47CDA3DC" w14:textId="77777777" w:rsidR="00C15F2E" w:rsidRPr="00D96063" w:rsidRDefault="00C15F2E" w:rsidP="008516FD">
            <w:pPr>
              <w:ind w:right="113"/>
              <w:jc w:val="left"/>
              <w:rPr>
                <w:sz w:val="14"/>
                <w:szCs w:val="14"/>
              </w:rPr>
            </w:pPr>
            <w:r w:rsidRPr="00D96063">
              <w:rPr>
                <w:sz w:val="14"/>
                <w:szCs w:val="14"/>
              </w:rPr>
              <w:t xml:space="preserve">GHS 0.49 </w:t>
            </w:r>
            <w:r w:rsidRPr="00D96063">
              <w:rPr>
                <w:sz w:val="14"/>
                <w:szCs w:val="14"/>
              </w:rPr>
              <w:br/>
              <w:t>per litre</w:t>
            </w:r>
          </w:p>
          <w:p w14:paraId="37140324" w14:textId="77777777" w:rsidR="00C15F2E" w:rsidRPr="00D96063" w:rsidRDefault="00C15F2E" w:rsidP="008516FD">
            <w:pPr>
              <w:ind w:right="113"/>
              <w:jc w:val="left"/>
              <w:rPr>
                <w:sz w:val="14"/>
                <w:szCs w:val="14"/>
              </w:rPr>
            </w:pPr>
            <w:r w:rsidRPr="00D96063">
              <w:rPr>
                <w:sz w:val="14"/>
                <w:szCs w:val="14"/>
              </w:rPr>
              <w:t xml:space="preserve">GHS 0.41 </w:t>
            </w:r>
            <w:r w:rsidRPr="00D96063">
              <w:rPr>
                <w:sz w:val="14"/>
                <w:szCs w:val="14"/>
              </w:rPr>
              <w:br/>
              <w:t>per litre</w:t>
            </w:r>
          </w:p>
          <w:p w14:paraId="15C95C37" w14:textId="77777777" w:rsidR="00C15F2E" w:rsidRPr="00D96063" w:rsidRDefault="00C15F2E" w:rsidP="008516FD">
            <w:pPr>
              <w:ind w:right="113"/>
              <w:jc w:val="left"/>
              <w:rPr>
                <w:sz w:val="14"/>
                <w:szCs w:val="14"/>
              </w:rPr>
            </w:pPr>
            <w:r w:rsidRPr="00D96063">
              <w:rPr>
                <w:sz w:val="14"/>
                <w:szCs w:val="14"/>
              </w:rPr>
              <w:t xml:space="preserve">GHS 0.03 </w:t>
            </w:r>
            <w:r w:rsidRPr="00D96063">
              <w:rPr>
                <w:sz w:val="14"/>
                <w:szCs w:val="14"/>
              </w:rPr>
              <w:br/>
              <w:t>per litre</w:t>
            </w:r>
          </w:p>
        </w:tc>
        <w:tc>
          <w:tcPr>
            <w:tcW w:w="2268" w:type="dxa"/>
          </w:tcPr>
          <w:p w14:paraId="68E35F2D" w14:textId="77777777" w:rsidR="00C15F2E" w:rsidRPr="00D96063" w:rsidRDefault="00C15F2E" w:rsidP="008516FD">
            <w:pPr>
              <w:jc w:val="left"/>
              <w:rPr>
                <w:sz w:val="14"/>
                <w:szCs w:val="14"/>
              </w:rPr>
            </w:pPr>
            <w:r w:rsidRPr="00D96063">
              <w:rPr>
                <w:sz w:val="14"/>
                <w:szCs w:val="14"/>
              </w:rPr>
              <w:t>Sales of petrol, diesel, and naphtha</w:t>
            </w:r>
          </w:p>
          <w:p w14:paraId="75C74033" w14:textId="77777777" w:rsidR="00C15F2E" w:rsidRPr="00D96063" w:rsidRDefault="00C15F2E" w:rsidP="008516FD">
            <w:pPr>
              <w:jc w:val="left"/>
              <w:rPr>
                <w:sz w:val="14"/>
                <w:szCs w:val="14"/>
              </w:rPr>
            </w:pPr>
            <w:r w:rsidRPr="00D96063">
              <w:rPr>
                <w:sz w:val="14"/>
                <w:szCs w:val="14"/>
              </w:rPr>
              <w:t>Sales of LPG</w:t>
            </w:r>
          </w:p>
          <w:p w14:paraId="77F6D238" w14:textId="77777777" w:rsidR="00C15F2E" w:rsidRPr="00D96063" w:rsidRDefault="00C15F2E" w:rsidP="008516FD">
            <w:pPr>
              <w:jc w:val="left"/>
              <w:rPr>
                <w:sz w:val="14"/>
                <w:szCs w:val="14"/>
              </w:rPr>
            </w:pPr>
          </w:p>
          <w:p w14:paraId="52EBAB8C" w14:textId="77777777" w:rsidR="00C15F2E" w:rsidRPr="00D96063" w:rsidRDefault="00C15F2E" w:rsidP="008516FD">
            <w:pPr>
              <w:jc w:val="left"/>
              <w:rPr>
                <w:sz w:val="14"/>
                <w:szCs w:val="14"/>
              </w:rPr>
            </w:pPr>
            <w:r w:rsidRPr="00D96063">
              <w:rPr>
                <w:sz w:val="14"/>
                <w:szCs w:val="14"/>
              </w:rPr>
              <w:t>Sales of marine gasoil (local)</w:t>
            </w:r>
          </w:p>
        </w:tc>
        <w:tc>
          <w:tcPr>
            <w:tcW w:w="2784" w:type="dxa"/>
          </w:tcPr>
          <w:p w14:paraId="362107C8" w14:textId="77777777" w:rsidR="00C15F2E" w:rsidRPr="00D96063" w:rsidRDefault="00C15F2E" w:rsidP="008516FD">
            <w:pPr>
              <w:jc w:val="left"/>
              <w:rPr>
                <w:sz w:val="14"/>
                <w:szCs w:val="14"/>
              </w:rPr>
            </w:pPr>
            <w:r w:rsidRPr="00D96063">
              <w:rPr>
                <w:sz w:val="14"/>
                <w:szCs w:val="14"/>
              </w:rPr>
              <w:t>Energy Sector Levies (Amendment) Act, 2021 (Act 1064)</w:t>
            </w:r>
          </w:p>
        </w:tc>
      </w:tr>
      <w:tr w:rsidR="00C15F2E" w:rsidRPr="00D96063" w14:paraId="54C46E1F"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tcPr>
          <w:p w14:paraId="6CE2E61D" w14:textId="77777777" w:rsidR="00C15F2E" w:rsidRPr="00D96063" w:rsidRDefault="00C15F2E" w:rsidP="00790917">
            <w:pPr>
              <w:jc w:val="left"/>
              <w:rPr>
                <w:sz w:val="14"/>
                <w:szCs w:val="14"/>
              </w:rPr>
            </w:pPr>
            <w:r w:rsidRPr="00D96063">
              <w:rPr>
                <w:sz w:val="14"/>
                <w:szCs w:val="14"/>
              </w:rPr>
              <w:t>Energy Fund Levy (2021)</w:t>
            </w:r>
          </w:p>
        </w:tc>
        <w:tc>
          <w:tcPr>
            <w:tcW w:w="1417" w:type="dxa"/>
          </w:tcPr>
          <w:p w14:paraId="57A2CC70" w14:textId="77777777" w:rsidR="00C15F2E" w:rsidRPr="00D96063" w:rsidRDefault="00C15F2E" w:rsidP="008516FD">
            <w:pPr>
              <w:ind w:right="113"/>
              <w:jc w:val="left"/>
              <w:rPr>
                <w:sz w:val="14"/>
                <w:szCs w:val="14"/>
              </w:rPr>
            </w:pPr>
            <w:r w:rsidRPr="00D96063">
              <w:rPr>
                <w:sz w:val="14"/>
                <w:szCs w:val="14"/>
              </w:rPr>
              <w:t xml:space="preserve">GHS 0.01 </w:t>
            </w:r>
            <w:r w:rsidRPr="00D96063">
              <w:rPr>
                <w:sz w:val="14"/>
                <w:szCs w:val="14"/>
              </w:rPr>
              <w:br/>
              <w:t>per litre</w:t>
            </w:r>
          </w:p>
        </w:tc>
        <w:tc>
          <w:tcPr>
            <w:tcW w:w="2268" w:type="dxa"/>
          </w:tcPr>
          <w:p w14:paraId="1B89BFBA" w14:textId="77777777" w:rsidR="00C15F2E" w:rsidRPr="00D96063" w:rsidRDefault="00C15F2E" w:rsidP="008516FD">
            <w:pPr>
              <w:jc w:val="left"/>
              <w:rPr>
                <w:sz w:val="14"/>
                <w:szCs w:val="14"/>
              </w:rPr>
            </w:pPr>
            <w:r w:rsidRPr="00D96063">
              <w:rPr>
                <w:sz w:val="14"/>
                <w:szCs w:val="14"/>
              </w:rPr>
              <w:t>Sales of petrol, kerosene, diesel, and naphtha</w:t>
            </w:r>
          </w:p>
        </w:tc>
        <w:tc>
          <w:tcPr>
            <w:tcW w:w="2784" w:type="dxa"/>
          </w:tcPr>
          <w:p w14:paraId="0E8D10A6" w14:textId="77777777" w:rsidR="00C15F2E" w:rsidRPr="00D96063" w:rsidRDefault="00C15F2E" w:rsidP="008516FD">
            <w:pPr>
              <w:jc w:val="left"/>
              <w:rPr>
                <w:sz w:val="14"/>
                <w:szCs w:val="14"/>
              </w:rPr>
            </w:pPr>
            <w:r w:rsidRPr="00D96063">
              <w:rPr>
                <w:sz w:val="14"/>
                <w:szCs w:val="14"/>
              </w:rPr>
              <w:t>Energy Sector Levies (Amendment) Act, 2021 (Act 1064)</w:t>
            </w:r>
          </w:p>
        </w:tc>
      </w:tr>
      <w:tr w:rsidR="00C15F2E" w:rsidRPr="00D96063" w14:paraId="2D88ED0B" w14:textId="77777777" w:rsidTr="00790917">
        <w:tc>
          <w:tcPr>
            <w:tcW w:w="2547" w:type="dxa"/>
          </w:tcPr>
          <w:p w14:paraId="0EC16F7C" w14:textId="77777777" w:rsidR="00C15F2E" w:rsidRPr="00D96063" w:rsidRDefault="00C15F2E" w:rsidP="00790917">
            <w:pPr>
              <w:jc w:val="left"/>
              <w:rPr>
                <w:sz w:val="14"/>
                <w:szCs w:val="14"/>
              </w:rPr>
            </w:pPr>
            <w:r w:rsidRPr="00D96063">
              <w:rPr>
                <w:sz w:val="14"/>
                <w:szCs w:val="14"/>
              </w:rPr>
              <w:t>Special Petroleum Tax (2021)</w:t>
            </w:r>
          </w:p>
        </w:tc>
        <w:tc>
          <w:tcPr>
            <w:tcW w:w="1417" w:type="dxa"/>
          </w:tcPr>
          <w:p w14:paraId="2DDEA1D1" w14:textId="77777777" w:rsidR="00C15F2E" w:rsidRPr="00D96063" w:rsidRDefault="00C15F2E" w:rsidP="008516FD">
            <w:pPr>
              <w:ind w:right="113"/>
              <w:jc w:val="left"/>
              <w:rPr>
                <w:sz w:val="14"/>
                <w:szCs w:val="14"/>
              </w:rPr>
            </w:pPr>
            <w:r w:rsidRPr="00D96063">
              <w:rPr>
                <w:sz w:val="14"/>
                <w:szCs w:val="14"/>
              </w:rPr>
              <w:t xml:space="preserve">GHS 0.46 </w:t>
            </w:r>
            <w:r w:rsidRPr="00D96063">
              <w:rPr>
                <w:sz w:val="14"/>
                <w:szCs w:val="14"/>
              </w:rPr>
              <w:br/>
              <w:t>per litre</w:t>
            </w:r>
          </w:p>
          <w:p w14:paraId="50F2AA7D" w14:textId="77777777" w:rsidR="00C15F2E" w:rsidRPr="00D96063" w:rsidRDefault="00C15F2E" w:rsidP="008516FD">
            <w:pPr>
              <w:ind w:right="113"/>
              <w:jc w:val="left"/>
              <w:rPr>
                <w:sz w:val="14"/>
                <w:szCs w:val="14"/>
              </w:rPr>
            </w:pPr>
            <w:r w:rsidRPr="00D96063">
              <w:rPr>
                <w:sz w:val="14"/>
                <w:szCs w:val="14"/>
              </w:rPr>
              <w:t xml:space="preserve">GHS 0.39 </w:t>
            </w:r>
            <w:r w:rsidRPr="00D96063">
              <w:rPr>
                <w:sz w:val="14"/>
                <w:szCs w:val="14"/>
              </w:rPr>
              <w:br/>
              <w:t>per litre</w:t>
            </w:r>
          </w:p>
          <w:p w14:paraId="088355E7" w14:textId="77777777" w:rsidR="00C15F2E" w:rsidRPr="00D96063" w:rsidRDefault="00C15F2E" w:rsidP="008516FD">
            <w:pPr>
              <w:ind w:right="113"/>
              <w:jc w:val="left"/>
              <w:rPr>
                <w:sz w:val="14"/>
                <w:szCs w:val="14"/>
              </w:rPr>
            </w:pPr>
            <w:r w:rsidRPr="00D96063">
              <w:rPr>
                <w:sz w:val="14"/>
                <w:szCs w:val="14"/>
              </w:rPr>
              <w:t xml:space="preserve">GHS 0.48 </w:t>
            </w:r>
            <w:r w:rsidRPr="00D96063">
              <w:rPr>
                <w:sz w:val="14"/>
                <w:szCs w:val="14"/>
              </w:rPr>
              <w:br/>
              <w:t>per litre</w:t>
            </w:r>
          </w:p>
        </w:tc>
        <w:tc>
          <w:tcPr>
            <w:tcW w:w="2268" w:type="dxa"/>
          </w:tcPr>
          <w:p w14:paraId="31834640" w14:textId="77777777" w:rsidR="00C15F2E" w:rsidRPr="00D96063" w:rsidRDefault="00C15F2E" w:rsidP="008516FD">
            <w:pPr>
              <w:jc w:val="left"/>
              <w:rPr>
                <w:sz w:val="14"/>
                <w:szCs w:val="14"/>
              </w:rPr>
            </w:pPr>
            <w:r w:rsidRPr="00D96063">
              <w:rPr>
                <w:sz w:val="14"/>
                <w:szCs w:val="14"/>
              </w:rPr>
              <w:t>Sales of petrol, diesel, naphtha</w:t>
            </w:r>
          </w:p>
          <w:p w14:paraId="142ADC18" w14:textId="77777777" w:rsidR="00C15F2E" w:rsidRPr="00D96063" w:rsidRDefault="00C15F2E" w:rsidP="008516FD">
            <w:pPr>
              <w:jc w:val="left"/>
              <w:rPr>
                <w:sz w:val="14"/>
                <w:szCs w:val="14"/>
              </w:rPr>
            </w:pPr>
          </w:p>
          <w:p w14:paraId="4B4A4C33" w14:textId="77777777" w:rsidR="00C15F2E" w:rsidRPr="00D96063" w:rsidRDefault="00C15F2E" w:rsidP="008516FD">
            <w:pPr>
              <w:jc w:val="left"/>
              <w:rPr>
                <w:sz w:val="14"/>
                <w:szCs w:val="14"/>
              </w:rPr>
            </w:pPr>
            <w:r w:rsidRPr="00D96063">
              <w:rPr>
                <w:sz w:val="14"/>
                <w:szCs w:val="14"/>
              </w:rPr>
              <w:t>Sales of kerosene</w:t>
            </w:r>
          </w:p>
          <w:p w14:paraId="7C5A254D" w14:textId="77777777" w:rsidR="00C15F2E" w:rsidRPr="00D96063" w:rsidRDefault="00C15F2E" w:rsidP="008516FD">
            <w:pPr>
              <w:jc w:val="left"/>
              <w:rPr>
                <w:sz w:val="14"/>
                <w:szCs w:val="14"/>
              </w:rPr>
            </w:pPr>
          </w:p>
          <w:p w14:paraId="295606F1" w14:textId="77777777" w:rsidR="00C15F2E" w:rsidRPr="00D96063" w:rsidRDefault="00C15F2E" w:rsidP="008516FD">
            <w:pPr>
              <w:jc w:val="left"/>
              <w:rPr>
                <w:sz w:val="14"/>
                <w:szCs w:val="14"/>
              </w:rPr>
            </w:pPr>
            <w:r w:rsidRPr="00D96063">
              <w:rPr>
                <w:sz w:val="14"/>
                <w:szCs w:val="14"/>
              </w:rPr>
              <w:t>Sales of LPG</w:t>
            </w:r>
          </w:p>
        </w:tc>
        <w:tc>
          <w:tcPr>
            <w:tcW w:w="2784" w:type="dxa"/>
          </w:tcPr>
          <w:p w14:paraId="64550AB7" w14:textId="77777777" w:rsidR="00C15F2E" w:rsidRPr="00D96063" w:rsidRDefault="00C15F2E" w:rsidP="008516FD">
            <w:pPr>
              <w:jc w:val="left"/>
              <w:rPr>
                <w:sz w:val="14"/>
                <w:szCs w:val="14"/>
              </w:rPr>
            </w:pPr>
            <w:r w:rsidRPr="00D96063">
              <w:rPr>
                <w:sz w:val="14"/>
                <w:szCs w:val="14"/>
              </w:rPr>
              <w:t>Energy Sector Levies (Amendment) Act, 2021 (Act 1064)</w:t>
            </w:r>
          </w:p>
        </w:tc>
      </w:tr>
      <w:tr w:rsidR="00C15F2E" w:rsidRPr="00D96063" w14:paraId="1A9DB807"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tcPr>
          <w:p w14:paraId="78FA7B4F" w14:textId="77777777" w:rsidR="00C15F2E" w:rsidRPr="00D96063" w:rsidRDefault="00C15F2E" w:rsidP="00790917">
            <w:pPr>
              <w:jc w:val="left"/>
              <w:rPr>
                <w:sz w:val="14"/>
                <w:szCs w:val="14"/>
              </w:rPr>
            </w:pPr>
            <w:r w:rsidRPr="00D96063">
              <w:rPr>
                <w:sz w:val="14"/>
                <w:szCs w:val="14"/>
              </w:rPr>
              <w:t>Penalty on imported vehicles over 10 years</w:t>
            </w:r>
          </w:p>
        </w:tc>
        <w:tc>
          <w:tcPr>
            <w:tcW w:w="1417" w:type="dxa"/>
          </w:tcPr>
          <w:p w14:paraId="3C598E5E" w14:textId="77777777" w:rsidR="00C15F2E" w:rsidRPr="00D96063" w:rsidRDefault="00C15F2E" w:rsidP="008516FD">
            <w:pPr>
              <w:ind w:right="113"/>
              <w:jc w:val="left"/>
              <w:rPr>
                <w:sz w:val="14"/>
                <w:szCs w:val="14"/>
              </w:rPr>
            </w:pPr>
            <w:r w:rsidRPr="00D96063">
              <w:rPr>
                <w:sz w:val="14"/>
                <w:szCs w:val="14"/>
              </w:rPr>
              <w:t>2.5%-50%</w:t>
            </w:r>
          </w:p>
        </w:tc>
        <w:tc>
          <w:tcPr>
            <w:tcW w:w="2268" w:type="dxa"/>
          </w:tcPr>
          <w:p w14:paraId="52B791FA" w14:textId="77777777" w:rsidR="00C15F2E" w:rsidRPr="00D96063" w:rsidRDefault="00C15F2E" w:rsidP="008516FD">
            <w:pPr>
              <w:jc w:val="left"/>
              <w:rPr>
                <w:sz w:val="14"/>
                <w:szCs w:val="14"/>
              </w:rPr>
            </w:pPr>
            <w:r w:rsidRPr="00D96063">
              <w:rPr>
                <w:sz w:val="14"/>
                <w:szCs w:val="14"/>
              </w:rPr>
              <w:t>c.i.f. value of used vehicles</w:t>
            </w:r>
          </w:p>
        </w:tc>
        <w:tc>
          <w:tcPr>
            <w:tcW w:w="2784" w:type="dxa"/>
          </w:tcPr>
          <w:p w14:paraId="6767F7E3" w14:textId="77777777" w:rsidR="00C15F2E" w:rsidRPr="00D96063" w:rsidRDefault="00C15F2E" w:rsidP="008516FD">
            <w:pPr>
              <w:jc w:val="left"/>
              <w:rPr>
                <w:sz w:val="14"/>
                <w:szCs w:val="14"/>
              </w:rPr>
            </w:pPr>
            <w:r w:rsidRPr="00D96063">
              <w:rPr>
                <w:sz w:val="14"/>
                <w:szCs w:val="14"/>
              </w:rPr>
              <w:t>Customs Overage Penalties Act, 2002</w:t>
            </w:r>
          </w:p>
        </w:tc>
      </w:tr>
      <w:tr w:rsidR="00C15F2E" w:rsidRPr="00D96063" w14:paraId="19B8184A" w14:textId="77777777" w:rsidTr="00790917">
        <w:tc>
          <w:tcPr>
            <w:tcW w:w="9016" w:type="dxa"/>
            <w:gridSpan w:val="4"/>
          </w:tcPr>
          <w:p w14:paraId="2FA9A1FC" w14:textId="77777777" w:rsidR="00C15F2E" w:rsidRPr="00D96063" w:rsidRDefault="00C15F2E" w:rsidP="008516FD">
            <w:pPr>
              <w:jc w:val="left"/>
              <w:rPr>
                <w:sz w:val="14"/>
                <w:szCs w:val="14"/>
              </w:rPr>
            </w:pPr>
            <w:r w:rsidRPr="00D96063">
              <w:rPr>
                <w:b/>
                <w:bCs/>
                <w:sz w:val="14"/>
                <w:szCs w:val="14"/>
              </w:rPr>
              <w:t>Fees and charges</w:t>
            </w:r>
          </w:p>
        </w:tc>
      </w:tr>
      <w:tr w:rsidR="00C15F2E" w:rsidRPr="00D96063" w14:paraId="6ADA7FE2"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tcPr>
          <w:p w14:paraId="46889D42" w14:textId="77777777" w:rsidR="00C15F2E" w:rsidRPr="00D96063" w:rsidRDefault="00C15F2E" w:rsidP="00790917">
            <w:pPr>
              <w:jc w:val="left"/>
              <w:rPr>
                <w:sz w:val="14"/>
                <w:szCs w:val="14"/>
              </w:rPr>
            </w:pPr>
            <w:r w:rsidRPr="00D96063">
              <w:rPr>
                <w:sz w:val="14"/>
                <w:szCs w:val="14"/>
              </w:rPr>
              <w:t>Processing Fee (2002)</w:t>
            </w:r>
          </w:p>
          <w:p w14:paraId="0205C6AB" w14:textId="77777777" w:rsidR="00C15F2E" w:rsidRPr="00D96063" w:rsidRDefault="00C15F2E" w:rsidP="00790917">
            <w:pPr>
              <w:jc w:val="left"/>
              <w:rPr>
                <w:sz w:val="14"/>
                <w:szCs w:val="14"/>
              </w:rPr>
            </w:pPr>
          </w:p>
        </w:tc>
        <w:tc>
          <w:tcPr>
            <w:tcW w:w="1417" w:type="dxa"/>
          </w:tcPr>
          <w:p w14:paraId="32A351DB" w14:textId="77777777" w:rsidR="00C15F2E" w:rsidRPr="00D96063" w:rsidRDefault="00C15F2E" w:rsidP="008516FD">
            <w:pPr>
              <w:ind w:right="113"/>
              <w:jc w:val="left"/>
              <w:rPr>
                <w:sz w:val="14"/>
                <w:szCs w:val="14"/>
              </w:rPr>
            </w:pPr>
            <w:r w:rsidRPr="00D96063">
              <w:rPr>
                <w:sz w:val="14"/>
                <w:szCs w:val="14"/>
              </w:rPr>
              <w:t>1%</w:t>
            </w:r>
          </w:p>
        </w:tc>
        <w:tc>
          <w:tcPr>
            <w:tcW w:w="2268" w:type="dxa"/>
          </w:tcPr>
          <w:p w14:paraId="3E882031" w14:textId="044FBAF6" w:rsidR="00C15F2E" w:rsidRPr="00D96063" w:rsidRDefault="006A2B31" w:rsidP="008516FD">
            <w:pPr>
              <w:jc w:val="left"/>
              <w:rPr>
                <w:sz w:val="14"/>
                <w:szCs w:val="14"/>
              </w:rPr>
            </w:pPr>
            <w:r>
              <w:rPr>
                <w:sz w:val="14"/>
                <w:szCs w:val="14"/>
              </w:rPr>
              <w:t xml:space="preserve">c.i.f. value of </w:t>
            </w:r>
            <w:r w:rsidRPr="006A2B31">
              <w:rPr>
                <w:sz w:val="14"/>
                <w:szCs w:val="14"/>
              </w:rPr>
              <w:t xml:space="preserve">duty-free items and zero-rated goods (except </w:t>
            </w:r>
            <w:r>
              <w:rPr>
                <w:sz w:val="14"/>
                <w:szCs w:val="14"/>
              </w:rPr>
              <w:t xml:space="preserve">imports for educational, health and agricultural </w:t>
            </w:r>
            <w:r w:rsidRPr="006A2B31">
              <w:rPr>
                <w:sz w:val="14"/>
                <w:szCs w:val="14"/>
              </w:rPr>
              <w:t>purposes).</w:t>
            </w:r>
          </w:p>
        </w:tc>
        <w:tc>
          <w:tcPr>
            <w:tcW w:w="2784" w:type="dxa"/>
          </w:tcPr>
          <w:p w14:paraId="0747DC49" w14:textId="77777777" w:rsidR="00C15F2E" w:rsidRPr="00D96063" w:rsidRDefault="00C15F2E" w:rsidP="008516FD">
            <w:pPr>
              <w:jc w:val="left"/>
              <w:rPr>
                <w:sz w:val="14"/>
                <w:szCs w:val="14"/>
              </w:rPr>
            </w:pPr>
            <w:r w:rsidRPr="00D96063">
              <w:rPr>
                <w:sz w:val="14"/>
                <w:szCs w:val="14"/>
              </w:rPr>
              <w:t>Customs and Excise (Duties and Other Taxes) (Amendment) Act, 2002 (Act 615)</w:t>
            </w:r>
          </w:p>
        </w:tc>
      </w:tr>
      <w:tr w:rsidR="00C15F2E" w:rsidRPr="00D96063" w14:paraId="1F2EA766" w14:textId="77777777" w:rsidTr="00790917">
        <w:tc>
          <w:tcPr>
            <w:tcW w:w="2547" w:type="dxa"/>
          </w:tcPr>
          <w:p w14:paraId="5B68F71D" w14:textId="77777777" w:rsidR="00C15F2E" w:rsidRPr="00D96063" w:rsidRDefault="00C15F2E" w:rsidP="00790917">
            <w:pPr>
              <w:jc w:val="left"/>
              <w:rPr>
                <w:sz w:val="14"/>
                <w:szCs w:val="14"/>
              </w:rPr>
            </w:pPr>
            <w:r w:rsidRPr="00D96063">
              <w:rPr>
                <w:sz w:val="14"/>
                <w:szCs w:val="14"/>
              </w:rPr>
              <w:t xml:space="preserve">Destination Inspection fee </w:t>
            </w:r>
          </w:p>
        </w:tc>
        <w:tc>
          <w:tcPr>
            <w:tcW w:w="1417" w:type="dxa"/>
          </w:tcPr>
          <w:p w14:paraId="64DCF0AB" w14:textId="77777777" w:rsidR="00C15F2E" w:rsidRPr="00D96063" w:rsidRDefault="00C15F2E" w:rsidP="008516FD">
            <w:pPr>
              <w:ind w:right="113"/>
              <w:jc w:val="left"/>
              <w:rPr>
                <w:sz w:val="14"/>
                <w:szCs w:val="14"/>
              </w:rPr>
            </w:pPr>
            <w:r w:rsidRPr="00D96063">
              <w:rPr>
                <w:sz w:val="14"/>
                <w:szCs w:val="14"/>
              </w:rPr>
              <w:t>1%</w:t>
            </w:r>
          </w:p>
        </w:tc>
        <w:tc>
          <w:tcPr>
            <w:tcW w:w="2268" w:type="dxa"/>
          </w:tcPr>
          <w:p w14:paraId="0B09C7DC" w14:textId="77777777" w:rsidR="00C15F2E" w:rsidRPr="00D96063" w:rsidRDefault="00C15F2E" w:rsidP="008516FD">
            <w:pPr>
              <w:jc w:val="left"/>
              <w:rPr>
                <w:sz w:val="14"/>
                <w:szCs w:val="14"/>
              </w:rPr>
            </w:pPr>
            <w:r w:rsidRPr="00D96063">
              <w:rPr>
                <w:sz w:val="14"/>
                <w:szCs w:val="14"/>
              </w:rPr>
              <w:t>c.i.f. value excluding duties, on all imports (Section 3.1.1.3)</w:t>
            </w:r>
          </w:p>
        </w:tc>
        <w:tc>
          <w:tcPr>
            <w:tcW w:w="2784" w:type="dxa"/>
          </w:tcPr>
          <w:p w14:paraId="11450071" w14:textId="77777777" w:rsidR="00C15F2E" w:rsidRPr="00D96063" w:rsidRDefault="00C15F2E" w:rsidP="008516FD">
            <w:pPr>
              <w:jc w:val="left"/>
              <w:rPr>
                <w:sz w:val="14"/>
                <w:szCs w:val="14"/>
              </w:rPr>
            </w:pPr>
            <w:r w:rsidRPr="00D96063">
              <w:rPr>
                <w:sz w:val="14"/>
                <w:szCs w:val="14"/>
              </w:rPr>
              <w:t>Export and Import Act, 1995 (Act 503)</w:t>
            </w:r>
          </w:p>
        </w:tc>
      </w:tr>
      <w:tr w:rsidR="00C15F2E" w:rsidRPr="00D96063" w14:paraId="1B9C8CE8"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tcPr>
          <w:p w14:paraId="5BD8BE4F" w14:textId="77777777" w:rsidR="00C15F2E" w:rsidRPr="00D96063" w:rsidRDefault="00C15F2E" w:rsidP="00790917">
            <w:pPr>
              <w:jc w:val="left"/>
              <w:rPr>
                <w:sz w:val="14"/>
                <w:szCs w:val="14"/>
              </w:rPr>
            </w:pPr>
            <w:r w:rsidRPr="00D96063">
              <w:rPr>
                <w:sz w:val="14"/>
                <w:szCs w:val="14"/>
              </w:rPr>
              <w:t>ICUMS charge (2020)</w:t>
            </w:r>
          </w:p>
        </w:tc>
        <w:tc>
          <w:tcPr>
            <w:tcW w:w="1417" w:type="dxa"/>
          </w:tcPr>
          <w:p w14:paraId="2509B6C4" w14:textId="77777777" w:rsidR="00C15F2E" w:rsidRPr="00D96063" w:rsidRDefault="00C15F2E" w:rsidP="008516FD">
            <w:pPr>
              <w:ind w:right="113"/>
              <w:jc w:val="left"/>
              <w:rPr>
                <w:sz w:val="14"/>
                <w:szCs w:val="14"/>
              </w:rPr>
            </w:pPr>
            <w:r w:rsidRPr="00D96063">
              <w:rPr>
                <w:sz w:val="14"/>
                <w:szCs w:val="14"/>
              </w:rPr>
              <w:t>0.4%</w:t>
            </w:r>
          </w:p>
        </w:tc>
        <w:tc>
          <w:tcPr>
            <w:tcW w:w="2268" w:type="dxa"/>
          </w:tcPr>
          <w:p w14:paraId="00B53D6C" w14:textId="77777777" w:rsidR="00C15F2E" w:rsidRPr="00D96063" w:rsidRDefault="00C15F2E" w:rsidP="008516FD">
            <w:pPr>
              <w:jc w:val="left"/>
              <w:rPr>
                <w:sz w:val="14"/>
                <w:szCs w:val="14"/>
              </w:rPr>
            </w:pPr>
            <w:r w:rsidRPr="00D96063">
              <w:rPr>
                <w:sz w:val="14"/>
                <w:szCs w:val="14"/>
              </w:rPr>
              <w:t>f.o.b. value of goods, all imports</w:t>
            </w:r>
          </w:p>
        </w:tc>
        <w:tc>
          <w:tcPr>
            <w:tcW w:w="2784" w:type="dxa"/>
          </w:tcPr>
          <w:p w14:paraId="4401FEE6" w14:textId="77777777" w:rsidR="00C15F2E" w:rsidRPr="00D96063" w:rsidRDefault="00C15F2E" w:rsidP="008516FD">
            <w:pPr>
              <w:jc w:val="left"/>
              <w:rPr>
                <w:sz w:val="14"/>
                <w:szCs w:val="14"/>
              </w:rPr>
            </w:pPr>
          </w:p>
        </w:tc>
      </w:tr>
      <w:tr w:rsidR="00C15F2E" w:rsidRPr="00D96063" w14:paraId="565C6A10" w14:textId="77777777" w:rsidTr="00790917">
        <w:tc>
          <w:tcPr>
            <w:tcW w:w="2547" w:type="dxa"/>
          </w:tcPr>
          <w:p w14:paraId="5FD66CEE" w14:textId="77777777" w:rsidR="00C15F2E" w:rsidRPr="00D96063" w:rsidRDefault="00C15F2E" w:rsidP="00790917">
            <w:pPr>
              <w:jc w:val="left"/>
              <w:rPr>
                <w:sz w:val="14"/>
                <w:szCs w:val="14"/>
              </w:rPr>
            </w:pPr>
            <w:r w:rsidRPr="00D96063">
              <w:rPr>
                <w:sz w:val="14"/>
                <w:szCs w:val="14"/>
              </w:rPr>
              <w:t>Examination fee on imported used vehicles</w:t>
            </w:r>
          </w:p>
        </w:tc>
        <w:tc>
          <w:tcPr>
            <w:tcW w:w="1417" w:type="dxa"/>
          </w:tcPr>
          <w:p w14:paraId="401DDFB2" w14:textId="77777777" w:rsidR="00C15F2E" w:rsidRPr="00D96063" w:rsidRDefault="00C15F2E" w:rsidP="008516FD">
            <w:pPr>
              <w:ind w:right="113"/>
              <w:jc w:val="left"/>
              <w:rPr>
                <w:sz w:val="14"/>
                <w:szCs w:val="14"/>
              </w:rPr>
            </w:pPr>
            <w:r w:rsidRPr="00D96063">
              <w:rPr>
                <w:sz w:val="14"/>
                <w:szCs w:val="14"/>
              </w:rPr>
              <w:t>1%</w:t>
            </w:r>
          </w:p>
        </w:tc>
        <w:tc>
          <w:tcPr>
            <w:tcW w:w="2268" w:type="dxa"/>
          </w:tcPr>
          <w:p w14:paraId="551B8575" w14:textId="77777777" w:rsidR="00C15F2E" w:rsidRPr="00D96063" w:rsidRDefault="00C15F2E" w:rsidP="008516FD">
            <w:pPr>
              <w:jc w:val="left"/>
              <w:rPr>
                <w:sz w:val="14"/>
                <w:szCs w:val="14"/>
              </w:rPr>
            </w:pPr>
            <w:r w:rsidRPr="00D96063">
              <w:rPr>
                <w:sz w:val="14"/>
                <w:szCs w:val="14"/>
              </w:rPr>
              <w:t>f.o.b. value of used vehicles</w:t>
            </w:r>
          </w:p>
        </w:tc>
        <w:tc>
          <w:tcPr>
            <w:tcW w:w="2784" w:type="dxa"/>
          </w:tcPr>
          <w:p w14:paraId="1BDBB285" w14:textId="77777777" w:rsidR="00C15F2E" w:rsidRPr="00D96063" w:rsidRDefault="00C15F2E" w:rsidP="008516FD">
            <w:pPr>
              <w:jc w:val="left"/>
              <w:rPr>
                <w:sz w:val="14"/>
                <w:szCs w:val="14"/>
              </w:rPr>
            </w:pPr>
          </w:p>
        </w:tc>
      </w:tr>
      <w:tr w:rsidR="00C15F2E" w:rsidRPr="00D96063" w14:paraId="68D2CA23" w14:textId="77777777" w:rsidTr="00790917">
        <w:trPr>
          <w:cnfStyle w:val="000000010000" w:firstRow="0" w:lastRow="0" w:firstColumn="0" w:lastColumn="0" w:oddVBand="0" w:evenVBand="0" w:oddHBand="0" w:evenHBand="1" w:firstRowFirstColumn="0" w:firstRowLastColumn="0" w:lastRowFirstColumn="0" w:lastRowLastColumn="0"/>
        </w:trPr>
        <w:tc>
          <w:tcPr>
            <w:tcW w:w="2547" w:type="dxa"/>
          </w:tcPr>
          <w:p w14:paraId="325DC82C" w14:textId="77777777" w:rsidR="00C15F2E" w:rsidRPr="00D96063" w:rsidRDefault="00C15F2E" w:rsidP="00790917">
            <w:pPr>
              <w:jc w:val="left"/>
              <w:rPr>
                <w:sz w:val="14"/>
                <w:szCs w:val="14"/>
              </w:rPr>
            </w:pPr>
            <w:r w:rsidRPr="00D96063">
              <w:rPr>
                <w:sz w:val="14"/>
                <w:szCs w:val="14"/>
              </w:rPr>
              <w:t>State Warehouse Rent</w:t>
            </w:r>
          </w:p>
        </w:tc>
        <w:tc>
          <w:tcPr>
            <w:tcW w:w="1417" w:type="dxa"/>
          </w:tcPr>
          <w:p w14:paraId="52D50A16" w14:textId="77777777" w:rsidR="00C15F2E" w:rsidRPr="00D96063" w:rsidRDefault="00C15F2E" w:rsidP="008516FD">
            <w:pPr>
              <w:ind w:right="113"/>
              <w:jc w:val="left"/>
              <w:rPr>
                <w:sz w:val="14"/>
                <w:szCs w:val="14"/>
              </w:rPr>
            </w:pPr>
            <w:r w:rsidRPr="00D96063">
              <w:rPr>
                <w:sz w:val="14"/>
                <w:szCs w:val="14"/>
              </w:rPr>
              <w:t>..</w:t>
            </w:r>
          </w:p>
        </w:tc>
        <w:tc>
          <w:tcPr>
            <w:tcW w:w="2268" w:type="dxa"/>
          </w:tcPr>
          <w:p w14:paraId="51F0E07B" w14:textId="77777777" w:rsidR="00C15F2E" w:rsidRPr="00D96063" w:rsidRDefault="00C15F2E" w:rsidP="008516FD">
            <w:pPr>
              <w:jc w:val="left"/>
              <w:rPr>
                <w:sz w:val="14"/>
                <w:szCs w:val="14"/>
              </w:rPr>
            </w:pPr>
            <w:r w:rsidRPr="00D96063">
              <w:rPr>
                <w:sz w:val="14"/>
                <w:szCs w:val="14"/>
              </w:rPr>
              <w:t>..</w:t>
            </w:r>
          </w:p>
        </w:tc>
        <w:tc>
          <w:tcPr>
            <w:tcW w:w="2784" w:type="dxa"/>
          </w:tcPr>
          <w:p w14:paraId="20E0BD81" w14:textId="77777777" w:rsidR="00C15F2E" w:rsidRPr="00D96063" w:rsidRDefault="00C15F2E" w:rsidP="008516FD">
            <w:pPr>
              <w:jc w:val="left"/>
              <w:rPr>
                <w:sz w:val="14"/>
                <w:szCs w:val="14"/>
              </w:rPr>
            </w:pPr>
            <w:r w:rsidRPr="00D96063">
              <w:rPr>
                <w:sz w:val="14"/>
                <w:szCs w:val="14"/>
              </w:rPr>
              <w:t>Customs Regulation, 2016 (L.I. 2248)</w:t>
            </w:r>
          </w:p>
        </w:tc>
      </w:tr>
      <w:tr w:rsidR="00C15F2E" w:rsidRPr="00D96063" w14:paraId="5F0088BA" w14:textId="77777777" w:rsidTr="00790917">
        <w:tc>
          <w:tcPr>
            <w:tcW w:w="2547" w:type="dxa"/>
          </w:tcPr>
          <w:p w14:paraId="79A19D78" w14:textId="77777777" w:rsidR="00C15F2E" w:rsidRPr="00D96063" w:rsidRDefault="00C15F2E" w:rsidP="00790917">
            <w:pPr>
              <w:jc w:val="left"/>
              <w:rPr>
                <w:sz w:val="14"/>
                <w:szCs w:val="14"/>
              </w:rPr>
            </w:pPr>
            <w:r w:rsidRPr="00D96063">
              <w:rPr>
                <w:sz w:val="14"/>
                <w:szCs w:val="14"/>
              </w:rPr>
              <w:t>Ghana Shippers Authority service charge</w:t>
            </w:r>
          </w:p>
        </w:tc>
        <w:tc>
          <w:tcPr>
            <w:tcW w:w="1417" w:type="dxa"/>
          </w:tcPr>
          <w:p w14:paraId="4822EEFE" w14:textId="77777777" w:rsidR="00C15F2E" w:rsidRPr="00D96063" w:rsidRDefault="00C15F2E" w:rsidP="008516FD">
            <w:pPr>
              <w:ind w:right="113"/>
              <w:jc w:val="left"/>
              <w:rPr>
                <w:sz w:val="14"/>
                <w:szCs w:val="14"/>
              </w:rPr>
            </w:pPr>
            <w:r w:rsidRPr="00D96063">
              <w:rPr>
                <w:sz w:val="14"/>
                <w:szCs w:val="14"/>
              </w:rPr>
              <w:t>2% of gross freight value</w:t>
            </w:r>
          </w:p>
        </w:tc>
        <w:tc>
          <w:tcPr>
            <w:tcW w:w="2268" w:type="dxa"/>
          </w:tcPr>
          <w:p w14:paraId="7F375D69" w14:textId="77777777" w:rsidR="00C15F2E" w:rsidRPr="00D96063" w:rsidRDefault="00C15F2E" w:rsidP="008516FD">
            <w:pPr>
              <w:jc w:val="left"/>
              <w:rPr>
                <w:sz w:val="14"/>
                <w:szCs w:val="14"/>
              </w:rPr>
            </w:pPr>
            <w:r w:rsidRPr="00D96063">
              <w:rPr>
                <w:sz w:val="14"/>
                <w:szCs w:val="14"/>
              </w:rPr>
              <w:t>Maritime imports and exports</w:t>
            </w:r>
          </w:p>
        </w:tc>
        <w:tc>
          <w:tcPr>
            <w:tcW w:w="2784" w:type="dxa"/>
          </w:tcPr>
          <w:p w14:paraId="0A078EDE" w14:textId="77777777" w:rsidR="00C15F2E" w:rsidRPr="00D96063" w:rsidRDefault="00C15F2E" w:rsidP="008516FD">
            <w:pPr>
              <w:jc w:val="left"/>
              <w:rPr>
                <w:sz w:val="14"/>
                <w:szCs w:val="14"/>
              </w:rPr>
            </w:pPr>
            <w:r w:rsidRPr="00D96063">
              <w:rPr>
                <w:sz w:val="14"/>
                <w:szCs w:val="14"/>
              </w:rPr>
              <w:t>Ghana Shippers Authority Regulations (L.I. 2190)</w:t>
            </w:r>
          </w:p>
        </w:tc>
      </w:tr>
    </w:tbl>
    <w:p w14:paraId="328A3C9C" w14:textId="77777777" w:rsidR="00C15F2E" w:rsidRPr="00D96063" w:rsidRDefault="00C15F2E" w:rsidP="006E1219">
      <w:pPr>
        <w:pStyle w:val="NoteText"/>
        <w:spacing w:before="120" w:after="120"/>
        <w:rPr>
          <w:lang w:eastAsia="en-GB"/>
        </w:rPr>
      </w:pPr>
      <w:r w:rsidRPr="00D96063">
        <w:rPr>
          <w:lang w:eastAsia="en-GB"/>
        </w:rPr>
        <w:t>..</w:t>
      </w:r>
      <w:r w:rsidRPr="00D96063">
        <w:rPr>
          <w:lang w:eastAsia="en-GB"/>
        </w:rPr>
        <w:tab/>
        <w:t>Not applicable.</w:t>
      </w:r>
    </w:p>
    <w:p w14:paraId="7C43FBDE" w14:textId="77777777" w:rsidR="00C15F2E" w:rsidRPr="00D96063" w:rsidRDefault="00C15F2E" w:rsidP="00E101A6">
      <w:pPr>
        <w:pStyle w:val="NoteText"/>
        <w:spacing w:before="120" w:after="240"/>
        <w:rPr>
          <w:lang w:eastAsia="en-GB"/>
        </w:rPr>
      </w:pPr>
      <w:r w:rsidRPr="00D96063">
        <w:rPr>
          <w:lang w:eastAsia="en-GB"/>
        </w:rPr>
        <w:t>Source:</w:t>
      </w:r>
      <w:r w:rsidRPr="00D96063">
        <w:rPr>
          <w:lang w:eastAsia="en-GB"/>
        </w:rPr>
        <w:tab/>
      </w:r>
      <w:r w:rsidRPr="00D96063">
        <w:t>Information provided by the authorities.</w:t>
      </w:r>
    </w:p>
    <w:p w14:paraId="572273A0" w14:textId="77777777" w:rsidR="00C15F2E" w:rsidRPr="00D96063" w:rsidRDefault="00C15F2E" w:rsidP="00E101A6">
      <w:pPr>
        <w:pStyle w:val="Heading3"/>
        <w:numPr>
          <w:ilvl w:val="2"/>
          <w:numId w:val="16"/>
        </w:numPr>
      </w:pPr>
      <w:bookmarkStart w:id="116" w:name="_Toc103607676"/>
      <w:bookmarkStart w:id="117" w:name="_Toc182046183"/>
      <w:bookmarkStart w:id="118" w:name="_Hlk84843318"/>
      <w:bookmarkStart w:id="119" w:name="_Toc392845104"/>
      <w:r w:rsidRPr="00D96063">
        <w:t>Preferential tariffs and rules of origin</w:t>
      </w:r>
      <w:bookmarkEnd w:id="116"/>
    </w:p>
    <w:p w14:paraId="5FBAA441" w14:textId="77777777" w:rsidR="00C15F2E" w:rsidRPr="00D96063" w:rsidRDefault="00C15F2E" w:rsidP="00E101A6">
      <w:pPr>
        <w:pStyle w:val="BodyText"/>
        <w:numPr>
          <w:ilvl w:val="6"/>
          <w:numId w:val="16"/>
        </w:numPr>
      </w:pPr>
      <w:r w:rsidRPr="00D96063">
        <w:t>The authorities notified the WTO in 2004 that Ghana did not apply non-preferential rules of origin.</w:t>
      </w:r>
      <w:r w:rsidRPr="00D96063">
        <w:rPr>
          <w:rStyle w:val="FootnoteReference"/>
        </w:rPr>
        <w:footnoteReference w:id="56"/>
      </w:r>
      <w:r w:rsidRPr="00D96063">
        <w:t xml:space="preserve"> However, several of the new trade agreements recently signed by Ghana refer to non</w:t>
      </w:r>
      <w:r w:rsidRPr="00D96063">
        <w:noBreakHyphen/>
        <w:t xml:space="preserve">preferential rules of origin, notably those with the European Union and the United Kingdom. After it notified the ECOWAS preferential rules of origin in 2004, Ghana notified its new rules of origin on trade both with the European Union and with the United Kingdom, as part of their respective economic partnership agreements (EPAs) (Table 2.1). Ghana offers preferential tariff </w:t>
      </w:r>
      <w:r w:rsidRPr="00D96063">
        <w:lastRenderedPageBreak/>
        <w:t>treatment (duty-free or reduced tariffs) to products deemed to originate from the parties to these agreements; Ghana has yet to communicate its preferential tariffs to the WTO Integrated Database.</w:t>
      </w:r>
    </w:p>
    <w:p w14:paraId="163C375E" w14:textId="77777777" w:rsidR="00C15F2E" w:rsidRPr="00D96063" w:rsidRDefault="00C15F2E" w:rsidP="003758E5">
      <w:pPr>
        <w:pStyle w:val="Heading4"/>
        <w:numPr>
          <w:ilvl w:val="3"/>
          <w:numId w:val="24"/>
        </w:numPr>
      </w:pPr>
      <w:bookmarkStart w:id="120" w:name="_Toc103607677"/>
      <w:r w:rsidRPr="00D96063">
        <w:t>Rules of origin under ECOWAS and the African Continental Free Trade Area (AfCFTA)</w:t>
      </w:r>
      <w:bookmarkEnd w:id="120"/>
    </w:p>
    <w:p w14:paraId="1F24DE41" w14:textId="77777777" w:rsidR="00C15F2E" w:rsidRPr="00D96063" w:rsidRDefault="00C15F2E" w:rsidP="00E101A6">
      <w:pPr>
        <w:pStyle w:val="BodyText"/>
        <w:numPr>
          <w:ilvl w:val="6"/>
          <w:numId w:val="16"/>
        </w:numPr>
        <w:rPr>
          <w:rFonts w:cs="Arial"/>
          <w:szCs w:val="18"/>
        </w:rPr>
      </w:pPr>
      <w:r w:rsidRPr="00D96063">
        <w:t xml:space="preserve">Ghana implements the ECOWAS Trade Liberalization Scheme (ETLS) of 1993 enabling all qualifying goods sourced from approved producers in the other ECOWAS Member States to be imported into Ghana duty-free. </w:t>
      </w:r>
      <w:r w:rsidRPr="00D96063">
        <w:rPr>
          <w:rFonts w:cs="Arial"/>
          <w:szCs w:val="18"/>
        </w:rPr>
        <w:t xml:space="preserve">In particular, the authorities declared that </w:t>
      </w:r>
      <w:r w:rsidRPr="00D96063">
        <w:rPr>
          <w:szCs w:val="18"/>
        </w:rPr>
        <w:t xml:space="preserve">Ghana, under the ETLS, allows unprocessed goods from the ECOWAS region to enter Ghana duty-free. </w:t>
      </w:r>
      <w:r w:rsidRPr="00D96063">
        <w:rPr>
          <w:rFonts w:cs="Arial"/>
          <w:szCs w:val="18"/>
          <w:shd w:val="clear" w:color="auto" w:fill="FFFFFF"/>
        </w:rPr>
        <w:t xml:space="preserve">For all transformed products, ECOWAS protocol A/P1/1/03 of 31 January 2003 defines the concept of originating products and origin criteria applicable for the free circulation of industrial goods. The latter </w:t>
      </w:r>
      <w:r w:rsidRPr="00D96063">
        <w:rPr>
          <w:rFonts w:cs="Arial"/>
          <w:szCs w:val="18"/>
        </w:rPr>
        <w:t>are considered as originating in the Member State where they have been wholly produced or sufficiently transformed. Sufficient transformation is either a change in tariff subheading at the HS 6</w:t>
      </w:r>
      <w:r w:rsidRPr="00D96063">
        <w:rPr>
          <w:rFonts w:cs="Arial"/>
          <w:szCs w:val="18"/>
        </w:rPr>
        <w:noBreakHyphen/>
        <w:t>digit level, or at least 30% local content.</w:t>
      </w:r>
    </w:p>
    <w:p w14:paraId="646F1391" w14:textId="1B63C884" w:rsidR="00C15F2E" w:rsidRPr="00D96063" w:rsidRDefault="00C15F2E" w:rsidP="00E101A6">
      <w:pPr>
        <w:pStyle w:val="BodyText"/>
        <w:numPr>
          <w:ilvl w:val="6"/>
          <w:numId w:val="16"/>
        </w:numPr>
      </w:pPr>
      <w:r w:rsidRPr="00D96063">
        <w:t>These provisions have not been followed by important increases in Ghana's intra-regional trade in recent years (Chart 3.</w:t>
      </w:r>
      <w:r w:rsidR="00E36E49" w:rsidRPr="00D96063">
        <w:t>3</w:t>
      </w:r>
      <w:r w:rsidRPr="00D96063">
        <w:t>). The registration of products to benefit from intra</w:t>
      </w:r>
      <w:r w:rsidRPr="00D96063">
        <w:noBreakHyphen/>
        <w:t>ECOWAS duty</w:t>
      </w:r>
      <w:r w:rsidRPr="00D96063">
        <w:noBreakHyphen/>
        <w:t>free treatment continues to be particularly cumbersome, affecting both imports to and exports from Ghana. The registration consists of</w:t>
      </w:r>
      <w:r w:rsidRPr="00D96063">
        <w:rPr>
          <w:rFonts w:eastAsia="Times New Roman" w:cs="Arial"/>
          <w:color w:val="000000"/>
        </w:rPr>
        <w:t xml:space="preserve"> a two-stage approval process and the filling of application forms for each tariff item by the applicant, in a format approved by ECOWAS.</w:t>
      </w:r>
    </w:p>
    <w:p w14:paraId="144E851C" w14:textId="302F720A" w:rsidR="00C15F2E" w:rsidRDefault="00C15F2E" w:rsidP="00E101A6">
      <w:pPr>
        <w:pStyle w:val="BodyText"/>
        <w:numPr>
          <w:ilvl w:val="6"/>
          <w:numId w:val="16"/>
        </w:numPr>
      </w:pPr>
      <w:r w:rsidRPr="00D96063">
        <w:t xml:space="preserve">Then, to enjoy duty-free treatment under the ETLS, a qualified product must be accompanied by a certificate of origin, issued by the Ghana National Chamber of Commerce and Industry (GNCCI). The procedure involves, </w:t>
      </w:r>
      <w:r w:rsidRPr="00D96063">
        <w:rPr>
          <w:i/>
        </w:rPr>
        <w:t>inter alia</w:t>
      </w:r>
      <w:r w:rsidRPr="00D96063">
        <w:rPr>
          <w:iCs/>
        </w:rPr>
        <w:t>,</w:t>
      </w:r>
      <w:r w:rsidRPr="00D96063">
        <w:t xml:space="preserve"> an application to the National Approvals Committee.</w:t>
      </w:r>
      <w:r w:rsidRPr="00D96063">
        <w:rPr>
          <w:b/>
          <w:bCs/>
        </w:rPr>
        <w:t xml:space="preserve"> </w:t>
      </w:r>
      <w:r w:rsidRPr="00D96063">
        <w:t>Completed forms are submitted to the ECOWAS National Unit for consideration by the ETLS Committee in the Member State of the applicant. The list of enterprises and products approved for ETLS eligibility by the Committee is remitted with supporting documents to the ECOWAS Commission for further review and final approval. The approval process takes four to six months. Many private sector operators consider this process cumbersome, which explains why few products from Ghana have been registered since 1988.</w:t>
      </w:r>
      <w:r w:rsidRPr="00D96063">
        <w:rPr>
          <w:rStyle w:val="FootnoteReference"/>
        </w:rPr>
        <w:footnoteReference w:id="57"/>
      </w:r>
    </w:p>
    <w:p w14:paraId="4FAE40B0" w14:textId="77777777" w:rsidR="008516FD" w:rsidRPr="00D96063" w:rsidRDefault="008516FD" w:rsidP="008516FD">
      <w:pPr>
        <w:pStyle w:val="BodyText"/>
        <w:numPr>
          <w:ilvl w:val="6"/>
          <w:numId w:val="16"/>
        </w:numPr>
      </w:pPr>
      <w:r w:rsidRPr="00D96063">
        <w:t>Ghana ratified the Agreement Establishing the AfCFTA in May 2018, but it has yet to be notified to the WTO. The rules of origin to be applied for trade within the African Union also have yet to be finalized.</w:t>
      </w:r>
      <w:r w:rsidRPr="00D96063">
        <w:rPr>
          <w:rStyle w:val="FootnoteReference"/>
        </w:rPr>
        <w:footnoteReference w:id="58"/>
      </w:r>
      <w:r w:rsidRPr="00D96063">
        <w:t xml:space="preserve"> However, the basic origin criteria for products are contained in Annex 2 to the AfCFTA Agreement: the product must be wholly obtained or substantially transformed in a party to the Agreement. As indicated in Article 6 of Annex 2, substantial transformation is determined using value added, the quantity of non-originating materials, a change in tariff heading, or a specific process.</w:t>
      </w:r>
      <w:r w:rsidRPr="00D96063">
        <w:rPr>
          <w:rStyle w:val="FootnoteReference"/>
        </w:rPr>
        <w:footnoteReference w:id="59"/>
      </w:r>
      <w:r w:rsidRPr="00D96063">
        <w:t xml:space="preserve"> The rules that are still under negotiation concern mainly those sensitive products that will be excluded from tariff liberalization. To date, Ghana has no preferential trade under the AfCFTA Agreement.</w:t>
      </w:r>
    </w:p>
    <w:p w14:paraId="6AF479D9" w14:textId="77777777" w:rsidR="008516FD" w:rsidRPr="00D96063" w:rsidRDefault="008516FD" w:rsidP="008516FD">
      <w:pPr>
        <w:pStyle w:val="BodyText"/>
        <w:numPr>
          <w:ilvl w:val="6"/>
          <w:numId w:val="16"/>
        </w:numPr>
      </w:pPr>
      <w:r w:rsidRPr="00D96063">
        <w:t>According to UNCTAD, the establishment of the AfCFTA could significantly boost intra-African trade if simple and transparent rules of origin are enforced.</w:t>
      </w:r>
      <w:r w:rsidRPr="00D96063">
        <w:rPr>
          <w:rStyle w:val="FootnoteReference"/>
        </w:rPr>
        <w:footnoteReference w:id="60"/>
      </w:r>
      <w:r w:rsidRPr="00D96063">
        <w:t xml:space="preserve"> In this context, the AfCFTA rules appear to bring a number of simplifications relative to the ECOWAS rules, a factor that will be key to the AfCFTA's success, according to UNCTAD. First, products and companies do not have to be registered </w:t>
      </w:r>
      <w:r w:rsidRPr="00D96063">
        <w:rPr>
          <w:i/>
          <w:iCs/>
        </w:rPr>
        <w:t>a priori</w:t>
      </w:r>
      <w:r w:rsidRPr="00D96063">
        <w:t>: instead, a certificate of origin is filled in by the exporter and stamped by a designated competent authority, confirming that a particular product complies with the origin criteria. The supplier must also fill in a supplier's declaration concerning the originating status of goods regarding the specific preferential rules of origin.</w:t>
      </w:r>
    </w:p>
    <w:p w14:paraId="23553813" w14:textId="6814DD85" w:rsidR="00C15F2E" w:rsidRPr="00D96063" w:rsidRDefault="00C15F2E" w:rsidP="00801175">
      <w:pPr>
        <w:pStyle w:val="Caption"/>
      </w:pPr>
      <w:bookmarkStart w:id="121" w:name="_Toc103607803"/>
      <w:r w:rsidRPr="00D96063">
        <w:lastRenderedPageBreak/>
        <w:t xml:space="preserve">Chart </w:t>
      </w:r>
      <w:fldSimple w:instr=" STYLEREF 1 \s ">
        <w:r w:rsidR="004B63B1">
          <w:rPr>
            <w:noProof/>
          </w:rPr>
          <w:t>3</w:t>
        </w:r>
      </w:fldSimple>
      <w:r w:rsidR="00045F7A">
        <w:t>.</w:t>
      </w:r>
      <w:fldSimple w:instr=" SEQ Chart \* ARABIC \s 1 ">
        <w:r w:rsidR="004B63B1">
          <w:rPr>
            <w:noProof/>
          </w:rPr>
          <w:t>3</w:t>
        </w:r>
      </w:fldSimple>
      <w:r w:rsidRPr="00D96063">
        <w:t xml:space="preserve"> Ghana's trade with ECOWAS members, 2014-19</w:t>
      </w:r>
      <w:bookmarkEnd w:id="121"/>
    </w:p>
    <w:p w14:paraId="1754ED86" w14:textId="77777777" w:rsidR="00C15F2E" w:rsidRPr="00D96063" w:rsidRDefault="00C15F2E" w:rsidP="00893744">
      <w:pPr>
        <w:keepNext/>
        <w:keepLines/>
        <w:rPr>
          <w:sz w:val="16"/>
          <w:szCs w:val="20"/>
          <w:lang w:eastAsia="en-GB"/>
        </w:rPr>
      </w:pPr>
      <w:r w:rsidRPr="00D96063">
        <w:rPr>
          <w:sz w:val="16"/>
          <w:szCs w:val="20"/>
          <w:lang w:eastAsia="en-GB"/>
        </w:rPr>
        <w:t>(USD billion)</w:t>
      </w:r>
    </w:p>
    <w:p w14:paraId="3028DF22" w14:textId="77777777" w:rsidR="00C15F2E" w:rsidRPr="00D96063" w:rsidRDefault="00C15F2E" w:rsidP="00044DEF">
      <w:r w:rsidRPr="00D96063">
        <w:rPr>
          <w:noProof/>
        </w:rPr>
        <w:drawing>
          <wp:inline distT="0" distB="0" distL="0" distR="0" wp14:anchorId="024B6FF4" wp14:editId="2312A68E">
            <wp:extent cx="5731510" cy="4162425"/>
            <wp:effectExtent l="0" t="0" r="254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t="8496" b="5175"/>
                    <a:stretch/>
                  </pic:blipFill>
                  <pic:spPr bwMode="auto">
                    <a:xfrm>
                      <a:off x="0" y="0"/>
                      <a:ext cx="5731510" cy="4162425"/>
                    </a:xfrm>
                    <a:prstGeom prst="rect">
                      <a:avLst/>
                    </a:prstGeom>
                    <a:noFill/>
                    <a:ln>
                      <a:noFill/>
                    </a:ln>
                    <a:extLst>
                      <a:ext uri="{53640926-AAD7-44D8-BBD7-CCE9431645EC}">
                        <a14:shadowObscured xmlns:a14="http://schemas.microsoft.com/office/drawing/2010/main"/>
                      </a:ext>
                    </a:extLst>
                  </pic:spPr>
                </pic:pic>
              </a:graphicData>
            </a:graphic>
          </wp:inline>
        </w:drawing>
      </w:r>
    </w:p>
    <w:p w14:paraId="2B04F0B2" w14:textId="77777777" w:rsidR="00C15F2E" w:rsidRPr="00D96063" w:rsidRDefault="00C15F2E" w:rsidP="00E101A6">
      <w:pPr>
        <w:pStyle w:val="FootnoteText"/>
        <w:spacing w:before="120" w:after="240"/>
        <w:ind w:firstLine="0"/>
      </w:pPr>
      <w:r w:rsidRPr="00D96063">
        <w:t xml:space="preserve">Source: </w:t>
      </w:r>
      <w:r w:rsidRPr="00D96063">
        <w:tab/>
        <w:t>WTO Secretariat calculations, based on UN Comtrade.</w:t>
      </w:r>
    </w:p>
    <w:p w14:paraId="2A548178" w14:textId="0FCF10D9" w:rsidR="00C15F2E" w:rsidRPr="00D96063" w:rsidRDefault="00C15F2E" w:rsidP="00801175">
      <w:pPr>
        <w:pStyle w:val="Caption"/>
      </w:pPr>
      <w:bookmarkStart w:id="122" w:name="_Toc103607804"/>
      <w:r w:rsidRPr="00D96063">
        <w:t xml:space="preserve">Chart </w:t>
      </w:r>
      <w:fldSimple w:instr=" STYLEREF 1 \s ">
        <w:r w:rsidR="004B63B1">
          <w:rPr>
            <w:noProof/>
          </w:rPr>
          <w:t>3</w:t>
        </w:r>
      </w:fldSimple>
      <w:r w:rsidR="00045F7A">
        <w:t>.</w:t>
      </w:r>
      <w:fldSimple w:instr=" SEQ Chart \* ARABIC \s 1 ">
        <w:r w:rsidR="004B63B1">
          <w:rPr>
            <w:noProof/>
          </w:rPr>
          <w:t>4</w:t>
        </w:r>
      </w:fldSimple>
      <w:r w:rsidRPr="00D96063">
        <w:t xml:space="preserve"> ECOWAS Trade Liberalization Scheme – Approved products in 1988-</w:t>
      </w:r>
      <w:r w:rsidR="00CE198A">
        <w:t>20</w:t>
      </w:r>
      <w:r w:rsidRPr="00D96063">
        <w:t>21</w:t>
      </w:r>
      <w:bookmarkEnd w:id="122"/>
    </w:p>
    <w:p w14:paraId="06F79870" w14:textId="77777777" w:rsidR="00C15F2E" w:rsidRPr="00D96063" w:rsidRDefault="00C15F2E" w:rsidP="00EE54EB">
      <w:r w:rsidRPr="00D96063">
        <w:rPr>
          <w:noProof/>
        </w:rPr>
        <w:drawing>
          <wp:inline distT="0" distB="0" distL="0" distR="0" wp14:anchorId="1D8C50EF" wp14:editId="2B09A5E9">
            <wp:extent cx="5731510" cy="2926080"/>
            <wp:effectExtent l="0" t="0" r="254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t="6894" b="19578"/>
                    <a:stretch/>
                  </pic:blipFill>
                  <pic:spPr bwMode="auto">
                    <a:xfrm>
                      <a:off x="0" y="0"/>
                      <a:ext cx="5731510" cy="2926080"/>
                    </a:xfrm>
                    <a:prstGeom prst="rect">
                      <a:avLst/>
                    </a:prstGeom>
                    <a:noFill/>
                    <a:ln>
                      <a:noFill/>
                    </a:ln>
                    <a:extLst>
                      <a:ext uri="{53640926-AAD7-44D8-BBD7-CCE9431645EC}">
                        <a14:shadowObscured xmlns:a14="http://schemas.microsoft.com/office/drawing/2010/main"/>
                      </a:ext>
                    </a:extLst>
                  </pic:spPr>
                </pic:pic>
              </a:graphicData>
            </a:graphic>
          </wp:inline>
        </w:drawing>
      </w:r>
    </w:p>
    <w:p w14:paraId="639FAADF" w14:textId="77777777" w:rsidR="00C15F2E" w:rsidRPr="00D96063" w:rsidRDefault="00C15F2E" w:rsidP="006E1219">
      <w:pPr>
        <w:pStyle w:val="NoteText"/>
        <w:spacing w:before="120" w:after="120"/>
      </w:pPr>
      <w:r w:rsidRPr="00D96063">
        <w:t>Note:</w:t>
      </w:r>
      <w:r w:rsidRPr="00D96063">
        <w:tab/>
        <w:t>Products are based on the HS 10-digit tariff line level.</w:t>
      </w:r>
    </w:p>
    <w:p w14:paraId="7F6B10F6" w14:textId="77777777" w:rsidR="00C15F2E" w:rsidRPr="00D96063" w:rsidRDefault="00C15F2E" w:rsidP="000D274F">
      <w:pPr>
        <w:pStyle w:val="NoteText"/>
        <w:spacing w:before="120" w:after="240"/>
      </w:pPr>
      <w:r w:rsidRPr="00D96063">
        <w:t>Source:</w:t>
      </w:r>
      <w:r w:rsidRPr="00D96063">
        <w:tab/>
        <w:t xml:space="preserve">ETLS, </w:t>
      </w:r>
      <w:r w:rsidRPr="00D96063">
        <w:rPr>
          <w:i/>
          <w:iCs/>
        </w:rPr>
        <w:t>Community Goods and Enterprise</w:t>
      </w:r>
      <w:r w:rsidRPr="00D96063">
        <w:t xml:space="preserve">. Viewed at: </w:t>
      </w:r>
      <w:hyperlink r:id="rId71" w:history="1">
        <w:r w:rsidRPr="00D96063">
          <w:rPr>
            <w:rStyle w:val="Hyperlink"/>
          </w:rPr>
          <w:t>https://etls.ecowas.int/approved-enterprises-and-products/</w:t>
        </w:r>
      </w:hyperlink>
      <w:r w:rsidRPr="007A1409">
        <w:rPr>
          <w:rStyle w:val="Hyperlink"/>
          <w:color w:val="auto"/>
          <w:u w:val="none"/>
        </w:rPr>
        <w:t>.</w:t>
      </w:r>
    </w:p>
    <w:p w14:paraId="4976B968" w14:textId="77777777" w:rsidR="00C15F2E" w:rsidRPr="00D96063" w:rsidRDefault="00C15F2E" w:rsidP="00E101A6">
      <w:pPr>
        <w:pStyle w:val="Heading4"/>
        <w:numPr>
          <w:ilvl w:val="3"/>
          <w:numId w:val="16"/>
        </w:numPr>
      </w:pPr>
      <w:bookmarkStart w:id="123" w:name="_Toc103607678"/>
      <w:r w:rsidRPr="00D96063">
        <w:lastRenderedPageBreak/>
        <w:t>Rules of origin under the agreements with the European Union and the United Kingdom</w:t>
      </w:r>
      <w:bookmarkEnd w:id="123"/>
    </w:p>
    <w:p w14:paraId="6AB3B75A" w14:textId="77777777" w:rsidR="00C15F2E" w:rsidRPr="00D96063" w:rsidRDefault="00C15F2E" w:rsidP="00E101A6">
      <w:pPr>
        <w:pStyle w:val="BodyText"/>
        <w:numPr>
          <w:ilvl w:val="6"/>
          <w:numId w:val="16"/>
        </w:numPr>
      </w:pPr>
      <w:r w:rsidRPr="00D96063">
        <w:t>The EU-Ghana Stepping Stone EPA with the European Union entered into force in December 2016 and was notified to the WTO in 2017 (Table 2.1).</w:t>
      </w:r>
      <w:r w:rsidRPr="00D96063">
        <w:rPr>
          <w:rStyle w:val="FootnoteReference"/>
        </w:rPr>
        <w:footnoteReference w:id="61"/>
      </w:r>
      <w:r w:rsidRPr="00D96063">
        <w:t xml:space="preserve"> Ghana effectively implemented the first tariff cuts </w:t>
      </w:r>
      <w:r w:rsidRPr="00D96063">
        <w:rPr>
          <w:i/>
        </w:rPr>
        <w:t>vis-à-vis</w:t>
      </w:r>
      <w:r w:rsidRPr="00D96063">
        <w:t xml:space="preserve"> the European Union in July 2021 (Section 2.3.4). Under the Agreement, the European Union provides duty-free, quota-free access for all of Ghana's exports of originating products to the European Union from the first day of application. The rules of origin are contained in a separate protocol.</w:t>
      </w:r>
      <w:r w:rsidRPr="00D96063">
        <w:rPr>
          <w:rStyle w:val="FootnoteReference"/>
        </w:rPr>
        <w:footnoteReference w:id="62"/>
      </w:r>
      <w:r w:rsidRPr="00D96063">
        <w:t xml:space="preserve"> </w:t>
      </w:r>
      <w:r w:rsidRPr="00D96063">
        <w:rPr>
          <w:rFonts w:cs="Arial"/>
        </w:rPr>
        <w:t>Ghana enjoys a three-year transition period to adopt self</w:t>
      </w:r>
      <w:r w:rsidRPr="00D96063">
        <w:rPr>
          <w:rFonts w:cs="Arial"/>
        </w:rPr>
        <w:noBreakHyphen/>
        <w:t>certification.</w:t>
      </w:r>
    </w:p>
    <w:p w14:paraId="0B8DD91B" w14:textId="7C8434F2" w:rsidR="00C15F2E" w:rsidRPr="00D96063" w:rsidRDefault="00C15F2E" w:rsidP="00E101A6">
      <w:pPr>
        <w:pStyle w:val="BodyText"/>
        <w:numPr>
          <w:ilvl w:val="6"/>
          <w:numId w:val="16"/>
        </w:numPr>
      </w:pPr>
      <w:r w:rsidRPr="00D96063">
        <w:t xml:space="preserve">Ghana's </w:t>
      </w:r>
      <w:bookmarkStart w:id="124" w:name="_Hlk98855487"/>
      <w:r w:rsidRPr="00D96063">
        <w:t>Interim Trade Partnership Agreement (TPA) with the United Kingdom</w:t>
      </w:r>
      <w:bookmarkEnd w:id="124"/>
      <w:r w:rsidRPr="00D96063">
        <w:t>, which entered into force in March 2021, replicates the EU-Ghana Agreement. Ghana started implementing tariff cuts in October 2021. The rules of origin are in Annex A (Protocol 1) to the TPA, but they were not yet in force in October 2021.</w:t>
      </w:r>
      <w:r w:rsidRPr="00D96063">
        <w:rPr>
          <w:rStyle w:val="FootnoteReference"/>
        </w:rPr>
        <w:footnoteReference w:id="63"/>
      </w:r>
      <w:r w:rsidRPr="00D96063">
        <w:t xml:space="preserve"> The TPA provides for origin cumulation with materials from and processing by the European Union, and vice versa. The TPA also enables cumulation to occur with other third countries where certain conditions are met (for example, where the United Kingdom has a preferential trade arrangement with a </w:t>
      </w:r>
      <w:r w:rsidR="00064E01">
        <w:t>M</w:t>
      </w:r>
      <w:r w:rsidRPr="00D96063">
        <w:t>ember State of the Organisation of African, Caribbean and Pacific States (OACPS, formerly the ACP Group of States), replicating the mechanism provided for in the EU-Ghana Stepping Stone EPA. The cumulation arrangements are set out in detail in Title II (Definition of the concept of "originating products") of the Rules of Origin Protocol.</w:t>
      </w:r>
    </w:p>
    <w:p w14:paraId="5BCE9961" w14:textId="77777777" w:rsidR="00C15F2E" w:rsidRPr="00D96063" w:rsidRDefault="00C15F2E" w:rsidP="00E101A6">
      <w:pPr>
        <w:pStyle w:val="Heading3"/>
        <w:numPr>
          <w:ilvl w:val="2"/>
          <w:numId w:val="16"/>
        </w:numPr>
      </w:pPr>
      <w:bookmarkStart w:id="125" w:name="_Toc358096989"/>
      <w:bookmarkStart w:id="126" w:name="_Toc392845107"/>
      <w:bookmarkStart w:id="127" w:name="_Toc103607679"/>
      <w:bookmarkEnd w:id="117"/>
      <w:bookmarkEnd w:id="118"/>
      <w:bookmarkEnd w:id="119"/>
      <w:r w:rsidRPr="00D96063">
        <w:t>Import prohibitions, restrictions, and licensing</w:t>
      </w:r>
      <w:bookmarkEnd w:id="125"/>
      <w:bookmarkEnd w:id="126"/>
      <w:bookmarkEnd w:id="127"/>
    </w:p>
    <w:p w14:paraId="1FDEFD66" w14:textId="77777777" w:rsidR="00C15F2E" w:rsidRPr="00D96063" w:rsidRDefault="00C15F2E" w:rsidP="00E101A6">
      <w:pPr>
        <w:pStyle w:val="Heading4"/>
        <w:numPr>
          <w:ilvl w:val="3"/>
          <w:numId w:val="16"/>
        </w:numPr>
      </w:pPr>
      <w:bookmarkStart w:id="128" w:name="_Toc103607680"/>
      <w:r w:rsidRPr="00D96063">
        <w:t>Import prohibitions</w:t>
      </w:r>
      <w:bookmarkEnd w:id="128"/>
    </w:p>
    <w:p w14:paraId="48ABFFC1" w14:textId="77777777" w:rsidR="00C15F2E" w:rsidRPr="00D96063" w:rsidRDefault="00C15F2E" w:rsidP="00E101A6">
      <w:pPr>
        <w:pStyle w:val="BodyText"/>
        <w:numPr>
          <w:ilvl w:val="6"/>
          <w:numId w:val="16"/>
        </w:numPr>
      </w:pPr>
      <w:bookmarkStart w:id="129" w:name="_Hlk97562603"/>
      <w:r w:rsidRPr="00D96063">
        <w:t xml:space="preserve">Import prohibitions are maintained by Ghana on, </w:t>
      </w:r>
      <w:r w:rsidRPr="00D96063">
        <w:rPr>
          <w:i/>
        </w:rPr>
        <w:t>inter alia</w:t>
      </w:r>
      <w:r w:rsidRPr="00D96063">
        <w:t xml:space="preserve">, health, security, technical, sanitary or phytosanitary, and environmental grounds. </w:t>
      </w:r>
      <w:bookmarkEnd w:id="129"/>
      <w:r w:rsidRPr="00D96063">
        <w:t>Ghana also controls or restricts trade under treaties and international conventions to which it is a signatory, such as the Convention on International Trade in Endangered Species (CITES), the Montreal Protocol, and the Basel Convention on Hazardous Waste. These prohibitions are listed in the tariff schedule. Ghana is a member of the Kimberley Process and applies import prohibitions, according to origin, on rough diamonds. Trade and economic sanctions may also result in import prohibitions, in accordance with United Nations Security Council resolutions.</w:t>
      </w:r>
    </w:p>
    <w:p w14:paraId="097F76D1" w14:textId="55CB75C1" w:rsidR="00C15F2E" w:rsidRPr="00D96063" w:rsidRDefault="00C15F2E" w:rsidP="00E101A6">
      <w:pPr>
        <w:pStyle w:val="BodyText"/>
        <w:numPr>
          <w:ilvl w:val="6"/>
          <w:numId w:val="16"/>
        </w:numPr>
      </w:pPr>
      <w:r w:rsidRPr="00D96063">
        <w:t>The Imports and Exports (Prohibited Goods) Regulations of 1994 prohibit commercial imports of the following items when used or second-hand: handkerchiefs; underpants; mattresses; and sanitary ware. Importation of used liquified petroleum gas (LPG) cylinders, toxic waste, turkey tails, foreign soil, and medical soap containing mercuric iodine is also prohibited.</w:t>
      </w:r>
    </w:p>
    <w:p w14:paraId="79FDF262" w14:textId="77777777" w:rsidR="00C15F2E" w:rsidRPr="00D96063" w:rsidRDefault="00C15F2E" w:rsidP="00E101A6">
      <w:pPr>
        <w:pStyle w:val="BodyText"/>
        <w:numPr>
          <w:ilvl w:val="6"/>
          <w:numId w:val="16"/>
        </w:numPr>
      </w:pPr>
      <w:r w:rsidRPr="00D96063">
        <w:t>In addition, a list of pharmaceuticals is reserved for local production, and imports are banned accordingly (E.I. 181, 2016) (Section 4.4.2). Use and importation of codeine-based syrup are banned as well (E.I. 167, 2018).</w:t>
      </w:r>
    </w:p>
    <w:p w14:paraId="1E489E3A" w14:textId="77777777" w:rsidR="00C15F2E" w:rsidRPr="00D96063" w:rsidRDefault="00C15F2E" w:rsidP="00E101A6">
      <w:pPr>
        <w:pStyle w:val="Heading4"/>
        <w:numPr>
          <w:ilvl w:val="3"/>
          <w:numId w:val="16"/>
        </w:numPr>
      </w:pPr>
      <w:bookmarkStart w:id="130" w:name="_Toc103607681"/>
      <w:r w:rsidRPr="00D96063">
        <w:t>Import licensing</w:t>
      </w:r>
      <w:bookmarkEnd w:id="130"/>
    </w:p>
    <w:p w14:paraId="62EADE07" w14:textId="77777777" w:rsidR="00C15F2E" w:rsidRPr="00D96063" w:rsidRDefault="00C15F2E" w:rsidP="00E101A6">
      <w:pPr>
        <w:pStyle w:val="BodyText"/>
        <w:numPr>
          <w:ilvl w:val="6"/>
          <w:numId w:val="16"/>
        </w:numPr>
        <w:rPr>
          <w:bCs/>
        </w:rPr>
      </w:pPr>
      <w:r w:rsidRPr="00D96063">
        <w:t>In 2004, the authorities notified the WTO that Ghana does not operate any import licensing system; and it confirmed this in 2009.</w:t>
      </w:r>
      <w:r w:rsidRPr="00D96063">
        <w:rPr>
          <w:vertAlign w:val="superscript"/>
        </w:rPr>
        <w:footnoteReference w:id="64"/>
      </w:r>
      <w:r w:rsidRPr="00D96063">
        <w:t xml:space="preserve"> However, there appear to be a number of exceptions whereby imports are in practice subject to quantitative restrictions. For example, a ceiling on cement </w:t>
      </w:r>
      <w:r w:rsidRPr="00D96063">
        <w:lastRenderedPageBreak/>
        <w:t>imports was enforced as at 2017 so as to bolster production and domestic value addition.</w:t>
      </w:r>
      <w:r w:rsidRPr="00D96063">
        <w:rPr>
          <w:rStyle w:val="FootnoteReference"/>
        </w:rPr>
        <w:footnoteReference w:id="65"/>
      </w:r>
      <w:r w:rsidRPr="00D96063">
        <w:t xml:space="preserve"> Ghana also continues to apply import permit requirements for poultry products, as a means of protecting domestic production (Section 4.1.1.1).</w:t>
      </w:r>
    </w:p>
    <w:p w14:paraId="67548CE8" w14:textId="77777777" w:rsidR="00C15F2E" w:rsidRPr="00D96063" w:rsidRDefault="00C15F2E" w:rsidP="00E101A6">
      <w:pPr>
        <w:pStyle w:val="Heading3"/>
        <w:numPr>
          <w:ilvl w:val="2"/>
          <w:numId w:val="16"/>
        </w:numPr>
      </w:pPr>
      <w:bookmarkStart w:id="131" w:name="_Toc358096990"/>
      <w:bookmarkStart w:id="132" w:name="_Toc392845108"/>
      <w:bookmarkStart w:id="133" w:name="_Toc103607682"/>
      <w:r w:rsidRPr="00D96063">
        <w:t>Contingency measures</w:t>
      </w:r>
      <w:bookmarkEnd w:id="131"/>
      <w:bookmarkEnd w:id="132"/>
      <w:bookmarkEnd w:id="133"/>
    </w:p>
    <w:p w14:paraId="31AE7C5F" w14:textId="77777777" w:rsidR="00C15F2E" w:rsidRPr="00D96063" w:rsidRDefault="00C15F2E" w:rsidP="005560FC">
      <w:pPr>
        <w:pStyle w:val="BodyText"/>
        <w:numPr>
          <w:ilvl w:val="6"/>
          <w:numId w:val="16"/>
        </w:numPr>
      </w:pPr>
      <w:r w:rsidRPr="00D96063">
        <w:t>Ghana has never taken any anti-dumping</w:t>
      </w:r>
      <w:r w:rsidRPr="00D96063">
        <w:rPr>
          <w:rStyle w:val="FootnoteReference"/>
        </w:rPr>
        <w:footnoteReference w:id="66"/>
      </w:r>
      <w:r w:rsidRPr="00D96063">
        <w:t>, countervailing</w:t>
      </w:r>
      <w:r w:rsidRPr="00D96063">
        <w:rPr>
          <w:rStyle w:val="FootnoteReference"/>
        </w:rPr>
        <w:footnoteReference w:id="67"/>
      </w:r>
      <w:r w:rsidRPr="00D96063">
        <w:t>, or safeguard measures and, until 2016, did not have any national legislation on such contingency measures. In 2016, the Ghana International Trade Commission Act (Act 926) established the Ghana International Trade Commission (GITC).</w:t>
      </w:r>
      <w:r w:rsidRPr="00D96063">
        <w:rPr>
          <w:rStyle w:val="FootnoteReference"/>
        </w:rPr>
        <w:footnoteReference w:id="68"/>
      </w:r>
      <w:r w:rsidRPr="00D96063">
        <w:t xml:space="preserve"> The Commission commenced operations in April 2018 when its five-member Governing Board was inaugurated. The Commission has a Secretariat headed by an Executive Secretary who serves as the Secretary to the Governing Board, whose members are referred to as Commissioners. Ghana has adopted four trade remedy regulations:</w:t>
      </w:r>
    </w:p>
    <w:p w14:paraId="0DE6050F" w14:textId="77777777" w:rsidR="00C15F2E" w:rsidRPr="00D96063" w:rsidRDefault="00C15F2E" w:rsidP="005560FC">
      <w:pPr>
        <w:pStyle w:val="BodyText2"/>
        <w:numPr>
          <w:ilvl w:val="7"/>
          <w:numId w:val="16"/>
        </w:numPr>
      </w:pPr>
      <w:r w:rsidRPr="00D96063">
        <w:t>GITC (Anti-Dumping) Regulations, 2019 (L.I. 2380);</w:t>
      </w:r>
    </w:p>
    <w:p w14:paraId="4C5CBAEF" w14:textId="77777777" w:rsidR="00C15F2E" w:rsidRPr="00D96063" w:rsidRDefault="00C15F2E" w:rsidP="005560FC">
      <w:pPr>
        <w:pStyle w:val="BodyText2"/>
        <w:numPr>
          <w:ilvl w:val="7"/>
          <w:numId w:val="16"/>
        </w:numPr>
      </w:pPr>
      <w:r w:rsidRPr="00D96063">
        <w:t>GITC (Customs Valuation) (Dispute Settlement) Regulations, 2019 (L.I. 2382);</w:t>
      </w:r>
    </w:p>
    <w:p w14:paraId="1C7C3C4B" w14:textId="77777777" w:rsidR="00C15F2E" w:rsidRPr="00D96063" w:rsidRDefault="00C15F2E" w:rsidP="005560FC">
      <w:pPr>
        <w:pStyle w:val="BodyText2"/>
        <w:numPr>
          <w:ilvl w:val="7"/>
          <w:numId w:val="16"/>
        </w:numPr>
      </w:pPr>
      <w:r w:rsidRPr="00D96063">
        <w:t>GITC (Subsidy and Countervailing Measures) Regulations, 2020 (L.I. 2425); and</w:t>
      </w:r>
    </w:p>
    <w:p w14:paraId="6521B813" w14:textId="77777777" w:rsidR="00C15F2E" w:rsidRPr="00D96063" w:rsidRDefault="00C15F2E" w:rsidP="005560FC">
      <w:pPr>
        <w:pStyle w:val="BodyText2"/>
        <w:numPr>
          <w:ilvl w:val="7"/>
          <w:numId w:val="16"/>
        </w:numPr>
      </w:pPr>
      <w:r w:rsidRPr="00D96063">
        <w:t>GITC (Safeguard Measures) Regulations, 2020.</w:t>
      </w:r>
    </w:p>
    <w:p w14:paraId="599F9EE5" w14:textId="77777777" w:rsidR="00C15F2E" w:rsidRPr="00D96063" w:rsidRDefault="00C15F2E" w:rsidP="00E101A6">
      <w:pPr>
        <w:pStyle w:val="BodyText"/>
        <w:numPr>
          <w:ilvl w:val="6"/>
          <w:numId w:val="16"/>
        </w:numPr>
      </w:pPr>
      <w:r w:rsidRPr="00D96063">
        <w:t>The Commission enquires into and determines complaints in relation to: (i) safeguard measures; (ii) the subsidization of imported products by foreign governments; (iii) dumping of imported products into the domestic market; (iv) tariff adjustments; and (v) any other measure that affects fair trade determined by the Minister responsible for trade.</w:t>
      </w:r>
      <w:r w:rsidRPr="00D96063">
        <w:rPr>
          <w:rStyle w:val="FootnoteReference"/>
        </w:rPr>
        <w:footnoteReference w:id="69"/>
      </w:r>
      <w:r w:rsidRPr="00D96063">
        <w:t xml:space="preserve"> The Commission settles disputes between importers and GRA Customs in respect of the classification, valuation, or origin of imported products.</w:t>
      </w:r>
    </w:p>
    <w:p w14:paraId="5B9FA9E8" w14:textId="77777777" w:rsidR="00C15F2E" w:rsidRPr="00D96063" w:rsidRDefault="00C15F2E" w:rsidP="00E101A6">
      <w:pPr>
        <w:pStyle w:val="BodyText"/>
        <w:numPr>
          <w:ilvl w:val="6"/>
          <w:numId w:val="16"/>
        </w:numPr>
      </w:pPr>
      <w:r w:rsidRPr="00D96063">
        <w:t>During the 2018</w:t>
      </w:r>
      <w:r w:rsidRPr="00D96063">
        <w:noBreakHyphen/>
        <w:t>20 period, the GITC received petitions from six local producers and manufacturers, and completed investigation on one anti-dumping petition. In 2021, the GITC made a definitive determination that recommended an anti-dumping duty of 35.77% to be imposed on aluminium coils and circles originating in or imported from China over a period of five years. The implementation of this determination of the GITC was still discussed between Customs officials and other relevant bodies as at February 2022. Other ongoing investigations relate to iron and steel products, biscuits, poultry products, and ceramic tiles, and they are at various stages of the investigation process. No actions have been taken by the Commission relating to countervailing and safeguard measures (December 2021).</w:t>
      </w:r>
    </w:p>
    <w:p w14:paraId="174606A5" w14:textId="797152F0" w:rsidR="00C15F2E" w:rsidRPr="00D96063" w:rsidRDefault="00C15F2E" w:rsidP="00E101A6">
      <w:pPr>
        <w:pStyle w:val="BodyText"/>
        <w:numPr>
          <w:ilvl w:val="6"/>
          <w:numId w:val="16"/>
        </w:numPr>
      </w:pPr>
      <w:r w:rsidRPr="00D96063">
        <w:t>Ghana made several notifications regarding its new trade remedies legislation to the WTO, which were reviewed in 2020 (Table 2.1).</w:t>
      </w:r>
    </w:p>
    <w:p w14:paraId="7479A7DA" w14:textId="77777777" w:rsidR="00C15F2E" w:rsidRPr="00D96063" w:rsidRDefault="00C15F2E" w:rsidP="00E101A6">
      <w:pPr>
        <w:pStyle w:val="Heading2"/>
        <w:numPr>
          <w:ilvl w:val="1"/>
          <w:numId w:val="16"/>
        </w:numPr>
      </w:pPr>
      <w:bookmarkStart w:id="134" w:name="_Toc103607683"/>
      <w:r w:rsidRPr="00D96063">
        <w:lastRenderedPageBreak/>
        <w:t>Measures Directly Affecting Exports</w:t>
      </w:r>
      <w:bookmarkEnd w:id="134"/>
    </w:p>
    <w:p w14:paraId="7A295412" w14:textId="77777777" w:rsidR="00C15F2E" w:rsidRPr="00D96063" w:rsidRDefault="00C15F2E" w:rsidP="00E101A6">
      <w:pPr>
        <w:pStyle w:val="Heading3"/>
        <w:numPr>
          <w:ilvl w:val="2"/>
          <w:numId w:val="16"/>
        </w:numPr>
      </w:pPr>
      <w:bookmarkStart w:id="135" w:name="_Toc103607684"/>
      <w:r w:rsidRPr="00D96063">
        <w:t>Export procedures</w:t>
      </w:r>
      <w:bookmarkEnd w:id="135"/>
    </w:p>
    <w:p w14:paraId="1E8B3CBD" w14:textId="77777777" w:rsidR="00C15F2E" w:rsidRPr="00D96063" w:rsidRDefault="00C15F2E" w:rsidP="00E101A6">
      <w:pPr>
        <w:pStyle w:val="BodyText"/>
        <w:numPr>
          <w:ilvl w:val="6"/>
          <w:numId w:val="16"/>
        </w:numPr>
      </w:pPr>
      <w:r w:rsidRPr="00D96063">
        <w:t>The Ghana Export Promotion Authority (GEPA) operates a gateway for merchandise exporters, which are required to follow a complicated procedure (Table 3.8).</w:t>
      </w:r>
      <w:r w:rsidRPr="00D96063">
        <w:rPr>
          <w:rStyle w:val="FootnoteReference"/>
        </w:rPr>
        <w:footnoteReference w:id="70"/>
      </w:r>
    </w:p>
    <w:p w14:paraId="5EA5DE6C" w14:textId="0E7BAFD1" w:rsidR="00C15F2E" w:rsidRPr="00D96063" w:rsidRDefault="00C15F2E" w:rsidP="00DB5F40">
      <w:pPr>
        <w:pStyle w:val="Caption"/>
      </w:pPr>
      <w:bookmarkStart w:id="136" w:name="_Toc103607889"/>
      <w:r w:rsidRPr="00D96063">
        <w:t xml:space="preserve">Table </w:t>
      </w:r>
      <w:fldSimple w:instr=" STYLEREF 1 \s ">
        <w:r w:rsidR="004B63B1">
          <w:rPr>
            <w:noProof/>
          </w:rPr>
          <w:t>3</w:t>
        </w:r>
      </w:fldSimple>
      <w:r w:rsidR="00BF3184">
        <w:t>.</w:t>
      </w:r>
      <w:fldSimple w:instr=" SEQ Table \* ARABIC \s 1 ">
        <w:r w:rsidR="004B63B1">
          <w:rPr>
            <w:noProof/>
          </w:rPr>
          <w:t>8</w:t>
        </w:r>
      </w:fldSimple>
      <w:r w:rsidRPr="00D96063">
        <w:t xml:space="preserve"> Ghana's Export Procedures, 2022</w:t>
      </w:r>
      <w:bookmarkEnd w:id="136"/>
    </w:p>
    <w:tbl>
      <w:tblPr>
        <w:tblStyle w:val="WTOTable1"/>
        <w:tblW w:w="0" w:type="auto"/>
        <w:tblLook w:val="04A0" w:firstRow="1" w:lastRow="0" w:firstColumn="1" w:lastColumn="0" w:noHBand="0" w:noVBand="1"/>
      </w:tblPr>
      <w:tblGrid>
        <w:gridCol w:w="1696"/>
        <w:gridCol w:w="7320"/>
      </w:tblGrid>
      <w:tr w:rsidR="00C15F2E" w:rsidRPr="00D96063" w14:paraId="2F520F8A" w14:textId="77777777" w:rsidTr="00893744">
        <w:trPr>
          <w:cnfStyle w:val="100000000000" w:firstRow="1" w:lastRow="0" w:firstColumn="0" w:lastColumn="0" w:oddVBand="0" w:evenVBand="0" w:oddHBand="0" w:evenHBand="0" w:firstRowFirstColumn="0" w:firstRowLastColumn="0" w:lastRowFirstColumn="0" w:lastRowLastColumn="0"/>
          <w:tblHeader/>
        </w:trPr>
        <w:tc>
          <w:tcPr>
            <w:tcW w:w="1696" w:type="dxa"/>
          </w:tcPr>
          <w:p w14:paraId="1C52C52E" w14:textId="77777777" w:rsidR="00C15F2E" w:rsidRPr="00D96063" w:rsidRDefault="00C15F2E" w:rsidP="00997D10">
            <w:pPr>
              <w:rPr>
                <w:color w:val="FFFFFF" w:themeColor="background1"/>
                <w:sz w:val="16"/>
                <w:szCs w:val="16"/>
              </w:rPr>
            </w:pPr>
            <w:r w:rsidRPr="00D96063">
              <w:rPr>
                <w:color w:val="FFFFFF" w:themeColor="background1"/>
                <w:sz w:val="16"/>
                <w:szCs w:val="16"/>
              </w:rPr>
              <w:t>Agency</w:t>
            </w:r>
          </w:p>
        </w:tc>
        <w:tc>
          <w:tcPr>
            <w:tcW w:w="7320" w:type="dxa"/>
          </w:tcPr>
          <w:p w14:paraId="2E63376D" w14:textId="77777777" w:rsidR="00C15F2E" w:rsidRPr="00D96063" w:rsidRDefault="00C15F2E" w:rsidP="008516FD">
            <w:pPr>
              <w:jc w:val="left"/>
              <w:rPr>
                <w:color w:val="FFFFFF" w:themeColor="background1"/>
                <w:sz w:val="16"/>
                <w:szCs w:val="16"/>
              </w:rPr>
            </w:pPr>
            <w:r w:rsidRPr="00D96063">
              <w:rPr>
                <w:color w:val="FFFFFF" w:themeColor="background1"/>
                <w:sz w:val="16"/>
                <w:szCs w:val="16"/>
              </w:rPr>
              <w:t>Procedures</w:t>
            </w:r>
          </w:p>
        </w:tc>
      </w:tr>
      <w:tr w:rsidR="00C15F2E" w:rsidRPr="00D96063" w14:paraId="0E3B1726" w14:textId="77777777" w:rsidTr="00997D10">
        <w:tc>
          <w:tcPr>
            <w:tcW w:w="1696" w:type="dxa"/>
          </w:tcPr>
          <w:p w14:paraId="7A2AEAC9" w14:textId="77777777" w:rsidR="00C15F2E" w:rsidRPr="00D96063" w:rsidRDefault="00C15F2E" w:rsidP="00A00386">
            <w:pPr>
              <w:jc w:val="left"/>
              <w:rPr>
                <w:sz w:val="16"/>
                <w:szCs w:val="16"/>
              </w:rPr>
            </w:pPr>
            <w:r w:rsidRPr="00D96063">
              <w:rPr>
                <w:sz w:val="16"/>
                <w:szCs w:val="16"/>
              </w:rPr>
              <w:t>Registrar General</w:t>
            </w:r>
          </w:p>
        </w:tc>
        <w:tc>
          <w:tcPr>
            <w:tcW w:w="7320" w:type="dxa"/>
          </w:tcPr>
          <w:p w14:paraId="5B7E1010" w14:textId="77777777" w:rsidR="00C15F2E" w:rsidRPr="00D96063" w:rsidRDefault="00C15F2E" w:rsidP="008516FD">
            <w:pPr>
              <w:jc w:val="left"/>
              <w:rPr>
                <w:sz w:val="16"/>
                <w:szCs w:val="16"/>
              </w:rPr>
            </w:pPr>
            <w:r w:rsidRPr="00D96063">
              <w:rPr>
                <w:sz w:val="16"/>
                <w:szCs w:val="16"/>
              </w:rPr>
              <w:t xml:space="preserve">Exporters must register their business. </w:t>
            </w:r>
          </w:p>
        </w:tc>
      </w:tr>
      <w:tr w:rsidR="00C15F2E" w:rsidRPr="00D96063" w14:paraId="46035623" w14:textId="77777777" w:rsidTr="00997D10">
        <w:trPr>
          <w:cnfStyle w:val="000000010000" w:firstRow="0" w:lastRow="0" w:firstColumn="0" w:lastColumn="0" w:oddVBand="0" w:evenVBand="0" w:oddHBand="0" w:evenHBand="1" w:firstRowFirstColumn="0" w:firstRowLastColumn="0" w:lastRowFirstColumn="0" w:lastRowLastColumn="0"/>
        </w:trPr>
        <w:tc>
          <w:tcPr>
            <w:tcW w:w="1696" w:type="dxa"/>
          </w:tcPr>
          <w:p w14:paraId="0BF3BE69" w14:textId="77777777" w:rsidR="00C15F2E" w:rsidRPr="00D96063" w:rsidRDefault="00C15F2E" w:rsidP="00A00386">
            <w:pPr>
              <w:jc w:val="left"/>
              <w:rPr>
                <w:sz w:val="16"/>
                <w:szCs w:val="16"/>
              </w:rPr>
            </w:pPr>
            <w:r w:rsidRPr="00D96063">
              <w:rPr>
                <w:sz w:val="16"/>
                <w:szCs w:val="16"/>
              </w:rPr>
              <w:t>GEPA</w:t>
            </w:r>
          </w:p>
        </w:tc>
        <w:tc>
          <w:tcPr>
            <w:tcW w:w="7320" w:type="dxa"/>
          </w:tcPr>
          <w:p w14:paraId="20DC7F10" w14:textId="77777777" w:rsidR="00C15F2E" w:rsidRPr="00D96063" w:rsidRDefault="00C15F2E" w:rsidP="008516FD">
            <w:pPr>
              <w:jc w:val="left"/>
              <w:rPr>
                <w:sz w:val="16"/>
                <w:szCs w:val="16"/>
              </w:rPr>
            </w:pPr>
            <w:r w:rsidRPr="00D96063">
              <w:rPr>
                <w:sz w:val="16"/>
                <w:szCs w:val="16"/>
              </w:rPr>
              <w:t>Exporters must register as an exporting company.</w:t>
            </w:r>
          </w:p>
        </w:tc>
      </w:tr>
      <w:tr w:rsidR="00C15F2E" w:rsidRPr="00D96063" w14:paraId="562D4F00" w14:textId="77777777" w:rsidTr="00997D10">
        <w:tc>
          <w:tcPr>
            <w:tcW w:w="1696" w:type="dxa"/>
          </w:tcPr>
          <w:p w14:paraId="090C67F1" w14:textId="77777777" w:rsidR="00C15F2E" w:rsidRPr="00D96063" w:rsidRDefault="00C15F2E" w:rsidP="00A00386">
            <w:pPr>
              <w:jc w:val="left"/>
              <w:rPr>
                <w:sz w:val="16"/>
                <w:szCs w:val="16"/>
              </w:rPr>
            </w:pPr>
            <w:r w:rsidRPr="00D96063">
              <w:rPr>
                <w:sz w:val="16"/>
                <w:szCs w:val="16"/>
              </w:rPr>
              <w:t>GSA and PIA</w:t>
            </w:r>
          </w:p>
        </w:tc>
        <w:tc>
          <w:tcPr>
            <w:tcW w:w="7320" w:type="dxa"/>
          </w:tcPr>
          <w:p w14:paraId="3BFC3941" w14:textId="77777777" w:rsidR="00C15F2E" w:rsidRPr="00D96063" w:rsidRDefault="00C15F2E" w:rsidP="008516FD">
            <w:pPr>
              <w:jc w:val="left"/>
              <w:rPr>
                <w:sz w:val="16"/>
                <w:szCs w:val="16"/>
              </w:rPr>
            </w:pPr>
            <w:r w:rsidRPr="00D96063">
              <w:rPr>
                <w:sz w:val="16"/>
                <w:szCs w:val="16"/>
              </w:rPr>
              <w:t xml:space="preserve">Exporters contact the GSA and other Permit Issuing Agencies (PIA, see below) where necessary for inspection of premises and production facilities as, according to the authorities, there are differences in requirements for the domestic and export markets. </w:t>
            </w:r>
          </w:p>
        </w:tc>
      </w:tr>
      <w:tr w:rsidR="00C15F2E" w:rsidRPr="00D96063" w14:paraId="4C8900C2" w14:textId="77777777" w:rsidTr="00997D10">
        <w:trPr>
          <w:cnfStyle w:val="000000010000" w:firstRow="0" w:lastRow="0" w:firstColumn="0" w:lastColumn="0" w:oddVBand="0" w:evenVBand="0" w:oddHBand="0" w:evenHBand="1" w:firstRowFirstColumn="0" w:firstRowLastColumn="0" w:lastRowFirstColumn="0" w:lastRowLastColumn="0"/>
        </w:trPr>
        <w:tc>
          <w:tcPr>
            <w:tcW w:w="1696" w:type="dxa"/>
          </w:tcPr>
          <w:p w14:paraId="233C8B6B" w14:textId="77777777" w:rsidR="00C15F2E" w:rsidRPr="00D96063" w:rsidRDefault="00C15F2E" w:rsidP="00A00386">
            <w:pPr>
              <w:jc w:val="left"/>
              <w:rPr>
                <w:sz w:val="16"/>
                <w:szCs w:val="16"/>
              </w:rPr>
            </w:pPr>
            <w:r w:rsidRPr="00D96063">
              <w:rPr>
                <w:sz w:val="16"/>
                <w:szCs w:val="16"/>
              </w:rPr>
              <w:t>GSA</w:t>
            </w:r>
          </w:p>
        </w:tc>
        <w:tc>
          <w:tcPr>
            <w:tcW w:w="7320" w:type="dxa"/>
          </w:tcPr>
          <w:p w14:paraId="64BD483C" w14:textId="77777777" w:rsidR="00C15F2E" w:rsidRPr="00D96063" w:rsidRDefault="00C15F2E" w:rsidP="008516FD">
            <w:pPr>
              <w:jc w:val="left"/>
              <w:rPr>
                <w:sz w:val="16"/>
                <w:szCs w:val="16"/>
              </w:rPr>
            </w:pPr>
            <w:r w:rsidRPr="00D96063">
              <w:rPr>
                <w:sz w:val="16"/>
                <w:szCs w:val="16"/>
              </w:rPr>
              <w:t>The GSA submits an inspection report and recommendations to GEPA and the exporter.</w:t>
            </w:r>
          </w:p>
        </w:tc>
      </w:tr>
      <w:tr w:rsidR="00C15F2E" w:rsidRPr="00D96063" w14:paraId="656344D3" w14:textId="77777777" w:rsidTr="00997D10">
        <w:tc>
          <w:tcPr>
            <w:tcW w:w="1696" w:type="dxa"/>
          </w:tcPr>
          <w:p w14:paraId="3EEEFFF2" w14:textId="77777777" w:rsidR="00C15F2E" w:rsidRPr="00D96063" w:rsidRDefault="00C15F2E" w:rsidP="00A00386">
            <w:pPr>
              <w:jc w:val="left"/>
              <w:rPr>
                <w:sz w:val="16"/>
                <w:szCs w:val="16"/>
              </w:rPr>
            </w:pPr>
            <w:r w:rsidRPr="00D96063">
              <w:rPr>
                <w:sz w:val="16"/>
                <w:szCs w:val="16"/>
              </w:rPr>
              <w:t>GEPA</w:t>
            </w:r>
          </w:p>
        </w:tc>
        <w:tc>
          <w:tcPr>
            <w:tcW w:w="7320" w:type="dxa"/>
          </w:tcPr>
          <w:p w14:paraId="71DDCF36" w14:textId="77777777" w:rsidR="00C15F2E" w:rsidRPr="00D96063" w:rsidRDefault="00C15F2E" w:rsidP="008516FD">
            <w:pPr>
              <w:jc w:val="left"/>
              <w:rPr>
                <w:sz w:val="16"/>
                <w:szCs w:val="16"/>
              </w:rPr>
            </w:pPr>
            <w:r w:rsidRPr="00D96063">
              <w:rPr>
                <w:sz w:val="16"/>
                <w:szCs w:val="16"/>
              </w:rPr>
              <w:t>GEPA completes the registration process, and a certificate is issued to the exporter with a copy sent to GRA Customs.</w:t>
            </w:r>
          </w:p>
        </w:tc>
      </w:tr>
      <w:tr w:rsidR="00C15F2E" w:rsidRPr="00D96063" w14:paraId="4D151B5F" w14:textId="77777777" w:rsidTr="00997D10">
        <w:trPr>
          <w:cnfStyle w:val="000000010000" w:firstRow="0" w:lastRow="0" w:firstColumn="0" w:lastColumn="0" w:oddVBand="0" w:evenVBand="0" w:oddHBand="0" w:evenHBand="1" w:firstRowFirstColumn="0" w:firstRowLastColumn="0" w:lastRowFirstColumn="0" w:lastRowLastColumn="0"/>
        </w:trPr>
        <w:tc>
          <w:tcPr>
            <w:tcW w:w="1696" w:type="dxa"/>
          </w:tcPr>
          <w:p w14:paraId="2C543662" w14:textId="77777777" w:rsidR="00C15F2E" w:rsidRPr="00D96063" w:rsidRDefault="00C15F2E" w:rsidP="00A00386">
            <w:pPr>
              <w:jc w:val="left"/>
              <w:rPr>
                <w:sz w:val="16"/>
                <w:szCs w:val="16"/>
              </w:rPr>
            </w:pPr>
            <w:r w:rsidRPr="00D96063">
              <w:rPr>
                <w:sz w:val="16"/>
                <w:szCs w:val="16"/>
              </w:rPr>
              <w:t>GSA</w:t>
            </w:r>
          </w:p>
        </w:tc>
        <w:tc>
          <w:tcPr>
            <w:tcW w:w="7320" w:type="dxa"/>
          </w:tcPr>
          <w:p w14:paraId="35B71E60" w14:textId="77777777" w:rsidR="00C15F2E" w:rsidRPr="00D96063" w:rsidRDefault="00C15F2E" w:rsidP="008516FD">
            <w:pPr>
              <w:jc w:val="left"/>
              <w:rPr>
                <w:sz w:val="16"/>
                <w:szCs w:val="16"/>
              </w:rPr>
            </w:pPr>
            <w:r w:rsidRPr="00D96063">
              <w:rPr>
                <w:sz w:val="16"/>
                <w:szCs w:val="16"/>
              </w:rPr>
              <w:t xml:space="preserve">GSA arranges inspection of </w:t>
            </w:r>
            <w:r w:rsidRPr="00D96063">
              <w:rPr>
                <w:sz w:val="16"/>
              </w:rPr>
              <w:t>each</w:t>
            </w:r>
            <w:r w:rsidRPr="00D96063">
              <w:rPr>
                <w:sz w:val="16"/>
                <w:szCs w:val="16"/>
              </w:rPr>
              <w:t xml:space="preserve"> consignment to be exported and samples for testing in collaboration with the PIA for the product.</w:t>
            </w:r>
          </w:p>
        </w:tc>
      </w:tr>
      <w:tr w:rsidR="00C15F2E" w:rsidRPr="00D96063" w14:paraId="48542D4E" w14:textId="77777777" w:rsidTr="00997D10">
        <w:trPr>
          <w:trHeight w:val="134"/>
        </w:trPr>
        <w:tc>
          <w:tcPr>
            <w:tcW w:w="1696" w:type="dxa"/>
          </w:tcPr>
          <w:p w14:paraId="3DC7E4D4" w14:textId="77777777" w:rsidR="00C15F2E" w:rsidRPr="00D96063" w:rsidRDefault="00C15F2E" w:rsidP="00A00386">
            <w:pPr>
              <w:jc w:val="left"/>
              <w:rPr>
                <w:sz w:val="16"/>
                <w:szCs w:val="16"/>
              </w:rPr>
            </w:pPr>
            <w:bookmarkStart w:id="137" w:name="_Hlk95393905"/>
            <w:r w:rsidRPr="00D96063">
              <w:rPr>
                <w:sz w:val="16"/>
                <w:szCs w:val="16"/>
              </w:rPr>
              <w:t>Registered bank</w:t>
            </w:r>
          </w:p>
        </w:tc>
        <w:tc>
          <w:tcPr>
            <w:tcW w:w="7320" w:type="dxa"/>
          </w:tcPr>
          <w:p w14:paraId="38A26046" w14:textId="77777777" w:rsidR="00C15F2E" w:rsidRPr="00D96063" w:rsidRDefault="00C15F2E" w:rsidP="008516FD">
            <w:pPr>
              <w:jc w:val="left"/>
              <w:rPr>
                <w:sz w:val="16"/>
                <w:szCs w:val="16"/>
              </w:rPr>
            </w:pPr>
            <w:r w:rsidRPr="00D96063">
              <w:rPr>
                <w:sz w:val="16"/>
                <w:szCs w:val="16"/>
              </w:rPr>
              <w:t>Exporter must generate a Letter of Commitment (LOC) in the ICUMS portal for each shipment.</w:t>
            </w:r>
          </w:p>
        </w:tc>
      </w:tr>
      <w:bookmarkEnd w:id="137"/>
      <w:tr w:rsidR="00C15F2E" w:rsidRPr="00D96063" w14:paraId="1E398CFB" w14:textId="77777777" w:rsidTr="00997D10">
        <w:trPr>
          <w:cnfStyle w:val="000000010000" w:firstRow="0" w:lastRow="0" w:firstColumn="0" w:lastColumn="0" w:oddVBand="0" w:evenVBand="0" w:oddHBand="0" w:evenHBand="1" w:firstRowFirstColumn="0" w:firstRowLastColumn="0" w:lastRowFirstColumn="0" w:lastRowLastColumn="0"/>
        </w:trPr>
        <w:tc>
          <w:tcPr>
            <w:tcW w:w="1696" w:type="dxa"/>
          </w:tcPr>
          <w:p w14:paraId="605AD4F0" w14:textId="77777777" w:rsidR="00C15F2E" w:rsidRPr="00D96063" w:rsidRDefault="00C15F2E" w:rsidP="00A00386">
            <w:pPr>
              <w:jc w:val="left"/>
              <w:rPr>
                <w:sz w:val="16"/>
                <w:szCs w:val="16"/>
              </w:rPr>
            </w:pPr>
            <w:r w:rsidRPr="00D96063">
              <w:rPr>
                <w:sz w:val="16"/>
                <w:szCs w:val="16"/>
              </w:rPr>
              <w:t>Exporter</w:t>
            </w:r>
          </w:p>
        </w:tc>
        <w:tc>
          <w:tcPr>
            <w:tcW w:w="7320" w:type="dxa"/>
          </w:tcPr>
          <w:p w14:paraId="17A7DF98" w14:textId="77777777" w:rsidR="00C15F2E" w:rsidRPr="00D96063" w:rsidRDefault="00C15F2E" w:rsidP="008516FD">
            <w:pPr>
              <w:jc w:val="left"/>
              <w:rPr>
                <w:sz w:val="16"/>
                <w:szCs w:val="16"/>
              </w:rPr>
            </w:pPr>
            <w:r w:rsidRPr="00D96063">
              <w:rPr>
                <w:sz w:val="16"/>
                <w:szCs w:val="16"/>
              </w:rPr>
              <w:t>Exporter gets a certificate of origin from the GNCCI.</w:t>
            </w:r>
          </w:p>
        </w:tc>
      </w:tr>
      <w:tr w:rsidR="00C15F2E" w:rsidRPr="00D96063" w14:paraId="6A05A970" w14:textId="77777777" w:rsidTr="00997D10">
        <w:tc>
          <w:tcPr>
            <w:tcW w:w="1696" w:type="dxa"/>
          </w:tcPr>
          <w:p w14:paraId="20E24CF5" w14:textId="77777777" w:rsidR="00C15F2E" w:rsidRPr="00D96063" w:rsidRDefault="00C15F2E" w:rsidP="00A00386">
            <w:pPr>
              <w:jc w:val="left"/>
              <w:rPr>
                <w:sz w:val="16"/>
                <w:szCs w:val="16"/>
              </w:rPr>
            </w:pPr>
            <w:r w:rsidRPr="00D96063">
              <w:rPr>
                <w:sz w:val="16"/>
                <w:szCs w:val="16"/>
              </w:rPr>
              <w:t>Customs</w:t>
            </w:r>
          </w:p>
        </w:tc>
        <w:tc>
          <w:tcPr>
            <w:tcW w:w="7320" w:type="dxa"/>
          </w:tcPr>
          <w:p w14:paraId="24AF0954" w14:textId="77777777" w:rsidR="00C15F2E" w:rsidRPr="00D96063" w:rsidRDefault="00C15F2E" w:rsidP="008516FD">
            <w:pPr>
              <w:jc w:val="left"/>
              <w:rPr>
                <w:sz w:val="16"/>
                <w:szCs w:val="16"/>
              </w:rPr>
            </w:pPr>
            <w:r w:rsidRPr="00D96063">
              <w:rPr>
                <w:sz w:val="16"/>
                <w:szCs w:val="16"/>
              </w:rPr>
              <w:t>Exporter presents all relevant documents to Customs at exit point, which shall ensure that the exporter has all relevant documents before processing products for export: certificate of origin from the GNCCI, export permits from the GSA and the FDA for processed products; and from the Plant Protection and Regulatory Services Directorate for raw/unprocessed agricultural products.</w:t>
            </w:r>
          </w:p>
        </w:tc>
      </w:tr>
      <w:tr w:rsidR="00C15F2E" w:rsidRPr="00D96063" w14:paraId="0F940E4A" w14:textId="77777777" w:rsidTr="00997D10">
        <w:trPr>
          <w:cnfStyle w:val="000000010000" w:firstRow="0" w:lastRow="0" w:firstColumn="0" w:lastColumn="0" w:oddVBand="0" w:evenVBand="0" w:oddHBand="0" w:evenHBand="1" w:firstRowFirstColumn="0" w:firstRowLastColumn="0" w:lastRowFirstColumn="0" w:lastRowLastColumn="0"/>
        </w:trPr>
        <w:tc>
          <w:tcPr>
            <w:tcW w:w="1696" w:type="dxa"/>
          </w:tcPr>
          <w:p w14:paraId="76422A4A" w14:textId="77777777" w:rsidR="00C15F2E" w:rsidRPr="00D96063" w:rsidRDefault="00C15F2E" w:rsidP="00A00386">
            <w:pPr>
              <w:jc w:val="left"/>
              <w:rPr>
                <w:sz w:val="16"/>
                <w:szCs w:val="16"/>
              </w:rPr>
            </w:pPr>
            <w:r w:rsidRPr="00D96063">
              <w:rPr>
                <w:sz w:val="16"/>
                <w:szCs w:val="16"/>
              </w:rPr>
              <w:t>Banks, BoG</w:t>
            </w:r>
          </w:p>
        </w:tc>
        <w:tc>
          <w:tcPr>
            <w:tcW w:w="7320" w:type="dxa"/>
          </w:tcPr>
          <w:p w14:paraId="635D5BB5" w14:textId="77777777" w:rsidR="00C15F2E" w:rsidRPr="00D96063" w:rsidRDefault="00C15F2E" w:rsidP="008516FD">
            <w:pPr>
              <w:jc w:val="left"/>
              <w:rPr>
                <w:sz w:val="16"/>
                <w:szCs w:val="16"/>
              </w:rPr>
            </w:pPr>
            <w:r w:rsidRPr="00D96063">
              <w:rPr>
                <w:sz w:val="16"/>
                <w:szCs w:val="16"/>
              </w:rPr>
              <w:t>Export proceeds must be repatriated to Ghana within 60 days.</w:t>
            </w:r>
            <w:r w:rsidRPr="00D96063">
              <w:rPr>
                <w:b/>
                <w:bCs/>
                <w:sz w:val="16"/>
                <w:szCs w:val="16"/>
              </w:rPr>
              <w:t xml:space="preserve"> </w:t>
            </w:r>
          </w:p>
        </w:tc>
      </w:tr>
    </w:tbl>
    <w:p w14:paraId="3DF4F710" w14:textId="77777777" w:rsidR="00C15F2E" w:rsidRPr="00D96063" w:rsidRDefault="00C15F2E" w:rsidP="00A00386">
      <w:pPr>
        <w:pStyle w:val="FootnoteText"/>
        <w:spacing w:before="120" w:after="240"/>
        <w:ind w:left="567" w:hanging="567"/>
      </w:pPr>
      <w:r w:rsidRPr="00D96063">
        <w:t>Source:</w:t>
      </w:r>
      <w:r w:rsidRPr="00D96063">
        <w:tab/>
        <w:t>GEPA.</w:t>
      </w:r>
    </w:p>
    <w:p w14:paraId="79B6F3E8" w14:textId="77777777" w:rsidR="00C15F2E" w:rsidRPr="00D96063" w:rsidRDefault="00C15F2E" w:rsidP="00E101A6">
      <w:pPr>
        <w:pStyle w:val="Heading3"/>
        <w:numPr>
          <w:ilvl w:val="2"/>
          <w:numId w:val="16"/>
        </w:numPr>
      </w:pPr>
      <w:bookmarkStart w:id="138" w:name="_Toc103607685"/>
      <w:r w:rsidRPr="00D96063">
        <w:t>Repatriation of export proceeds</w:t>
      </w:r>
      <w:bookmarkEnd w:id="138"/>
    </w:p>
    <w:p w14:paraId="7AB7F5FA" w14:textId="77777777" w:rsidR="00C15F2E" w:rsidRPr="00D96063" w:rsidRDefault="00C15F2E" w:rsidP="00E101A6">
      <w:pPr>
        <w:pStyle w:val="BodyText"/>
        <w:numPr>
          <w:ilvl w:val="6"/>
          <w:numId w:val="16"/>
        </w:numPr>
      </w:pPr>
      <w:r w:rsidRPr="00D96063">
        <w:t>All exporters (including free zone enterprises, and traditional and non-traditional exporters) must repatriate export proceeds to a registered bank in Ghana within 60 days after shipment. The exchange control form was replaced in 2020 by a Letter of Commitment, which is generated by the ICUMS single window for each shipment.</w:t>
      </w:r>
    </w:p>
    <w:p w14:paraId="7E646AD5" w14:textId="77777777" w:rsidR="00C15F2E" w:rsidRPr="00D96063" w:rsidRDefault="00C15F2E" w:rsidP="00E101A6">
      <w:pPr>
        <w:pStyle w:val="BodyText"/>
        <w:numPr>
          <w:ilvl w:val="6"/>
          <w:numId w:val="16"/>
        </w:numPr>
      </w:pPr>
      <w:r w:rsidRPr="00D96063">
        <w:t xml:space="preserve">For traditional exports, Ghana in addition retains a surrender requirement to the local banks (March 2022). Traditional exports include, </w:t>
      </w:r>
      <w:r w:rsidRPr="00D96063">
        <w:rPr>
          <w:i/>
        </w:rPr>
        <w:t>inter alia</w:t>
      </w:r>
      <w:r w:rsidRPr="00D96063">
        <w:t>, cocoa beans, timber, minerals, unprocessed gold, and electricity.</w:t>
      </w:r>
    </w:p>
    <w:p w14:paraId="6D6366AF" w14:textId="77777777" w:rsidR="00C15F2E" w:rsidRPr="00D96063" w:rsidRDefault="00C15F2E" w:rsidP="00E101A6">
      <w:pPr>
        <w:pStyle w:val="BodyText"/>
        <w:numPr>
          <w:ilvl w:val="6"/>
          <w:numId w:val="16"/>
        </w:numPr>
      </w:pPr>
      <w:r w:rsidRPr="00D96063">
        <w:t>For non-traditional exports, exporters are permitted to maintain Foreign Exchange Accounts with registered banks and use the proceeds of their exports freely: an Export Proceeds Retention Scheme allows exporters to exchange their foreign exchange proceeds from non-traditional exports into cedis at rates freely negotiated with their banks, or to keep the entire proceeds in foreign currency accounts in those local banks.</w:t>
      </w:r>
      <w:r w:rsidRPr="00D96063">
        <w:rPr>
          <w:rStyle w:val="FootnoteReference"/>
          <w:color w:val="000000" w:themeColor="text1"/>
        </w:rPr>
        <w:footnoteReference w:id="71"/>
      </w:r>
      <w:r w:rsidRPr="00D96063">
        <w:t xml:space="preserve"> Additionally, exporters of non-traditional goods and services are allowed to quote their export prices in cedis, with the option of receiving payment in foreign currency from non-residents at a freely negotiated exchange rate. Pursuant to Act 723, banks are required to submit quarterly reports on all export receipts to the Bank of Ghana (BoG). These reports can reportedly</w:t>
      </w:r>
      <w:r w:rsidRPr="00D96063">
        <w:rPr>
          <w:color w:val="FF0000"/>
        </w:rPr>
        <w:t xml:space="preserve"> </w:t>
      </w:r>
      <w:r w:rsidRPr="00D96063">
        <w:t>be accessed in real time on the ICUMS platform.</w:t>
      </w:r>
    </w:p>
    <w:p w14:paraId="19674AC7" w14:textId="77777777" w:rsidR="00C15F2E" w:rsidRPr="00D96063" w:rsidRDefault="00C15F2E" w:rsidP="00E101A6">
      <w:pPr>
        <w:pStyle w:val="Heading3"/>
        <w:numPr>
          <w:ilvl w:val="2"/>
          <w:numId w:val="16"/>
        </w:numPr>
      </w:pPr>
      <w:bookmarkStart w:id="139" w:name="_Toc103607686"/>
      <w:r w:rsidRPr="00D96063">
        <w:t>Rules of origin</w:t>
      </w:r>
      <w:bookmarkEnd w:id="139"/>
    </w:p>
    <w:p w14:paraId="2AAC69DE" w14:textId="0B87BBA0" w:rsidR="00C15F2E" w:rsidRPr="00D96063" w:rsidRDefault="00C15F2E" w:rsidP="00E101A6">
      <w:pPr>
        <w:pStyle w:val="BodyText"/>
        <w:numPr>
          <w:ilvl w:val="6"/>
          <w:numId w:val="16"/>
        </w:numPr>
      </w:pPr>
      <w:r w:rsidRPr="00D96063">
        <w:t>Ghana is a party to various agreements that provide for duty-free or preferential tariffs in export markets, which Ghanaian exporters can exploit by proof of a certificate of origin. The GNCCI issues several types of origin certificates: the EUR and UK certificates of origin; the Generalized System of Preferences certificate for countries such as the United States, Japan, Canada, and Switzerland; and the ECOWAS origin certificate.</w:t>
      </w:r>
      <w:r w:rsidRPr="00D96063">
        <w:rPr>
          <w:vertAlign w:val="superscript"/>
        </w:rPr>
        <w:footnoteReference w:id="72"/>
      </w:r>
      <w:r w:rsidRPr="00D96063">
        <w:t xml:space="preserve"> The authorities have indicated that Ghanaian exporters experience frequent delays at the borders due to verification processes by Customs </w:t>
      </w:r>
      <w:r w:rsidRPr="00D96063">
        <w:lastRenderedPageBreak/>
        <w:t>authorities of other ECOWAS importing countries. In addition to the certificate of origin, companies seeking to benefit from the ETLS must have fulfilled the registration requirements (Section 3.1.4).</w:t>
      </w:r>
      <w:r w:rsidRPr="00D96063">
        <w:rPr>
          <w:rStyle w:val="FootnoteReference"/>
        </w:rPr>
        <w:footnoteReference w:id="73"/>
      </w:r>
    </w:p>
    <w:p w14:paraId="33663E9E" w14:textId="77777777" w:rsidR="00C15F2E" w:rsidRPr="00D96063" w:rsidRDefault="00C15F2E" w:rsidP="00E101A6">
      <w:pPr>
        <w:pStyle w:val="Heading3"/>
        <w:numPr>
          <w:ilvl w:val="2"/>
          <w:numId w:val="16"/>
        </w:numPr>
      </w:pPr>
      <w:bookmarkStart w:id="140" w:name="_Toc103607687"/>
      <w:bookmarkStart w:id="141" w:name="_Hlk95395650"/>
      <w:r w:rsidRPr="00D96063">
        <w:t>Export taxes and charges</w:t>
      </w:r>
      <w:bookmarkEnd w:id="140"/>
    </w:p>
    <w:bookmarkEnd w:id="141"/>
    <w:p w14:paraId="747D0C7C" w14:textId="0AF04631" w:rsidR="00C15F2E" w:rsidRPr="00D96063" w:rsidRDefault="00C15F2E" w:rsidP="00E101A6">
      <w:pPr>
        <w:pStyle w:val="BodyText"/>
        <w:numPr>
          <w:ilvl w:val="6"/>
          <w:numId w:val="16"/>
        </w:numPr>
      </w:pPr>
      <w:r w:rsidRPr="00D96063">
        <w:t>Export taxes are currently applied on certain wood products (Section 4.1.4) and certain hydrocarbons sold to airlines. Export taxes on marine gas oil were removed in 2018. According to the authorities, Ghana does not at present apply statutory export taxes on cocoa beans. However, Ghana implements, through the state-owned Ghana Cocoa Board (COCOBOD), a mark-up on cocoa bean exports, the so-called living income differential (LID) (Section 4.1.</w:t>
      </w:r>
      <w:r w:rsidR="002D73F2">
        <w:t>2</w:t>
      </w:r>
      <w:r w:rsidRPr="00D96063">
        <w:t>).</w:t>
      </w:r>
    </w:p>
    <w:p w14:paraId="7C54F01F" w14:textId="77777777" w:rsidR="00C15F2E" w:rsidRPr="00D96063" w:rsidRDefault="00C15F2E" w:rsidP="00E101A6">
      <w:pPr>
        <w:pStyle w:val="Heading3"/>
        <w:numPr>
          <w:ilvl w:val="2"/>
          <w:numId w:val="16"/>
        </w:numPr>
      </w:pPr>
      <w:bookmarkStart w:id="142" w:name="_Toc103607688"/>
      <w:r w:rsidRPr="00D96063">
        <w:t>Export prohibitions, restrictions, and licensing</w:t>
      </w:r>
      <w:bookmarkEnd w:id="142"/>
    </w:p>
    <w:p w14:paraId="618CD7DC" w14:textId="77777777" w:rsidR="00C15F2E" w:rsidRPr="00D96063" w:rsidRDefault="00C15F2E" w:rsidP="00E101A6">
      <w:pPr>
        <w:pStyle w:val="BodyText"/>
        <w:numPr>
          <w:ilvl w:val="6"/>
          <w:numId w:val="16"/>
        </w:numPr>
      </w:pPr>
      <w:r w:rsidRPr="00D96063">
        <w:t>Some products are subject to special export permits (Table 3.9).</w:t>
      </w:r>
    </w:p>
    <w:p w14:paraId="734203D6" w14:textId="30903EF4" w:rsidR="00C15F2E" w:rsidRPr="00D96063" w:rsidRDefault="00C15F2E" w:rsidP="00DB5F40">
      <w:pPr>
        <w:pStyle w:val="Caption"/>
        <w:rPr>
          <w:b w:val="0"/>
          <w:bCs w:val="0"/>
        </w:rPr>
      </w:pPr>
      <w:bookmarkStart w:id="143" w:name="_Toc103607890"/>
      <w:r w:rsidRPr="00D96063">
        <w:t xml:space="preserve">Table </w:t>
      </w:r>
      <w:fldSimple w:instr=" STYLEREF 1 \s ">
        <w:r w:rsidR="004B63B1">
          <w:rPr>
            <w:noProof/>
          </w:rPr>
          <w:t>3</w:t>
        </w:r>
      </w:fldSimple>
      <w:r w:rsidR="00BF3184">
        <w:t>.</w:t>
      </w:r>
      <w:fldSimple w:instr=" SEQ Table \* ARABIC \s 1 ">
        <w:r w:rsidR="004B63B1">
          <w:rPr>
            <w:noProof/>
          </w:rPr>
          <w:t>9</w:t>
        </w:r>
      </w:fldSimple>
      <w:r w:rsidRPr="00D96063">
        <w:t xml:space="preserve"> Export permits</w:t>
      </w:r>
      <w:bookmarkEnd w:id="143"/>
    </w:p>
    <w:tbl>
      <w:tblPr>
        <w:tblStyle w:val="WTOTable1"/>
        <w:tblW w:w="0" w:type="auto"/>
        <w:tblLook w:val="04A0" w:firstRow="1" w:lastRow="0" w:firstColumn="1" w:lastColumn="0" w:noHBand="0" w:noVBand="1"/>
      </w:tblPr>
      <w:tblGrid>
        <w:gridCol w:w="3397"/>
        <w:gridCol w:w="5619"/>
      </w:tblGrid>
      <w:tr w:rsidR="00C15F2E" w:rsidRPr="00D96063" w14:paraId="57FE719A" w14:textId="77777777" w:rsidTr="00801175">
        <w:trPr>
          <w:cnfStyle w:val="100000000000" w:firstRow="1" w:lastRow="0" w:firstColumn="0" w:lastColumn="0" w:oddVBand="0" w:evenVBand="0" w:oddHBand="0" w:evenHBand="0" w:firstRowFirstColumn="0" w:firstRowLastColumn="0" w:lastRowFirstColumn="0" w:lastRowLastColumn="0"/>
        </w:trPr>
        <w:tc>
          <w:tcPr>
            <w:tcW w:w="3397" w:type="dxa"/>
          </w:tcPr>
          <w:p w14:paraId="469A1EAE" w14:textId="77777777" w:rsidR="00C15F2E" w:rsidRPr="00D96063" w:rsidRDefault="00C15F2E" w:rsidP="00997D10">
            <w:pPr>
              <w:rPr>
                <w:color w:val="FFFFFF" w:themeColor="background1"/>
                <w:sz w:val="16"/>
                <w:szCs w:val="16"/>
              </w:rPr>
            </w:pPr>
            <w:r w:rsidRPr="00D96063">
              <w:rPr>
                <w:color w:val="FFFFFF" w:themeColor="background1"/>
                <w:sz w:val="16"/>
                <w:szCs w:val="16"/>
              </w:rPr>
              <w:t>Product</w:t>
            </w:r>
          </w:p>
        </w:tc>
        <w:tc>
          <w:tcPr>
            <w:tcW w:w="5619" w:type="dxa"/>
          </w:tcPr>
          <w:p w14:paraId="2197CF75" w14:textId="77777777" w:rsidR="00C15F2E" w:rsidRPr="00D96063" w:rsidRDefault="00C15F2E" w:rsidP="00997D10">
            <w:pPr>
              <w:rPr>
                <w:color w:val="FFFFFF" w:themeColor="background1"/>
                <w:sz w:val="16"/>
                <w:szCs w:val="16"/>
              </w:rPr>
            </w:pPr>
            <w:r w:rsidRPr="00D96063">
              <w:rPr>
                <w:color w:val="FFFFFF" w:themeColor="background1"/>
                <w:sz w:val="16"/>
                <w:szCs w:val="16"/>
              </w:rPr>
              <w:t>Export Permit Issuing Agency</w:t>
            </w:r>
          </w:p>
        </w:tc>
      </w:tr>
      <w:tr w:rsidR="00C15F2E" w:rsidRPr="00D96063" w14:paraId="0529759A" w14:textId="77777777" w:rsidTr="00801175">
        <w:tc>
          <w:tcPr>
            <w:tcW w:w="3397" w:type="dxa"/>
          </w:tcPr>
          <w:p w14:paraId="57590054" w14:textId="77777777" w:rsidR="00C15F2E" w:rsidRPr="00D96063" w:rsidRDefault="00C15F2E" w:rsidP="00997D10">
            <w:pPr>
              <w:rPr>
                <w:sz w:val="16"/>
                <w:szCs w:val="16"/>
              </w:rPr>
            </w:pPr>
            <w:r w:rsidRPr="00D96063">
              <w:rPr>
                <w:sz w:val="16"/>
                <w:szCs w:val="16"/>
              </w:rPr>
              <w:t>Antiques</w:t>
            </w:r>
          </w:p>
        </w:tc>
        <w:tc>
          <w:tcPr>
            <w:tcW w:w="5619" w:type="dxa"/>
          </w:tcPr>
          <w:p w14:paraId="0C6E7920" w14:textId="77777777" w:rsidR="00C15F2E" w:rsidRPr="00D96063" w:rsidRDefault="00C15F2E" w:rsidP="00997D10">
            <w:pPr>
              <w:rPr>
                <w:sz w:val="16"/>
                <w:szCs w:val="16"/>
              </w:rPr>
            </w:pPr>
            <w:r w:rsidRPr="00D96063">
              <w:rPr>
                <w:sz w:val="16"/>
                <w:szCs w:val="16"/>
              </w:rPr>
              <w:t>Ghana Museums and Monuments Board</w:t>
            </w:r>
          </w:p>
        </w:tc>
      </w:tr>
      <w:tr w:rsidR="00C15F2E" w:rsidRPr="00D96063" w14:paraId="7E151429" w14:textId="77777777" w:rsidTr="00801175">
        <w:trPr>
          <w:cnfStyle w:val="000000010000" w:firstRow="0" w:lastRow="0" w:firstColumn="0" w:lastColumn="0" w:oddVBand="0" w:evenVBand="0" w:oddHBand="0" w:evenHBand="1" w:firstRowFirstColumn="0" w:firstRowLastColumn="0" w:lastRowFirstColumn="0" w:lastRowLastColumn="0"/>
        </w:trPr>
        <w:tc>
          <w:tcPr>
            <w:tcW w:w="3397" w:type="dxa"/>
          </w:tcPr>
          <w:p w14:paraId="22915888" w14:textId="77777777" w:rsidR="00C15F2E" w:rsidRPr="00D96063" w:rsidRDefault="00C15F2E" w:rsidP="00997D10">
            <w:pPr>
              <w:rPr>
                <w:sz w:val="16"/>
                <w:szCs w:val="16"/>
              </w:rPr>
            </w:pPr>
            <w:r w:rsidRPr="00D96063">
              <w:rPr>
                <w:sz w:val="16"/>
                <w:szCs w:val="16"/>
              </w:rPr>
              <w:t xml:space="preserve">Cocoa  </w:t>
            </w:r>
          </w:p>
        </w:tc>
        <w:tc>
          <w:tcPr>
            <w:tcW w:w="5619" w:type="dxa"/>
          </w:tcPr>
          <w:p w14:paraId="3CFE2D1A" w14:textId="77777777" w:rsidR="00C15F2E" w:rsidRPr="00D96063" w:rsidRDefault="00C15F2E" w:rsidP="00997D10">
            <w:pPr>
              <w:rPr>
                <w:sz w:val="16"/>
                <w:szCs w:val="16"/>
              </w:rPr>
            </w:pPr>
            <w:r w:rsidRPr="00D96063">
              <w:rPr>
                <w:sz w:val="16"/>
                <w:szCs w:val="16"/>
              </w:rPr>
              <w:t>Ghana Cocoa Board (COCOBOD)</w:t>
            </w:r>
          </w:p>
        </w:tc>
      </w:tr>
      <w:tr w:rsidR="00C15F2E" w:rsidRPr="00D96063" w14:paraId="025861C0" w14:textId="77777777" w:rsidTr="00801175">
        <w:tc>
          <w:tcPr>
            <w:tcW w:w="3397" w:type="dxa"/>
          </w:tcPr>
          <w:p w14:paraId="09B3614F" w14:textId="77777777" w:rsidR="00C15F2E" w:rsidRPr="00D96063" w:rsidRDefault="00C15F2E" w:rsidP="00997D10">
            <w:pPr>
              <w:rPr>
                <w:sz w:val="16"/>
                <w:szCs w:val="16"/>
              </w:rPr>
            </w:pPr>
            <w:r w:rsidRPr="00D96063">
              <w:rPr>
                <w:sz w:val="16"/>
                <w:szCs w:val="16"/>
              </w:rPr>
              <w:t>Timber &amp; wood products</w:t>
            </w:r>
          </w:p>
        </w:tc>
        <w:tc>
          <w:tcPr>
            <w:tcW w:w="5619" w:type="dxa"/>
          </w:tcPr>
          <w:p w14:paraId="41A8C347" w14:textId="77777777" w:rsidR="00C15F2E" w:rsidRPr="00D96063" w:rsidRDefault="00C15F2E" w:rsidP="00997D10">
            <w:pPr>
              <w:rPr>
                <w:sz w:val="16"/>
                <w:szCs w:val="16"/>
              </w:rPr>
            </w:pPr>
            <w:r w:rsidRPr="00D96063">
              <w:rPr>
                <w:sz w:val="16"/>
                <w:szCs w:val="16"/>
              </w:rPr>
              <w:t>Forestry Commission (Forest Products Inspection Division)</w:t>
            </w:r>
          </w:p>
        </w:tc>
      </w:tr>
      <w:tr w:rsidR="00C15F2E" w:rsidRPr="00D96063" w14:paraId="7EB65D3F" w14:textId="77777777" w:rsidTr="00801175">
        <w:trPr>
          <w:cnfStyle w:val="000000010000" w:firstRow="0" w:lastRow="0" w:firstColumn="0" w:lastColumn="0" w:oddVBand="0" w:evenVBand="0" w:oddHBand="0" w:evenHBand="1" w:firstRowFirstColumn="0" w:firstRowLastColumn="0" w:lastRowFirstColumn="0" w:lastRowLastColumn="0"/>
        </w:trPr>
        <w:tc>
          <w:tcPr>
            <w:tcW w:w="3397" w:type="dxa"/>
          </w:tcPr>
          <w:p w14:paraId="13AAA5E5" w14:textId="77777777" w:rsidR="00C15F2E" w:rsidRPr="00D96063" w:rsidRDefault="00C15F2E" w:rsidP="00997D10">
            <w:pPr>
              <w:rPr>
                <w:sz w:val="16"/>
                <w:szCs w:val="16"/>
              </w:rPr>
            </w:pPr>
            <w:r w:rsidRPr="00D96063">
              <w:rPr>
                <w:sz w:val="16"/>
                <w:szCs w:val="16"/>
              </w:rPr>
              <w:t xml:space="preserve">Charcoal </w:t>
            </w:r>
          </w:p>
        </w:tc>
        <w:tc>
          <w:tcPr>
            <w:tcW w:w="5619" w:type="dxa"/>
          </w:tcPr>
          <w:p w14:paraId="14AAFCF1" w14:textId="77777777" w:rsidR="00C15F2E" w:rsidRPr="00D96063" w:rsidRDefault="00C15F2E" w:rsidP="00997D10">
            <w:pPr>
              <w:rPr>
                <w:sz w:val="16"/>
                <w:szCs w:val="16"/>
              </w:rPr>
            </w:pPr>
            <w:r w:rsidRPr="00D96063">
              <w:rPr>
                <w:sz w:val="16"/>
                <w:szCs w:val="16"/>
              </w:rPr>
              <w:t>Energy Commission</w:t>
            </w:r>
          </w:p>
        </w:tc>
      </w:tr>
      <w:tr w:rsidR="00C15F2E" w:rsidRPr="00D96063" w14:paraId="53175537" w14:textId="77777777" w:rsidTr="00801175">
        <w:tc>
          <w:tcPr>
            <w:tcW w:w="3397" w:type="dxa"/>
          </w:tcPr>
          <w:p w14:paraId="352446D4" w14:textId="77777777" w:rsidR="00C15F2E" w:rsidRPr="00D96063" w:rsidRDefault="00C15F2E" w:rsidP="00997D10">
            <w:pPr>
              <w:rPr>
                <w:sz w:val="16"/>
                <w:szCs w:val="16"/>
              </w:rPr>
            </w:pPr>
            <w:r w:rsidRPr="00D96063">
              <w:rPr>
                <w:sz w:val="16"/>
                <w:szCs w:val="16"/>
              </w:rPr>
              <w:t>Rock &amp; rock samples</w:t>
            </w:r>
          </w:p>
        </w:tc>
        <w:tc>
          <w:tcPr>
            <w:tcW w:w="5619" w:type="dxa"/>
          </w:tcPr>
          <w:p w14:paraId="4BBE001E" w14:textId="77777777" w:rsidR="00C15F2E" w:rsidRPr="00D96063" w:rsidRDefault="00C15F2E" w:rsidP="00997D10">
            <w:pPr>
              <w:rPr>
                <w:sz w:val="16"/>
                <w:szCs w:val="16"/>
              </w:rPr>
            </w:pPr>
            <w:r w:rsidRPr="00D96063">
              <w:rPr>
                <w:sz w:val="16"/>
                <w:szCs w:val="16"/>
              </w:rPr>
              <w:t xml:space="preserve">Geological Survey Department </w:t>
            </w:r>
          </w:p>
        </w:tc>
      </w:tr>
      <w:tr w:rsidR="00C15F2E" w:rsidRPr="00D96063" w14:paraId="17B9E5C4" w14:textId="77777777" w:rsidTr="00801175">
        <w:trPr>
          <w:cnfStyle w:val="000000010000" w:firstRow="0" w:lastRow="0" w:firstColumn="0" w:lastColumn="0" w:oddVBand="0" w:evenVBand="0" w:oddHBand="0" w:evenHBand="1" w:firstRowFirstColumn="0" w:firstRowLastColumn="0" w:lastRowFirstColumn="0" w:lastRowLastColumn="0"/>
        </w:trPr>
        <w:tc>
          <w:tcPr>
            <w:tcW w:w="3397" w:type="dxa"/>
          </w:tcPr>
          <w:p w14:paraId="412D0269" w14:textId="77777777" w:rsidR="00C15F2E" w:rsidRPr="00D96063" w:rsidRDefault="00C15F2E" w:rsidP="00997D10">
            <w:pPr>
              <w:rPr>
                <w:sz w:val="16"/>
                <w:szCs w:val="16"/>
              </w:rPr>
            </w:pPr>
            <w:r w:rsidRPr="00D96063">
              <w:rPr>
                <w:sz w:val="16"/>
                <w:szCs w:val="16"/>
              </w:rPr>
              <w:t xml:space="preserve">Wildlife  </w:t>
            </w:r>
          </w:p>
        </w:tc>
        <w:tc>
          <w:tcPr>
            <w:tcW w:w="5619" w:type="dxa"/>
          </w:tcPr>
          <w:p w14:paraId="76C25167" w14:textId="77777777" w:rsidR="00C15F2E" w:rsidRPr="00D96063" w:rsidRDefault="00C15F2E" w:rsidP="00997D10">
            <w:pPr>
              <w:rPr>
                <w:sz w:val="16"/>
                <w:szCs w:val="16"/>
              </w:rPr>
            </w:pPr>
            <w:r w:rsidRPr="00D96063">
              <w:rPr>
                <w:sz w:val="16"/>
                <w:szCs w:val="16"/>
              </w:rPr>
              <w:t xml:space="preserve">Department of Game and Wildlife </w:t>
            </w:r>
          </w:p>
        </w:tc>
      </w:tr>
      <w:tr w:rsidR="00C15F2E" w:rsidRPr="00D96063" w14:paraId="4CDC6555" w14:textId="77777777" w:rsidTr="00801175">
        <w:tc>
          <w:tcPr>
            <w:tcW w:w="3397" w:type="dxa"/>
          </w:tcPr>
          <w:p w14:paraId="51B041BB" w14:textId="77777777" w:rsidR="00C15F2E" w:rsidRPr="00D96063" w:rsidRDefault="00C15F2E" w:rsidP="00997D10">
            <w:pPr>
              <w:rPr>
                <w:sz w:val="16"/>
                <w:szCs w:val="16"/>
              </w:rPr>
            </w:pPr>
            <w:r w:rsidRPr="00D96063">
              <w:rPr>
                <w:sz w:val="16"/>
                <w:szCs w:val="16"/>
              </w:rPr>
              <w:t xml:space="preserve">Chemicals </w:t>
            </w:r>
          </w:p>
        </w:tc>
        <w:tc>
          <w:tcPr>
            <w:tcW w:w="5619" w:type="dxa"/>
          </w:tcPr>
          <w:p w14:paraId="71D67F3E" w14:textId="77777777" w:rsidR="00C15F2E" w:rsidRPr="00D96063" w:rsidRDefault="00C15F2E" w:rsidP="00997D10">
            <w:pPr>
              <w:rPr>
                <w:sz w:val="16"/>
                <w:szCs w:val="16"/>
              </w:rPr>
            </w:pPr>
            <w:r w:rsidRPr="00D96063">
              <w:rPr>
                <w:sz w:val="16"/>
                <w:szCs w:val="16"/>
              </w:rPr>
              <w:t>Environmental Protection Agency</w:t>
            </w:r>
          </w:p>
        </w:tc>
      </w:tr>
      <w:tr w:rsidR="00C15F2E" w:rsidRPr="00D96063" w14:paraId="3166036A" w14:textId="77777777" w:rsidTr="00801175">
        <w:trPr>
          <w:cnfStyle w:val="000000010000" w:firstRow="0" w:lastRow="0" w:firstColumn="0" w:lastColumn="0" w:oddVBand="0" w:evenVBand="0" w:oddHBand="0" w:evenHBand="1" w:firstRowFirstColumn="0" w:firstRowLastColumn="0" w:lastRowFirstColumn="0" w:lastRowLastColumn="0"/>
        </w:trPr>
        <w:tc>
          <w:tcPr>
            <w:tcW w:w="3397" w:type="dxa"/>
          </w:tcPr>
          <w:p w14:paraId="3E2858CD" w14:textId="77777777" w:rsidR="00C15F2E" w:rsidRPr="00D96063" w:rsidRDefault="00C15F2E" w:rsidP="00997D10">
            <w:pPr>
              <w:rPr>
                <w:sz w:val="16"/>
                <w:szCs w:val="16"/>
              </w:rPr>
            </w:pPr>
            <w:r w:rsidRPr="00D96063">
              <w:rPr>
                <w:sz w:val="16"/>
                <w:szCs w:val="16"/>
              </w:rPr>
              <w:t>Scrap metals</w:t>
            </w:r>
          </w:p>
        </w:tc>
        <w:tc>
          <w:tcPr>
            <w:tcW w:w="5619" w:type="dxa"/>
          </w:tcPr>
          <w:p w14:paraId="2CE39208" w14:textId="77777777" w:rsidR="00C15F2E" w:rsidRPr="00D96063" w:rsidRDefault="00C15F2E" w:rsidP="00997D10">
            <w:pPr>
              <w:rPr>
                <w:b/>
                <w:bCs/>
                <w:sz w:val="16"/>
                <w:szCs w:val="16"/>
                <w:u w:val="single"/>
              </w:rPr>
            </w:pPr>
            <w:r w:rsidRPr="00D96063">
              <w:rPr>
                <w:sz w:val="16"/>
                <w:szCs w:val="16"/>
              </w:rPr>
              <w:t xml:space="preserve">Ministry of Trade and Industry </w:t>
            </w:r>
            <w:r w:rsidRPr="00D96063">
              <w:rPr>
                <w:b/>
                <w:bCs/>
                <w:sz w:val="16"/>
                <w:szCs w:val="16"/>
                <w:u w:val="single"/>
              </w:rPr>
              <w:t xml:space="preserve"> </w:t>
            </w:r>
          </w:p>
        </w:tc>
      </w:tr>
      <w:tr w:rsidR="00C15F2E" w:rsidRPr="00D96063" w14:paraId="6F751104" w14:textId="77777777" w:rsidTr="00801175">
        <w:tc>
          <w:tcPr>
            <w:tcW w:w="3397" w:type="dxa"/>
          </w:tcPr>
          <w:p w14:paraId="319DD06D" w14:textId="77777777" w:rsidR="00C15F2E" w:rsidRPr="00D96063" w:rsidRDefault="00C15F2E" w:rsidP="00997D10">
            <w:pPr>
              <w:rPr>
                <w:sz w:val="16"/>
                <w:szCs w:val="16"/>
              </w:rPr>
            </w:pPr>
            <w:r w:rsidRPr="00D96063">
              <w:rPr>
                <w:sz w:val="16"/>
                <w:szCs w:val="16"/>
              </w:rPr>
              <w:t>Soyabean</w:t>
            </w:r>
          </w:p>
        </w:tc>
        <w:tc>
          <w:tcPr>
            <w:tcW w:w="5619" w:type="dxa"/>
          </w:tcPr>
          <w:p w14:paraId="0E51B40D" w14:textId="77777777" w:rsidR="00C15F2E" w:rsidRPr="00D96063" w:rsidRDefault="00C15F2E" w:rsidP="00997D10">
            <w:pPr>
              <w:rPr>
                <w:sz w:val="16"/>
                <w:szCs w:val="16"/>
              </w:rPr>
            </w:pPr>
            <w:r w:rsidRPr="00D96063">
              <w:rPr>
                <w:sz w:val="16"/>
                <w:szCs w:val="16"/>
              </w:rPr>
              <w:t xml:space="preserve">Ministry of Trade and Industry </w:t>
            </w:r>
            <w:r w:rsidRPr="00D96063">
              <w:rPr>
                <w:b/>
                <w:bCs/>
                <w:sz w:val="16"/>
                <w:szCs w:val="16"/>
                <w:u w:val="single"/>
              </w:rPr>
              <w:t xml:space="preserve"> </w:t>
            </w:r>
          </w:p>
        </w:tc>
      </w:tr>
      <w:tr w:rsidR="00C15F2E" w:rsidRPr="00D96063" w14:paraId="6B9AA8FE" w14:textId="77777777" w:rsidTr="00801175">
        <w:trPr>
          <w:cnfStyle w:val="000000010000" w:firstRow="0" w:lastRow="0" w:firstColumn="0" w:lastColumn="0" w:oddVBand="0" w:evenVBand="0" w:oddHBand="0" w:evenHBand="1" w:firstRowFirstColumn="0" w:firstRowLastColumn="0" w:lastRowFirstColumn="0" w:lastRowLastColumn="0"/>
        </w:trPr>
        <w:tc>
          <w:tcPr>
            <w:tcW w:w="3397" w:type="dxa"/>
          </w:tcPr>
          <w:p w14:paraId="791AAC6D" w14:textId="77777777" w:rsidR="00C15F2E" w:rsidRPr="00D96063" w:rsidRDefault="00C15F2E" w:rsidP="00997D10">
            <w:pPr>
              <w:rPr>
                <w:sz w:val="16"/>
                <w:szCs w:val="16"/>
              </w:rPr>
            </w:pPr>
            <w:r w:rsidRPr="00D96063">
              <w:rPr>
                <w:sz w:val="16"/>
                <w:szCs w:val="16"/>
              </w:rPr>
              <w:t>Pharmaceuticals</w:t>
            </w:r>
          </w:p>
        </w:tc>
        <w:tc>
          <w:tcPr>
            <w:tcW w:w="5619" w:type="dxa"/>
          </w:tcPr>
          <w:p w14:paraId="0F55DA0C" w14:textId="77777777" w:rsidR="00C15F2E" w:rsidRPr="00D96063" w:rsidRDefault="00C15F2E" w:rsidP="00997D10">
            <w:pPr>
              <w:rPr>
                <w:sz w:val="16"/>
                <w:szCs w:val="16"/>
              </w:rPr>
            </w:pPr>
            <w:r w:rsidRPr="00D96063">
              <w:rPr>
                <w:sz w:val="16"/>
                <w:szCs w:val="16"/>
              </w:rPr>
              <w:t xml:space="preserve">Ministry of Health and the FDA </w:t>
            </w:r>
          </w:p>
        </w:tc>
      </w:tr>
    </w:tbl>
    <w:p w14:paraId="2751FFAD" w14:textId="77777777" w:rsidR="00C15F2E" w:rsidRPr="00D96063" w:rsidRDefault="00C15F2E" w:rsidP="00E101A6">
      <w:pPr>
        <w:pStyle w:val="FootnoteText"/>
        <w:spacing w:before="120" w:after="240"/>
        <w:ind w:firstLine="0"/>
      </w:pPr>
      <w:r w:rsidRPr="00D96063">
        <w:t xml:space="preserve">Source: GEPA. Viewed at: </w:t>
      </w:r>
      <w:hyperlink r:id="rId72" w:history="1">
        <w:r w:rsidRPr="00D96063">
          <w:rPr>
            <w:rFonts w:eastAsiaTheme="minorHAnsi" w:cstheme="minorBidi"/>
            <w:color w:val="0000FF"/>
            <w:szCs w:val="16"/>
            <w:u w:val="single"/>
            <w:lang w:eastAsia="en-US"/>
          </w:rPr>
          <w:t>https://www.gepaghana.org/import/faq/</w:t>
        </w:r>
      </w:hyperlink>
      <w:r w:rsidRPr="00D96063">
        <w:rPr>
          <w:rFonts w:eastAsiaTheme="minorHAnsi" w:cstheme="minorBidi"/>
          <w:sz w:val="18"/>
          <w:szCs w:val="22"/>
          <w:lang w:eastAsia="en-US"/>
        </w:rPr>
        <w:t>.</w:t>
      </w:r>
    </w:p>
    <w:p w14:paraId="0FCA5CCD" w14:textId="38F377F8" w:rsidR="00C15F2E" w:rsidRPr="00D96063" w:rsidRDefault="00C15F2E" w:rsidP="00E101A6">
      <w:pPr>
        <w:pStyle w:val="BodyText"/>
        <w:numPr>
          <w:ilvl w:val="6"/>
          <w:numId w:val="16"/>
        </w:numPr>
      </w:pPr>
      <w:r w:rsidRPr="00D96063">
        <w:t>The following exports are prohibited: narcotics; parrots; bank notes or coins of more than GHS 5,000; round logs (12 species including Rosewood, Section 4.1.</w:t>
      </w:r>
      <w:r w:rsidR="00684B52">
        <w:t>3</w:t>
      </w:r>
      <w:r w:rsidRPr="00D96063">
        <w:t>); rattan canes and bamboo, which may be exported only in processed form such as rattan furniture or baskets; obscene or pornographic materials; ferrous scrap metal (Section 4.3); and goods prohibited by any other laws or conventions, such as the CITES.</w:t>
      </w:r>
      <w:r w:rsidRPr="00D96063">
        <w:rPr>
          <w:rStyle w:val="FootnoteReference"/>
        </w:rPr>
        <w:footnoteReference w:id="74"/>
      </w:r>
    </w:p>
    <w:p w14:paraId="6156ECDA" w14:textId="77777777" w:rsidR="00C15F2E" w:rsidRPr="00D96063" w:rsidRDefault="00C15F2E" w:rsidP="00E101A6">
      <w:pPr>
        <w:pStyle w:val="Heading3"/>
        <w:numPr>
          <w:ilvl w:val="2"/>
          <w:numId w:val="16"/>
        </w:numPr>
      </w:pPr>
      <w:bookmarkStart w:id="144" w:name="_Toc103607689"/>
      <w:r w:rsidRPr="00D96063">
        <w:t>Export incentives</w:t>
      </w:r>
      <w:bookmarkEnd w:id="144"/>
    </w:p>
    <w:p w14:paraId="5EC952DE" w14:textId="77777777" w:rsidR="00C15F2E" w:rsidRPr="00D96063" w:rsidRDefault="00C15F2E" w:rsidP="00E101A6">
      <w:pPr>
        <w:pStyle w:val="Heading4"/>
        <w:numPr>
          <w:ilvl w:val="3"/>
          <w:numId w:val="16"/>
        </w:numPr>
      </w:pPr>
      <w:bookmarkStart w:id="145" w:name="_Toc103607690"/>
      <w:r w:rsidRPr="00D96063">
        <w:t>Export promotion</w:t>
      </w:r>
      <w:bookmarkEnd w:id="145"/>
    </w:p>
    <w:p w14:paraId="6C7CE929" w14:textId="77777777" w:rsidR="00C15F2E" w:rsidRPr="00D96063" w:rsidRDefault="00C15F2E" w:rsidP="00E101A6">
      <w:pPr>
        <w:pStyle w:val="BodyText"/>
        <w:numPr>
          <w:ilvl w:val="6"/>
          <w:numId w:val="16"/>
        </w:numPr>
      </w:pPr>
      <w:r w:rsidRPr="00D96063">
        <w:t>GEPA, an autonomous body set up in 1969, has the mandate to develop and promote exports.</w:t>
      </w:r>
      <w:r w:rsidRPr="00D96063">
        <w:rPr>
          <w:rStyle w:val="FootnoteReference"/>
        </w:rPr>
        <w:footnoteReference w:id="75"/>
      </w:r>
      <w:r w:rsidRPr="00D96063">
        <w:t xml:space="preserve"> GEPA has a staff of 150 people; its activities are funded by 10% of the proceeds from the 0.75% GEXIM import levy on non-petroleum products (Table 3.7). Key GEPA programmes include market access facilitation, technical advisory services for the support of product and market development, and trade information dissemination and communication, as well as human resource capacity strengthening through the Ghana export school.</w:t>
      </w:r>
      <w:r w:rsidRPr="00D96063">
        <w:rPr>
          <w:rStyle w:val="FootnoteReference"/>
        </w:rPr>
        <w:footnoteReference w:id="76"/>
      </w:r>
      <w:r w:rsidRPr="00D96063">
        <w:t xml:space="preserve"> GEPA coordinates its actions with the large panoply of other entities also intervening in the export process.</w:t>
      </w:r>
      <w:r w:rsidRPr="00D96063">
        <w:rPr>
          <w:rStyle w:val="FootnoteReference"/>
        </w:rPr>
        <w:footnoteReference w:id="77"/>
      </w:r>
    </w:p>
    <w:p w14:paraId="0F09B3EC" w14:textId="77777777" w:rsidR="00C15F2E" w:rsidRPr="00D96063" w:rsidRDefault="00C15F2E" w:rsidP="00E101A6">
      <w:pPr>
        <w:pStyle w:val="Heading4"/>
        <w:numPr>
          <w:ilvl w:val="3"/>
          <w:numId w:val="16"/>
        </w:numPr>
      </w:pPr>
      <w:bookmarkStart w:id="146" w:name="_Toc103607691"/>
      <w:r w:rsidRPr="00D96063">
        <w:t>Duty drawback</w:t>
      </w:r>
      <w:bookmarkEnd w:id="146"/>
    </w:p>
    <w:p w14:paraId="0248191D" w14:textId="50BA2F8D" w:rsidR="00C15F2E" w:rsidRPr="00D96063" w:rsidRDefault="00C15F2E" w:rsidP="00B8473F">
      <w:pPr>
        <w:pStyle w:val="BodyText"/>
        <w:numPr>
          <w:ilvl w:val="6"/>
          <w:numId w:val="16"/>
        </w:numPr>
      </w:pPr>
      <w:r w:rsidRPr="00D96063">
        <w:t>Ghana maintains a Duty Drawback Scheme, enabling exporting companies to obtain a refund of the customs tariffs</w:t>
      </w:r>
      <w:r w:rsidRPr="00D96063">
        <w:rPr>
          <w:color w:val="FF0000"/>
        </w:rPr>
        <w:t xml:space="preserve"> </w:t>
      </w:r>
      <w:r w:rsidRPr="00D96063">
        <w:t xml:space="preserve">paid on imported materials provided such companies can provide proof that </w:t>
      </w:r>
      <w:r w:rsidRPr="00D96063">
        <w:lastRenderedPageBreak/>
        <w:t>the goods have duly been re-exported (with or without technical transformation).</w:t>
      </w:r>
      <w:r w:rsidRPr="00D96063">
        <w:rPr>
          <w:rStyle w:val="FootnoteReference"/>
        </w:rPr>
        <w:footnoteReference w:id="78"/>
      </w:r>
      <w:r w:rsidRPr="00D96063">
        <w:t xml:space="preserve"> According to a study conducted by the GNCCI in 2016, the administration of the duty drawback continues to face challenges with only a third of companies that applied for the facility receiving their funds, and almost 70% of the applicants having their funds locked up with the Government.</w:t>
      </w:r>
      <w:r w:rsidRPr="00D96063">
        <w:rPr>
          <w:rStyle w:val="FootnoteReference"/>
        </w:rPr>
        <w:footnoteReference w:id="79"/>
      </w:r>
      <w:r w:rsidRPr="00D96063">
        <w:t xml:space="preserve"> According to this source, the complex nature of procedures also poses challenges to the duty drawback process. According to GRA Customs, cash refunds are made payable by cheque written in the name of the importer and paid directly into their bank accounts. An upfront duty exemption, which operates alongside the duty drawback system, apparently enables exporters to enjoy a 100% duty exemption on imports intended for use in the production for export (Customs (Amendment) Act, 2015 (Act 891)</w:t>
      </w:r>
      <w:r w:rsidR="00064E01">
        <w:t>)</w:t>
      </w:r>
      <w:r w:rsidRPr="00D96063">
        <w:t>.</w:t>
      </w:r>
    </w:p>
    <w:p w14:paraId="22F81FBD" w14:textId="77777777" w:rsidR="00C15F2E" w:rsidRPr="00D96063" w:rsidRDefault="00C15F2E" w:rsidP="00E101A6">
      <w:pPr>
        <w:pStyle w:val="Heading4"/>
        <w:numPr>
          <w:ilvl w:val="3"/>
          <w:numId w:val="16"/>
        </w:numPr>
      </w:pPr>
      <w:bookmarkStart w:id="147" w:name="_Toc103607692"/>
      <w:r w:rsidRPr="00D96063">
        <w:t>Export subsidies</w:t>
      </w:r>
      <w:bookmarkStart w:id="148" w:name="_Hlk86077277"/>
      <w:bookmarkEnd w:id="147"/>
    </w:p>
    <w:bookmarkEnd w:id="148"/>
    <w:p w14:paraId="23E663F7" w14:textId="77777777" w:rsidR="00C15F2E" w:rsidRPr="00D96063" w:rsidRDefault="00C15F2E" w:rsidP="00E101A6">
      <w:pPr>
        <w:pStyle w:val="BodyText"/>
        <w:numPr>
          <w:ilvl w:val="6"/>
          <w:numId w:val="16"/>
        </w:numPr>
      </w:pPr>
      <w:r w:rsidRPr="00D96063">
        <w:t>The WTO Committee on Agriculture has not received any export subsidy notifications from Ghana since 2001, and the WTO Committee on Subsidies and Countervailing Measures has not received any subsidies notifications from Ghana since 2004. The authorities indicate that MOTI and the Ministry of Food and Agriculture (MOFA) intend to work with the WTO Secretariat to meet these requirements.</w:t>
      </w:r>
    </w:p>
    <w:p w14:paraId="5895BE17" w14:textId="77777777" w:rsidR="00C15F2E" w:rsidRPr="00D96063" w:rsidRDefault="00C15F2E" w:rsidP="00E101A6">
      <w:pPr>
        <w:pStyle w:val="BodyText"/>
        <w:numPr>
          <w:ilvl w:val="6"/>
          <w:numId w:val="16"/>
        </w:numPr>
      </w:pPr>
      <w:r w:rsidRPr="00D96063">
        <w:t>A rebate of between 40% and 75% of the normal corporate tax liability is granted to eligible companies engaged in exporting part or all production of non-traditional products (horticultural products, agricultural products other than cocoa beans, wood products other than timber, handicrafts, and locally manufactured goods).</w:t>
      </w:r>
      <w:r w:rsidRPr="00D96063">
        <w:rPr>
          <w:rStyle w:val="FootnoteReference"/>
        </w:rPr>
        <w:footnoteReference w:id="80"/>
      </w:r>
    </w:p>
    <w:p w14:paraId="03AA5D83" w14:textId="77777777" w:rsidR="00C15F2E" w:rsidRPr="00D96063" w:rsidRDefault="00C15F2E" w:rsidP="00E101A6">
      <w:pPr>
        <w:pStyle w:val="Heading4"/>
        <w:numPr>
          <w:ilvl w:val="3"/>
          <w:numId w:val="16"/>
        </w:numPr>
      </w:pPr>
      <w:bookmarkStart w:id="149" w:name="_Toc103607693"/>
      <w:r w:rsidRPr="00D96063">
        <w:t>Export finance, insurance, and guarantees</w:t>
      </w:r>
      <w:bookmarkEnd w:id="149"/>
    </w:p>
    <w:p w14:paraId="39D2264F" w14:textId="7135951B" w:rsidR="00C15F2E" w:rsidRPr="00D96063" w:rsidRDefault="00C15F2E" w:rsidP="00E101A6">
      <w:pPr>
        <w:pStyle w:val="BodyText"/>
        <w:numPr>
          <w:ilvl w:val="6"/>
          <w:numId w:val="16"/>
        </w:numPr>
      </w:pPr>
      <w:r w:rsidRPr="00D96063">
        <w:t>With the passing of the Ghana Export-Import Bank Act, 2016 (Act 911), the Export, Trade, Agricultural and Industrial Development Fund was transformed into the Ghana Export-Import Bank (GEXIM).</w:t>
      </w:r>
      <w:r w:rsidRPr="00D96063">
        <w:rPr>
          <w:rStyle w:val="FootnoteReference"/>
        </w:rPr>
        <w:footnoteReference w:id="81"/>
      </w:r>
      <w:r w:rsidRPr="00D96063">
        <w:t xml:space="preserve"> The main objectives of GEXIM include the support and development, directly or indirectly, of trade between Ghana and other countries through the provision of export financing and capacity</w:t>
      </w:r>
      <w:r w:rsidRPr="00D96063">
        <w:noBreakHyphen/>
        <w:t>building in the international marketplace. The main source of funding is the 0.75% GEXIM levy on the dutiable value of all non-petroleum imports, together with fees and other revenue earned by the Bank in the performance of its functions. GEXIM collected close to USD 35 million in 2020 from the levy, and USD 47.5 million in 2021.</w:t>
      </w:r>
      <w:r w:rsidRPr="00D96063">
        <w:rPr>
          <w:rStyle w:val="FootnoteReference"/>
          <w:szCs w:val="18"/>
        </w:rPr>
        <w:footnoteReference w:id="82"/>
      </w:r>
    </w:p>
    <w:p w14:paraId="4E14759F" w14:textId="77777777" w:rsidR="00C15F2E" w:rsidRPr="00D96063" w:rsidRDefault="00C15F2E" w:rsidP="00E101A6">
      <w:pPr>
        <w:pStyle w:val="BodyText"/>
        <w:numPr>
          <w:ilvl w:val="6"/>
          <w:numId w:val="16"/>
        </w:numPr>
      </w:pPr>
      <w:r w:rsidRPr="00D96063">
        <w:t>GEXIM provides both pre-shipment and post-shipment credit facilities to registered Ghanaian companies. Products under the pre-shipment credit facilities include short</w:t>
      </w:r>
      <w:r w:rsidRPr="00D96063">
        <w:noBreakHyphen/>
        <w:t xml:space="preserve">term loans, bridge finance, import finance, and warehouse financing, whereas the post-shipment credit facilities are available for, </w:t>
      </w:r>
      <w:r w:rsidRPr="00D96063">
        <w:rPr>
          <w:i/>
        </w:rPr>
        <w:t>inter alia</w:t>
      </w:r>
      <w:r w:rsidRPr="00D96063">
        <w:t>, export finance, buyer's credit, and bills discounting.</w:t>
      </w:r>
      <w:r w:rsidRPr="00D96063">
        <w:rPr>
          <w:rStyle w:val="FootnoteReference"/>
          <w:szCs w:val="18"/>
        </w:rPr>
        <w:footnoteReference w:id="83"/>
      </w:r>
      <w:r w:rsidRPr="00D96063">
        <w:t xml:space="preserve"> GEXIM also provides export development finance, as well as research and advisory services. The incentive components include lower interest terms and repayment terms up to eight years.</w:t>
      </w:r>
    </w:p>
    <w:p w14:paraId="01F13533" w14:textId="3541DFA2" w:rsidR="00C15F2E" w:rsidRPr="00D96063" w:rsidRDefault="00C15F2E" w:rsidP="00E101A6">
      <w:pPr>
        <w:pStyle w:val="BodyText"/>
        <w:numPr>
          <w:ilvl w:val="6"/>
          <w:numId w:val="16"/>
        </w:numPr>
      </w:pPr>
      <w:r w:rsidRPr="00D96063">
        <w:t>GEXIM has also been the principal financier of the Government's One District One Factory (1D1F) Programme, under which it has partially financed nearly 81 projects that are at various stages of completion. Under the programme, GEXIM had disbursed nearly GHS 515</w:t>
      </w:r>
      <w:r w:rsidR="00125306">
        <w:t> </w:t>
      </w:r>
      <w:r w:rsidRPr="00D96063">
        <w:t>million (approximately USD 86</w:t>
      </w:r>
      <w:r w:rsidR="00125306">
        <w:t> </w:t>
      </w:r>
      <w:r w:rsidRPr="00D96063">
        <w:t xml:space="preserve">million) to 59 applicants as part of the 81 projects the Government has committed to supporting (February 2020). There was a funding gap of GHS 823 million (USD 137 million) to honour and support the financing of the 81 projects. To resolve this financial </w:t>
      </w:r>
      <w:r w:rsidRPr="00D96063">
        <w:lastRenderedPageBreak/>
        <w:t>challenge, GEXIM secured a five-year USD 100 million loan to finance export-related projects that had already been approved.</w:t>
      </w:r>
    </w:p>
    <w:p w14:paraId="1D92903D" w14:textId="77777777" w:rsidR="00C15F2E" w:rsidRPr="00D96063" w:rsidRDefault="00C15F2E" w:rsidP="00E101A6">
      <w:pPr>
        <w:pStyle w:val="Heading4"/>
        <w:numPr>
          <w:ilvl w:val="3"/>
          <w:numId w:val="16"/>
        </w:numPr>
      </w:pPr>
      <w:bookmarkStart w:id="151" w:name="_Toc103607694"/>
      <w:r w:rsidRPr="00D96063">
        <w:t>Free zones</w:t>
      </w:r>
      <w:bookmarkEnd w:id="151"/>
    </w:p>
    <w:p w14:paraId="1AB43C2C" w14:textId="77777777" w:rsidR="00C15F2E" w:rsidRPr="00D96063" w:rsidRDefault="00C15F2E" w:rsidP="00E101A6">
      <w:pPr>
        <w:pStyle w:val="BodyText"/>
        <w:numPr>
          <w:ilvl w:val="6"/>
          <w:numId w:val="16"/>
        </w:numPr>
      </w:pPr>
      <w:bookmarkStart w:id="152" w:name="_Hlk97565272"/>
      <w:r w:rsidRPr="00D96063">
        <w:t>The Ghana Free Zones Authority (GFZA) has the mandate to grant licences for the establishment of free zones (FZs) in Ghana, and to regulate activities in FZs. Its board is composed of nine members, including four from the private sector; it is chaired by the Minister of Trade and Industry.</w:t>
      </w:r>
      <w:r w:rsidRPr="00D96063">
        <w:rPr>
          <w:rStyle w:val="FootnoteReference"/>
          <w:szCs w:val="18"/>
        </w:rPr>
        <w:footnoteReference w:id="84"/>
      </w:r>
      <w:r w:rsidRPr="00D96063">
        <w:t xml:space="preserve"> Its annual reports have not been published since 2015. Licence fees range from USD 3,000 for manufacturing enterprises to USD 10,000 for commercial companies.</w:t>
      </w:r>
    </w:p>
    <w:p w14:paraId="0F751D75" w14:textId="77777777" w:rsidR="00C15F2E" w:rsidRPr="00D96063" w:rsidRDefault="00C15F2E" w:rsidP="00E101A6">
      <w:pPr>
        <w:pStyle w:val="BodyText"/>
        <w:numPr>
          <w:ilvl w:val="6"/>
          <w:numId w:val="16"/>
        </w:numPr>
      </w:pPr>
      <w:r w:rsidRPr="00D96063">
        <w:t>Ghana currently has four designated FZs: one is next to the seaport at Tema, two are close to the Takoradi seaport, and one is the Boankra Inland Port project near Kumasi, which started in 2001 but has yet to be completed.</w:t>
      </w:r>
      <w:r w:rsidRPr="00D96063">
        <w:rPr>
          <w:b/>
          <w:bCs/>
          <w:color w:val="FF0000"/>
        </w:rPr>
        <w:t xml:space="preserve"> </w:t>
      </w:r>
      <w:r w:rsidRPr="00D96063">
        <w:t>However, investors can also obtain FZ status at any point located anywhere in Ghana,</w:t>
      </w:r>
      <w:bookmarkEnd w:id="152"/>
      <w:r w:rsidRPr="00D96063">
        <w:t xml:space="preserve"> and be declared as a Single Factory Enterprise (free point) as provided in the Free Zone Act, 1995 (Act 504) and the Free Zone Regulations (L.I. 1618); indeed, these allow any part of Ghana to be declared as an FZ and any company as a free point if conditions are met.</w:t>
      </w:r>
      <w:r w:rsidRPr="00D96063">
        <w:rPr>
          <w:rStyle w:val="FootnoteReference"/>
        </w:rPr>
        <w:footnoteReference w:id="85"/>
      </w:r>
      <w:r w:rsidRPr="00D96063">
        <w:rPr>
          <w:szCs w:val="18"/>
        </w:rPr>
        <w:t xml:space="preserve"> </w:t>
      </w:r>
      <w:r w:rsidRPr="00D96063">
        <w:t>As at February 2022, there were 186 active FZs employing close to 30,000 persons.</w:t>
      </w:r>
    </w:p>
    <w:p w14:paraId="1AF7D132" w14:textId="12EED6E0" w:rsidR="00C15F2E" w:rsidRPr="00D96063" w:rsidRDefault="00C15F2E" w:rsidP="00B8473F">
      <w:pPr>
        <w:pStyle w:val="BodyText"/>
        <w:numPr>
          <w:ilvl w:val="6"/>
          <w:numId w:val="16"/>
        </w:numPr>
      </w:pPr>
      <w:r w:rsidRPr="00D96063">
        <w:t>An FZ enterprise/free point must export at least 70% of its production; it may accordingly sell 30% of the annual production of goods and services on the national market, subject to the payment of applicable taxes and duties. There are no restrictions on foreign ownership in an FZ enterprise/free point.</w:t>
      </w:r>
    </w:p>
    <w:p w14:paraId="30212DC7" w14:textId="77777777" w:rsidR="00C15F2E" w:rsidRPr="00D96063" w:rsidRDefault="00C15F2E" w:rsidP="003758E5">
      <w:pPr>
        <w:pStyle w:val="BodyText"/>
      </w:pPr>
      <w:r w:rsidRPr="00D96063">
        <w:t>FZ enterprises/free points have the right to produce any type of good or service for export; they benefit from various incentives including:</w:t>
      </w:r>
    </w:p>
    <w:p w14:paraId="03E5F121" w14:textId="6FB60612" w:rsidR="00C15F2E" w:rsidRPr="00D96063" w:rsidRDefault="00C15F2E" w:rsidP="003758E5">
      <w:pPr>
        <w:pStyle w:val="ListBullet2"/>
        <w:numPr>
          <w:ilvl w:val="1"/>
          <w:numId w:val="9"/>
        </w:numPr>
      </w:pPr>
      <w:r w:rsidRPr="00D96063">
        <w:t>100% exemption from payment of all direct and indirect taxes and levies (Table 3.7) on all imports for production and exports, granted upfront. Under the ECOWAS protocol, exports by FZ enterprises to other ECOWAS countries are not eligible for preferential treatment and are thus subject to customs duties.</w:t>
      </w:r>
    </w:p>
    <w:p w14:paraId="27603D8E" w14:textId="3513D14F" w:rsidR="00C15F2E" w:rsidRPr="00D96063" w:rsidRDefault="00C15F2E" w:rsidP="003758E5">
      <w:pPr>
        <w:pStyle w:val="ListBullet2"/>
        <w:numPr>
          <w:ilvl w:val="1"/>
          <w:numId w:val="9"/>
        </w:numPr>
      </w:pPr>
      <w:r w:rsidRPr="00D96063">
        <w:t>100% exemption from corporate tax on profits for 10 years; thereafter, this tax shall not exceed 15% (raised from 8% in 2015) instead of the normal rate of 25%.</w:t>
      </w:r>
    </w:p>
    <w:p w14:paraId="32263DC3" w14:textId="77777777" w:rsidR="00C15F2E" w:rsidRPr="00D96063" w:rsidRDefault="00C15F2E" w:rsidP="003758E5">
      <w:pPr>
        <w:pStyle w:val="ListBullet2"/>
        <w:numPr>
          <w:ilvl w:val="1"/>
          <w:numId w:val="9"/>
        </w:numPr>
      </w:pPr>
      <w:r w:rsidRPr="00D96063">
        <w:t>Total exemption of withholding taxes on dividends arising out of FZ investments (the normal rate of withholding taxes is 3% for the supply of goods, 5% for works, and 7.5% for services).</w:t>
      </w:r>
    </w:p>
    <w:p w14:paraId="001C3F21" w14:textId="54518569" w:rsidR="00C15F2E" w:rsidRPr="00D96063" w:rsidRDefault="00C15F2E" w:rsidP="003758E5">
      <w:pPr>
        <w:pStyle w:val="ListBullet2"/>
        <w:numPr>
          <w:ilvl w:val="1"/>
          <w:numId w:val="9"/>
        </w:numPr>
      </w:pPr>
      <w:r w:rsidRPr="00D96063">
        <w:t>Minimal customs formalities: Containers are not inspected at the port but on the premises of the company. Every FZ enterprise has a dedicated resident customs officer who carries out customs procedures to ensure that the imports or exports are not delayed at the port.</w:t>
      </w:r>
    </w:p>
    <w:p w14:paraId="56AE8DEF" w14:textId="77777777" w:rsidR="00C15F2E" w:rsidRPr="00D96063" w:rsidRDefault="00C15F2E" w:rsidP="003758E5">
      <w:pPr>
        <w:pStyle w:val="ListBullet2"/>
        <w:numPr>
          <w:ilvl w:val="1"/>
          <w:numId w:val="9"/>
        </w:numPr>
      </w:pPr>
      <w:r w:rsidRPr="00D96063">
        <w:t>There are no restrictions on repatriation of dividends or net profits; payments for foreign loan servicing; payments of fees and charges for technology transfer agreements and remittance of proceeds from sale of any interest in an FZ investment.</w:t>
      </w:r>
      <w:r w:rsidRPr="00D96063">
        <w:rPr>
          <w:vertAlign w:val="superscript"/>
        </w:rPr>
        <w:footnoteReference w:id="86"/>
      </w:r>
    </w:p>
    <w:p w14:paraId="0187E578" w14:textId="77777777" w:rsidR="00C15F2E" w:rsidRPr="00D96063" w:rsidRDefault="00C15F2E" w:rsidP="003758E5">
      <w:pPr>
        <w:pStyle w:val="ListBullet2"/>
        <w:numPr>
          <w:ilvl w:val="1"/>
          <w:numId w:val="9"/>
        </w:numPr>
      </w:pPr>
      <w:r w:rsidRPr="00D96063">
        <w:t>There are no restrictions on obtaining work and residence permits for foreign managerial and technical staff. In general, the recruitment procedure is considerably less complex than in the rest of the economy.</w:t>
      </w:r>
    </w:p>
    <w:p w14:paraId="557ACDB6" w14:textId="77777777" w:rsidR="00C15F2E" w:rsidRPr="00D96063" w:rsidRDefault="00C15F2E" w:rsidP="00E101A6">
      <w:pPr>
        <w:pStyle w:val="BodyText"/>
        <w:numPr>
          <w:ilvl w:val="6"/>
          <w:numId w:val="16"/>
        </w:numPr>
      </w:pPr>
      <w:r w:rsidRPr="00D96063">
        <w:t xml:space="preserve">As described above, substantial tax exemptions are granted to FZ companies, and amounted to an estimated USD 474 million in 2017, compared to their exports of approximately </w:t>
      </w:r>
      <w:r w:rsidRPr="00D96063">
        <w:lastRenderedPageBreak/>
        <w:t>USD 1.34 billion. Despite these benefits, FZ activities have not shown dynamic growth over the period under review (Chart 3.5).</w:t>
      </w:r>
    </w:p>
    <w:p w14:paraId="6332A3E5" w14:textId="77777777" w:rsidR="00C15F2E" w:rsidRPr="00D96063" w:rsidRDefault="00C15F2E" w:rsidP="00E101A6">
      <w:pPr>
        <w:pStyle w:val="BodyText"/>
        <w:numPr>
          <w:ilvl w:val="6"/>
          <w:numId w:val="16"/>
        </w:numPr>
      </w:pPr>
      <w:r w:rsidRPr="00D96063">
        <w:t>According to certain reports, monitoring has been weak, partly because of the large number of companies operating as free points throughout the country.</w:t>
      </w:r>
      <w:r w:rsidRPr="00D96063">
        <w:rPr>
          <w:rStyle w:val="FootnoteReference"/>
        </w:rPr>
        <w:footnoteReference w:id="87"/>
      </w:r>
      <w:r w:rsidRPr="00D96063">
        <w:t xml:space="preserve"> However, according to the GFZA, there is an effective monitoring mechanism, including dedicated resident Custom Officials and a department within the Authority that ensures monitoring and compliance, as well as submission of quarterly reports to track performance.</w:t>
      </w:r>
    </w:p>
    <w:p w14:paraId="28C67943" w14:textId="792568D7" w:rsidR="00C15F2E" w:rsidRPr="00D96063" w:rsidRDefault="00C15F2E" w:rsidP="008516FD">
      <w:pPr>
        <w:pStyle w:val="Caption"/>
        <w:keepNext w:val="0"/>
      </w:pPr>
      <w:bookmarkStart w:id="153" w:name="_Toc103607805"/>
      <w:bookmarkStart w:id="154" w:name="_Hlk100572666"/>
      <w:r w:rsidRPr="00D96063">
        <w:t xml:space="preserve">Chart </w:t>
      </w:r>
      <w:fldSimple w:instr=" STYLEREF 1 \s ">
        <w:r w:rsidR="004B63B1">
          <w:rPr>
            <w:noProof/>
          </w:rPr>
          <w:t>3</w:t>
        </w:r>
      </w:fldSimple>
      <w:r w:rsidR="00045F7A">
        <w:t>.</w:t>
      </w:r>
      <w:fldSimple w:instr=" SEQ Chart \* ARABIC \s 1 ">
        <w:r w:rsidR="004B63B1">
          <w:rPr>
            <w:noProof/>
          </w:rPr>
          <w:t>5</w:t>
        </w:r>
      </w:fldSimple>
      <w:r w:rsidRPr="00D96063">
        <w:t xml:space="preserve"> Export</w:t>
      </w:r>
      <w:r w:rsidR="00E67238">
        <w:t>s</w:t>
      </w:r>
      <w:r w:rsidRPr="00D96063">
        <w:t xml:space="preserve"> under the Free Zones Scheme</w:t>
      </w:r>
      <w:bookmarkEnd w:id="153"/>
    </w:p>
    <w:p w14:paraId="6126B67C" w14:textId="77777777" w:rsidR="00C15F2E" w:rsidRPr="00D96063" w:rsidRDefault="00C15F2E" w:rsidP="008516FD">
      <w:pPr>
        <w:rPr>
          <w:sz w:val="16"/>
          <w:szCs w:val="20"/>
        </w:rPr>
      </w:pPr>
      <w:r w:rsidRPr="00D96063">
        <w:rPr>
          <w:sz w:val="16"/>
          <w:szCs w:val="20"/>
        </w:rPr>
        <w:t>(USD billion)</w:t>
      </w:r>
    </w:p>
    <w:p w14:paraId="3478CE89" w14:textId="6E8AF6AE" w:rsidR="007A1409" w:rsidRDefault="007A1409" w:rsidP="008516FD">
      <w:r w:rsidRPr="007A1409">
        <w:rPr>
          <w:noProof/>
        </w:rPr>
        <w:drawing>
          <wp:inline distT="0" distB="0" distL="0" distR="0" wp14:anchorId="188CA729" wp14:editId="1BF70517">
            <wp:extent cx="5731510" cy="30480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t="9801" b="13705"/>
                    <a:stretch/>
                  </pic:blipFill>
                  <pic:spPr bwMode="auto">
                    <a:xfrm>
                      <a:off x="0" y="0"/>
                      <a:ext cx="5731510" cy="3048000"/>
                    </a:xfrm>
                    <a:prstGeom prst="rect">
                      <a:avLst/>
                    </a:prstGeom>
                    <a:noFill/>
                    <a:ln>
                      <a:noFill/>
                    </a:ln>
                    <a:extLst>
                      <a:ext uri="{53640926-AAD7-44D8-BBD7-CCE9431645EC}">
                        <a14:shadowObscured xmlns:a14="http://schemas.microsoft.com/office/drawing/2010/main"/>
                      </a:ext>
                    </a:extLst>
                  </pic:spPr>
                </pic:pic>
              </a:graphicData>
            </a:graphic>
          </wp:inline>
        </w:drawing>
      </w:r>
    </w:p>
    <w:p w14:paraId="49A4849D" w14:textId="1551B5D1" w:rsidR="00C15F2E" w:rsidRPr="00D96063" w:rsidRDefault="00C15F2E" w:rsidP="008516FD">
      <w:pPr>
        <w:pStyle w:val="NoteText"/>
        <w:spacing w:before="120" w:after="120"/>
      </w:pPr>
      <w:r w:rsidRPr="00D96063">
        <w:t>Note:</w:t>
      </w:r>
      <w:r w:rsidRPr="00D96063">
        <w:tab/>
        <w:t>Figures in parentheses denote the number of free zone enterprises (FZEs). Provisional data for the total export in 2020 (based on balance of payments data).</w:t>
      </w:r>
    </w:p>
    <w:p w14:paraId="47805B9E" w14:textId="49AC1157" w:rsidR="00C15F2E" w:rsidRPr="00D96063" w:rsidRDefault="00C15F2E" w:rsidP="008516FD">
      <w:pPr>
        <w:pStyle w:val="NoteText"/>
        <w:spacing w:before="120" w:after="240"/>
      </w:pPr>
      <w:r w:rsidRPr="00D96063">
        <w:t>Source:</w:t>
      </w:r>
      <w:r w:rsidRPr="00D96063">
        <w:tab/>
        <w:t>Ghana Free Zones Authority; BoG; and UN Comtrade.</w:t>
      </w:r>
    </w:p>
    <w:bookmarkEnd w:id="154"/>
    <w:p w14:paraId="22479B69" w14:textId="77777777" w:rsidR="00C15F2E" w:rsidRPr="00D96063" w:rsidRDefault="00C15F2E" w:rsidP="003758E5">
      <w:pPr>
        <w:pStyle w:val="BodyText"/>
      </w:pPr>
      <w:r w:rsidRPr="00D96063">
        <w:rPr>
          <w:szCs w:val="18"/>
        </w:rPr>
        <w:t xml:space="preserve">To further develop the FZ concept, Ghana </w:t>
      </w:r>
      <w:r w:rsidRPr="00D96063">
        <w:t>has signed a Framework Agreement with the Government of Mauritius to establish and manage a new FZ project, inviting local and international firms to set up operations. The Agreements were signed by the Ministry of Communications and a private developer, and not the GFZA directly. The Framework Agreement was ratified in May 2018 by the Ghanaian Parliament. Agreed projects include:</w:t>
      </w:r>
    </w:p>
    <w:p w14:paraId="3021CAE9" w14:textId="77777777" w:rsidR="00C15F2E" w:rsidRPr="00D96063" w:rsidRDefault="00C15F2E" w:rsidP="003758E5">
      <w:pPr>
        <w:pStyle w:val="ListBullet2"/>
        <w:numPr>
          <w:ilvl w:val="1"/>
          <w:numId w:val="9"/>
        </w:numPr>
      </w:pPr>
      <w:r w:rsidRPr="00D96063">
        <w:t>the development of a Technology and Innovation Hub on the campus of the University of Ghana in Central Accra;</w:t>
      </w:r>
    </w:p>
    <w:p w14:paraId="1B72163A" w14:textId="77777777" w:rsidR="00C15F2E" w:rsidRPr="00D96063" w:rsidRDefault="00C15F2E" w:rsidP="003758E5">
      <w:pPr>
        <w:pStyle w:val="ListBullet2"/>
        <w:numPr>
          <w:ilvl w:val="1"/>
          <w:numId w:val="9"/>
        </w:numPr>
      </w:pPr>
      <w:r w:rsidRPr="00D96063">
        <w:t>a Memorandum of Understanding between Ghana and Mauritius in June 2015 for the setting up of an ICT Park in Tema; and</w:t>
      </w:r>
    </w:p>
    <w:p w14:paraId="02CB70C9" w14:textId="77777777" w:rsidR="00C15F2E" w:rsidRPr="00D96063" w:rsidRDefault="00C15F2E" w:rsidP="003758E5">
      <w:pPr>
        <w:pStyle w:val="ListBullet2"/>
        <w:numPr>
          <w:ilvl w:val="1"/>
          <w:numId w:val="9"/>
        </w:numPr>
      </w:pPr>
      <w:r w:rsidRPr="00D96063">
        <w:t>the development of a Business and Technology Park (20 hectares) within the Smart City of Dawa. A special purpose vehicle under the name of Ghana Smart City Ltd in Ghana is jointly owned by Mauritius (60%) and LMI Holdings, a private developer (40%), for implementation of the project. Ghana Smart City Ltd was in December 2021 awaiting the allocation of the land from the University of Ghana.</w:t>
      </w:r>
    </w:p>
    <w:p w14:paraId="51B28DF5" w14:textId="77777777" w:rsidR="00C15F2E" w:rsidRPr="00D96063" w:rsidRDefault="00C15F2E" w:rsidP="003758E5">
      <w:pPr>
        <w:pStyle w:val="Heading2"/>
        <w:numPr>
          <w:ilvl w:val="1"/>
          <w:numId w:val="21"/>
        </w:numPr>
        <w:tabs>
          <w:tab w:val="num" w:pos="360"/>
          <w:tab w:val="num" w:pos="1209"/>
        </w:tabs>
        <w:ind w:left="360" w:hanging="360"/>
      </w:pPr>
      <w:bookmarkStart w:id="155" w:name="_Toc103607695"/>
      <w:r w:rsidRPr="00D96063">
        <w:lastRenderedPageBreak/>
        <w:t>Measures Affecting Production and Trade</w:t>
      </w:r>
      <w:bookmarkEnd w:id="155"/>
    </w:p>
    <w:p w14:paraId="49FCE006" w14:textId="77777777" w:rsidR="00C15F2E" w:rsidRPr="00D96063" w:rsidRDefault="00C15F2E" w:rsidP="00E101A6">
      <w:pPr>
        <w:pStyle w:val="Heading3"/>
        <w:numPr>
          <w:ilvl w:val="2"/>
          <w:numId w:val="16"/>
        </w:numPr>
      </w:pPr>
      <w:bookmarkStart w:id="156" w:name="_Toc103607696"/>
      <w:r w:rsidRPr="00D96063">
        <w:t>Incentives</w:t>
      </w:r>
      <w:bookmarkEnd w:id="156"/>
    </w:p>
    <w:p w14:paraId="052B25DE" w14:textId="5677F272" w:rsidR="00C15F2E" w:rsidRPr="00D96063" w:rsidRDefault="00C15F2E" w:rsidP="003758E5">
      <w:pPr>
        <w:pStyle w:val="BodyText"/>
      </w:pPr>
      <w:bookmarkStart w:id="157" w:name="_Hlk76934915"/>
      <w:r w:rsidRPr="00D96063">
        <w:t>Ghana's most recent subsidies notification to the WTO dates from 2004.</w:t>
      </w:r>
      <w:r w:rsidRPr="00D96063">
        <w:rPr>
          <w:vertAlign w:val="superscript"/>
        </w:rPr>
        <w:footnoteReference w:id="88"/>
      </w:r>
      <w:r w:rsidRPr="00D96063">
        <w:t xml:space="preserve"> The GIPC has compiled an Incentives Directory (2020) for Ghana. Most of the listed incentives take the form of: (i) reductions of the general corporate income tax rate (25%) to attract investment in specific industries and activities (Table 3.10); (ii) import duty, VAT, or excise duty exemptions or reductions (Section 3.1); or (iii) export-conditional tax exemptions (Section 3.2).</w:t>
      </w:r>
    </w:p>
    <w:p w14:paraId="63586766" w14:textId="7B12D0D9" w:rsidR="00C15F2E" w:rsidRPr="00D96063" w:rsidRDefault="00C15F2E" w:rsidP="00DB5F40">
      <w:pPr>
        <w:pStyle w:val="Caption"/>
      </w:pPr>
      <w:bookmarkStart w:id="158" w:name="_Toc103607891"/>
      <w:r w:rsidRPr="00D96063">
        <w:t xml:space="preserve">Table </w:t>
      </w:r>
      <w:fldSimple w:instr=" STYLEREF 1 \s ">
        <w:r w:rsidR="004B63B1">
          <w:rPr>
            <w:noProof/>
          </w:rPr>
          <w:t>3</w:t>
        </w:r>
      </w:fldSimple>
      <w:r w:rsidR="00BF3184">
        <w:t>.</w:t>
      </w:r>
      <w:fldSimple w:instr=" SEQ Table \* ARABIC \s 1 ">
        <w:r w:rsidR="004B63B1">
          <w:rPr>
            <w:noProof/>
          </w:rPr>
          <w:t>10</w:t>
        </w:r>
      </w:fldSimple>
      <w:r w:rsidRPr="00D96063">
        <w:t xml:space="preserve"> Selected tax incentives, 2022</w:t>
      </w:r>
      <w:bookmarkEnd w:id="158"/>
    </w:p>
    <w:tbl>
      <w:tblPr>
        <w:tblStyle w:val="WTOTable1"/>
        <w:tblW w:w="9067" w:type="dxa"/>
        <w:tblLook w:val="04A0" w:firstRow="1" w:lastRow="0" w:firstColumn="1" w:lastColumn="0" w:noHBand="0" w:noVBand="1"/>
      </w:tblPr>
      <w:tblGrid>
        <w:gridCol w:w="4957"/>
        <w:gridCol w:w="4110"/>
      </w:tblGrid>
      <w:tr w:rsidR="00C15F2E" w:rsidRPr="00D96063" w14:paraId="328D1490" w14:textId="77777777" w:rsidTr="00B8473F">
        <w:trPr>
          <w:cnfStyle w:val="100000000000" w:firstRow="1" w:lastRow="0" w:firstColumn="0" w:lastColumn="0" w:oddVBand="0" w:evenVBand="0" w:oddHBand="0" w:evenHBand="0" w:firstRowFirstColumn="0" w:firstRowLastColumn="0" w:lastRowFirstColumn="0" w:lastRowLastColumn="0"/>
          <w:tblHeader/>
        </w:trPr>
        <w:tc>
          <w:tcPr>
            <w:tcW w:w="4957" w:type="dxa"/>
            <w:hideMark/>
          </w:tcPr>
          <w:p w14:paraId="5183A545" w14:textId="77777777" w:rsidR="00C15F2E" w:rsidRPr="00D96063" w:rsidRDefault="00C15F2E" w:rsidP="00997D10">
            <w:pPr>
              <w:jc w:val="center"/>
              <w:rPr>
                <w:color w:val="FFFFFF" w:themeColor="background1"/>
                <w:sz w:val="15"/>
                <w:szCs w:val="15"/>
              </w:rPr>
            </w:pPr>
            <w:r w:rsidRPr="00D96063">
              <w:rPr>
                <w:color w:val="FFFFFF" w:themeColor="background1"/>
                <w:sz w:val="15"/>
                <w:szCs w:val="15"/>
              </w:rPr>
              <w:t>Activity</w:t>
            </w:r>
          </w:p>
        </w:tc>
        <w:tc>
          <w:tcPr>
            <w:tcW w:w="4110" w:type="dxa"/>
            <w:hideMark/>
          </w:tcPr>
          <w:p w14:paraId="42683384" w14:textId="77777777" w:rsidR="00C15F2E" w:rsidRPr="00D96063" w:rsidRDefault="00C15F2E" w:rsidP="00997D10">
            <w:pPr>
              <w:jc w:val="center"/>
              <w:rPr>
                <w:color w:val="FFFFFF" w:themeColor="background1"/>
                <w:sz w:val="15"/>
                <w:szCs w:val="15"/>
              </w:rPr>
            </w:pPr>
            <w:r w:rsidRPr="00D96063">
              <w:rPr>
                <w:color w:val="FFFFFF" w:themeColor="background1"/>
                <w:sz w:val="15"/>
                <w:szCs w:val="15"/>
              </w:rPr>
              <w:t>Incentive</w:t>
            </w:r>
          </w:p>
        </w:tc>
      </w:tr>
      <w:tr w:rsidR="00C15F2E" w:rsidRPr="00D96063" w14:paraId="43A208D1" w14:textId="77777777" w:rsidTr="00B8473F">
        <w:tc>
          <w:tcPr>
            <w:tcW w:w="4957" w:type="dxa"/>
            <w:hideMark/>
          </w:tcPr>
          <w:p w14:paraId="695AA855" w14:textId="77777777" w:rsidR="00C15F2E" w:rsidRPr="00D96063" w:rsidRDefault="00C15F2E" w:rsidP="00997D10">
            <w:pPr>
              <w:jc w:val="left"/>
              <w:rPr>
                <w:sz w:val="15"/>
                <w:szCs w:val="15"/>
              </w:rPr>
            </w:pPr>
            <w:r w:rsidRPr="00D96063">
              <w:rPr>
                <w:sz w:val="15"/>
                <w:szCs w:val="15"/>
              </w:rPr>
              <w:t>Companies using cocoa by-product as inputs</w:t>
            </w:r>
          </w:p>
        </w:tc>
        <w:tc>
          <w:tcPr>
            <w:tcW w:w="4110" w:type="dxa"/>
            <w:hideMark/>
          </w:tcPr>
          <w:p w14:paraId="55F8C4C8" w14:textId="77777777" w:rsidR="00C15F2E" w:rsidRPr="00D96063" w:rsidRDefault="00C15F2E" w:rsidP="00997D10">
            <w:pPr>
              <w:jc w:val="left"/>
              <w:rPr>
                <w:sz w:val="15"/>
                <w:szCs w:val="15"/>
              </w:rPr>
            </w:pPr>
            <w:r w:rsidRPr="00D96063">
              <w:rPr>
                <w:sz w:val="15"/>
                <w:szCs w:val="15"/>
              </w:rPr>
              <w:t xml:space="preserve">1% income tax rate for the first five years </w:t>
            </w:r>
          </w:p>
        </w:tc>
      </w:tr>
      <w:tr w:rsidR="00C15F2E" w:rsidRPr="00D96063" w14:paraId="72554A5D" w14:textId="77777777" w:rsidTr="00B8473F">
        <w:trPr>
          <w:cnfStyle w:val="000000010000" w:firstRow="0" w:lastRow="0" w:firstColumn="0" w:lastColumn="0" w:oddVBand="0" w:evenVBand="0" w:oddHBand="0" w:evenHBand="1" w:firstRowFirstColumn="0" w:firstRowLastColumn="0" w:lastRowFirstColumn="0" w:lastRowLastColumn="0"/>
        </w:trPr>
        <w:tc>
          <w:tcPr>
            <w:tcW w:w="4957" w:type="dxa"/>
            <w:hideMark/>
          </w:tcPr>
          <w:p w14:paraId="3A3923CD" w14:textId="77777777" w:rsidR="00C15F2E" w:rsidRPr="00D96063" w:rsidRDefault="00C15F2E" w:rsidP="00997D10">
            <w:pPr>
              <w:jc w:val="left"/>
              <w:rPr>
                <w:sz w:val="15"/>
                <w:szCs w:val="15"/>
              </w:rPr>
            </w:pPr>
            <w:r w:rsidRPr="00D96063">
              <w:rPr>
                <w:sz w:val="15"/>
                <w:szCs w:val="15"/>
              </w:rPr>
              <w:t>Tree crops enterprises</w:t>
            </w:r>
          </w:p>
        </w:tc>
        <w:tc>
          <w:tcPr>
            <w:tcW w:w="4110" w:type="dxa"/>
            <w:hideMark/>
          </w:tcPr>
          <w:p w14:paraId="3D1F3C33" w14:textId="77777777" w:rsidR="00C15F2E" w:rsidRPr="00D96063" w:rsidRDefault="00C15F2E" w:rsidP="00997D10">
            <w:pPr>
              <w:jc w:val="left"/>
              <w:rPr>
                <w:sz w:val="15"/>
                <w:szCs w:val="15"/>
              </w:rPr>
            </w:pPr>
            <w:r w:rsidRPr="00D96063">
              <w:rPr>
                <w:sz w:val="15"/>
                <w:szCs w:val="15"/>
              </w:rPr>
              <w:t xml:space="preserve">1% income tax rate for the first five years </w:t>
            </w:r>
          </w:p>
        </w:tc>
      </w:tr>
      <w:tr w:rsidR="00C15F2E" w:rsidRPr="00D96063" w14:paraId="6770DF2D" w14:textId="77777777" w:rsidTr="00B8473F">
        <w:tc>
          <w:tcPr>
            <w:tcW w:w="4957" w:type="dxa"/>
            <w:hideMark/>
          </w:tcPr>
          <w:p w14:paraId="4D12C9D2" w14:textId="77777777" w:rsidR="00C15F2E" w:rsidRPr="00D96063" w:rsidRDefault="00C15F2E" w:rsidP="00997D10">
            <w:pPr>
              <w:jc w:val="left"/>
              <w:rPr>
                <w:sz w:val="15"/>
                <w:szCs w:val="15"/>
              </w:rPr>
            </w:pPr>
            <w:r w:rsidRPr="00D96063">
              <w:rPr>
                <w:sz w:val="15"/>
                <w:szCs w:val="15"/>
              </w:rPr>
              <w:t>Livestock (other than cattle) and cash-crop production (cassava, maize, pineapple, rice, and yam)</w:t>
            </w:r>
          </w:p>
        </w:tc>
        <w:tc>
          <w:tcPr>
            <w:tcW w:w="4110" w:type="dxa"/>
            <w:hideMark/>
          </w:tcPr>
          <w:p w14:paraId="64D556D4" w14:textId="77777777" w:rsidR="00C15F2E" w:rsidRPr="00D96063" w:rsidRDefault="00C15F2E" w:rsidP="00997D10">
            <w:pPr>
              <w:jc w:val="left"/>
              <w:rPr>
                <w:sz w:val="15"/>
                <w:szCs w:val="15"/>
              </w:rPr>
            </w:pPr>
            <w:r w:rsidRPr="00D96063">
              <w:rPr>
                <w:sz w:val="15"/>
                <w:szCs w:val="15"/>
              </w:rPr>
              <w:t xml:space="preserve">1% income tax rate for the first five years </w:t>
            </w:r>
          </w:p>
        </w:tc>
      </w:tr>
      <w:tr w:rsidR="00C15F2E" w:rsidRPr="00D96063" w14:paraId="3AAB5A2A" w14:textId="77777777" w:rsidTr="00B8473F">
        <w:trPr>
          <w:cnfStyle w:val="000000010000" w:firstRow="0" w:lastRow="0" w:firstColumn="0" w:lastColumn="0" w:oddVBand="0" w:evenVBand="0" w:oddHBand="0" w:evenHBand="1" w:firstRowFirstColumn="0" w:firstRowLastColumn="0" w:lastRowFirstColumn="0" w:lastRowLastColumn="0"/>
        </w:trPr>
        <w:tc>
          <w:tcPr>
            <w:tcW w:w="4957" w:type="dxa"/>
            <w:hideMark/>
          </w:tcPr>
          <w:p w14:paraId="702EAB38" w14:textId="77777777" w:rsidR="00C15F2E" w:rsidRPr="00D96063" w:rsidRDefault="00C15F2E" w:rsidP="00997D10">
            <w:pPr>
              <w:jc w:val="left"/>
              <w:rPr>
                <w:sz w:val="15"/>
                <w:szCs w:val="15"/>
              </w:rPr>
            </w:pPr>
            <w:r w:rsidRPr="00D96063">
              <w:rPr>
                <w:sz w:val="15"/>
                <w:szCs w:val="15"/>
              </w:rPr>
              <w:t>Agro-processing</w:t>
            </w:r>
          </w:p>
        </w:tc>
        <w:tc>
          <w:tcPr>
            <w:tcW w:w="4110" w:type="dxa"/>
            <w:hideMark/>
          </w:tcPr>
          <w:p w14:paraId="496B766F" w14:textId="77777777" w:rsidR="00C15F2E" w:rsidRPr="00D96063" w:rsidRDefault="00C15F2E" w:rsidP="00997D10">
            <w:pPr>
              <w:jc w:val="left"/>
              <w:rPr>
                <w:color w:val="FF0000"/>
                <w:sz w:val="15"/>
              </w:rPr>
            </w:pPr>
            <w:r w:rsidRPr="00D96063">
              <w:rPr>
                <w:sz w:val="15"/>
                <w:szCs w:val="15"/>
              </w:rPr>
              <w:t xml:space="preserve">1% income tax rate for the first five years </w:t>
            </w:r>
          </w:p>
        </w:tc>
      </w:tr>
      <w:tr w:rsidR="00C15F2E" w:rsidRPr="00D96063" w14:paraId="2294CE6C" w14:textId="77777777" w:rsidTr="00B8473F">
        <w:tc>
          <w:tcPr>
            <w:tcW w:w="4957" w:type="dxa"/>
            <w:hideMark/>
          </w:tcPr>
          <w:p w14:paraId="5AAECEEE" w14:textId="77777777" w:rsidR="00C15F2E" w:rsidRPr="00D96063" w:rsidRDefault="00C15F2E" w:rsidP="00997D10">
            <w:pPr>
              <w:jc w:val="left"/>
              <w:rPr>
                <w:sz w:val="15"/>
                <w:szCs w:val="15"/>
              </w:rPr>
            </w:pPr>
            <w:r w:rsidRPr="00D96063">
              <w:rPr>
                <w:sz w:val="15"/>
                <w:szCs w:val="15"/>
              </w:rPr>
              <w:t>Real estate and construction activities for low-cost housing</w:t>
            </w:r>
          </w:p>
        </w:tc>
        <w:tc>
          <w:tcPr>
            <w:tcW w:w="4110" w:type="dxa"/>
            <w:hideMark/>
          </w:tcPr>
          <w:p w14:paraId="7F4559D9" w14:textId="77777777" w:rsidR="00C15F2E" w:rsidRPr="00D96063" w:rsidRDefault="00C15F2E" w:rsidP="00997D10">
            <w:pPr>
              <w:jc w:val="left"/>
              <w:rPr>
                <w:sz w:val="15"/>
                <w:szCs w:val="15"/>
              </w:rPr>
            </w:pPr>
            <w:r w:rsidRPr="00D96063">
              <w:rPr>
                <w:sz w:val="15"/>
                <w:szCs w:val="15"/>
              </w:rPr>
              <w:t xml:space="preserve">1% income tax rate for the first five years </w:t>
            </w:r>
          </w:p>
        </w:tc>
      </w:tr>
      <w:tr w:rsidR="00C15F2E" w:rsidRPr="00D96063" w14:paraId="6FA2F658" w14:textId="77777777" w:rsidTr="00B8473F">
        <w:trPr>
          <w:cnfStyle w:val="000000010000" w:firstRow="0" w:lastRow="0" w:firstColumn="0" w:lastColumn="0" w:oddVBand="0" w:evenVBand="0" w:oddHBand="0" w:evenHBand="1" w:firstRowFirstColumn="0" w:firstRowLastColumn="0" w:lastRowFirstColumn="0" w:lastRowLastColumn="0"/>
        </w:trPr>
        <w:tc>
          <w:tcPr>
            <w:tcW w:w="4957" w:type="dxa"/>
            <w:hideMark/>
          </w:tcPr>
          <w:p w14:paraId="41BFD0FD" w14:textId="77777777" w:rsidR="00C15F2E" w:rsidRPr="00D96063" w:rsidRDefault="00C15F2E" w:rsidP="00997D10">
            <w:pPr>
              <w:jc w:val="left"/>
              <w:rPr>
                <w:sz w:val="15"/>
                <w:szCs w:val="15"/>
              </w:rPr>
            </w:pPr>
            <w:r w:rsidRPr="00D96063">
              <w:rPr>
                <w:sz w:val="15"/>
                <w:szCs w:val="15"/>
              </w:rPr>
              <w:t xml:space="preserve">Venture capital financing </w:t>
            </w:r>
          </w:p>
        </w:tc>
        <w:tc>
          <w:tcPr>
            <w:tcW w:w="4110" w:type="dxa"/>
            <w:hideMark/>
          </w:tcPr>
          <w:p w14:paraId="76C145E2" w14:textId="77777777" w:rsidR="00C15F2E" w:rsidRPr="00D96063" w:rsidRDefault="00C15F2E" w:rsidP="00997D10">
            <w:pPr>
              <w:jc w:val="left"/>
              <w:rPr>
                <w:sz w:val="15"/>
                <w:szCs w:val="15"/>
              </w:rPr>
            </w:pPr>
            <w:r w:rsidRPr="00D96063">
              <w:rPr>
                <w:sz w:val="15"/>
                <w:szCs w:val="15"/>
              </w:rPr>
              <w:t>1% income tax rate on interest or dividend paid to investors for the first 10 years; and losses from disposal of shares or any investment made during the tax-exempt period may be carried forward to the post exempt period up to 5 years</w:t>
            </w:r>
          </w:p>
        </w:tc>
      </w:tr>
      <w:tr w:rsidR="00C15F2E" w:rsidRPr="00D96063" w14:paraId="58E994F2" w14:textId="77777777" w:rsidTr="00B8473F">
        <w:tc>
          <w:tcPr>
            <w:tcW w:w="4957" w:type="dxa"/>
            <w:hideMark/>
          </w:tcPr>
          <w:p w14:paraId="59D188ED" w14:textId="77777777" w:rsidR="00C15F2E" w:rsidRPr="00D96063" w:rsidRDefault="00C15F2E" w:rsidP="00997D10">
            <w:pPr>
              <w:jc w:val="left"/>
              <w:rPr>
                <w:sz w:val="15"/>
                <w:szCs w:val="15"/>
              </w:rPr>
            </w:pPr>
            <w:r w:rsidRPr="00D96063">
              <w:rPr>
                <w:sz w:val="15"/>
                <w:szCs w:val="15"/>
              </w:rPr>
              <w:t>Rural banking businesses</w:t>
            </w:r>
          </w:p>
        </w:tc>
        <w:tc>
          <w:tcPr>
            <w:tcW w:w="4110" w:type="dxa"/>
            <w:hideMark/>
          </w:tcPr>
          <w:p w14:paraId="567EC8C8" w14:textId="77777777" w:rsidR="00C15F2E" w:rsidRPr="00D96063" w:rsidRDefault="00C15F2E" w:rsidP="00997D10">
            <w:pPr>
              <w:jc w:val="left"/>
              <w:rPr>
                <w:sz w:val="15"/>
                <w:szCs w:val="15"/>
              </w:rPr>
            </w:pPr>
            <w:r w:rsidRPr="00D96063">
              <w:rPr>
                <w:sz w:val="15"/>
                <w:szCs w:val="15"/>
              </w:rPr>
              <w:t xml:space="preserve">1% income tax rate for the first 10 years </w:t>
            </w:r>
          </w:p>
        </w:tc>
      </w:tr>
      <w:tr w:rsidR="00C15F2E" w:rsidRPr="00D96063" w14:paraId="71576FA8" w14:textId="77777777" w:rsidTr="00B8473F">
        <w:trPr>
          <w:cnfStyle w:val="000000010000" w:firstRow="0" w:lastRow="0" w:firstColumn="0" w:lastColumn="0" w:oddVBand="0" w:evenVBand="0" w:oddHBand="0" w:evenHBand="1" w:firstRowFirstColumn="0" w:firstRowLastColumn="0" w:lastRowFirstColumn="0" w:lastRowLastColumn="0"/>
        </w:trPr>
        <w:tc>
          <w:tcPr>
            <w:tcW w:w="4957" w:type="dxa"/>
            <w:hideMark/>
          </w:tcPr>
          <w:p w14:paraId="1403DE29" w14:textId="77777777" w:rsidR="00C15F2E" w:rsidRPr="00D96063" w:rsidRDefault="00C15F2E" w:rsidP="00997D10">
            <w:pPr>
              <w:jc w:val="left"/>
              <w:rPr>
                <w:sz w:val="15"/>
                <w:szCs w:val="15"/>
              </w:rPr>
            </w:pPr>
            <w:r w:rsidRPr="00D96063">
              <w:rPr>
                <w:sz w:val="15"/>
                <w:szCs w:val="15"/>
              </w:rPr>
              <w:t>Waste processing and recycling</w:t>
            </w:r>
          </w:p>
        </w:tc>
        <w:tc>
          <w:tcPr>
            <w:tcW w:w="4110" w:type="dxa"/>
            <w:hideMark/>
          </w:tcPr>
          <w:p w14:paraId="736E80FD" w14:textId="77777777" w:rsidR="00C15F2E" w:rsidRPr="00D96063" w:rsidRDefault="00C15F2E" w:rsidP="00997D10">
            <w:pPr>
              <w:jc w:val="left"/>
              <w:rPr>
                <w:sz w:val="15"/>
                <w:szCs w:val="15"/>
              </w:rPr>
            </w:pPr>
            <w:r w:rsidRPr="00D96063">
              <w:rPr>
                <w:sz w:val="15"/>
                <w:szCs w:val="15"/>
              </w:rPr>
              <w:t xml:space="preserve">1% income tax rate for the first seven years </w:t>
            </w:r>
          </w:p>
        </w:tc>
      </w:tr>
      <w:tr w:rsidR="00C15F2E" w:rsidRPr="00D96063" w14:paraId="0C086EF0" w14:textId="77777777" w:rsidTr="00B8473F">
        <w:tc>
          <w:tcPr>
            <w:tcW w:w="4957" w:type="dxa"/>
            <w:hideMark/>
          </w:tcPr>
          <w:p w14:paraId="426362B6" w14:textId="77777777" w:rsidR="00C15F2E" w:rsidRPr="00D96063" w:rsidRDefault="00C15F2E" w:rsidP="00997D10">
            <w:pPr>
              <w:jc w:val="left"/>
              <w:rPr>
                <w:sz w:val="15"/>
                <w:szCs w:val="15"/>
              </w:rPr>
            </w:pPr>
            <w:r w:rsidRPr="00D96063">
              <w:rPr>
                <w:sz w:val="15"/>
                <w:szCs w:val="15"/>
              </w:rPr>
              <w:t>Manufacturing companies based on location</w:t>
            </w:r>
          </w:p>
        </w:tc>
        <w:tc>
          <w:tcPr>
            <w:tcW w:w="4110" w:type="dxa"/>
            <w:hideMark/>
          </w:tcPr>
          <w:p w14:paraId="79CEC27F" w14:textId="77777777" w:rsidR="00C15F2E" w:rsidRPr="00D96063" w:rsidRDefault="00C15F2E" w:rsidP="00997D10">
            <w:pPr>
              <w:jc w:val="left"/>
              <w:rPr>
                <w:sz w:val="15"/>
                <w:szCs w:val="15"/>
              </w:rPr>
            </w:pPr>
            <w:r w:rsidRPr="00D96063">
              <w:rPr>
                <w:sz w:val="15"/>
                <w:szCs w:val="15"/>
              </w:rPr>
              <w:t xml:space="preserve">75% of the regular rate of income tax for firms located in regional capitals and 50% of the regular rate of income tax for firms located elsewhere  </w:t>
            </w:r>
          </w:p>
        </w:tc>
      </w:tr>
      <w:tr w:rsidR="00C15F2E" w:rsidRPr="00D96063" w14:paraId="63AB9AC8" w14:textId="77777777" w:rsidTr="00B8473F">
        <w:trPr>
          <w:cnfStyle w:val="000000010000" w:firstRow="0" w:lastRow="0" w:firstColumn="0" w:lastColumn="0" w:oddVBand="0" w:evenVBand="0" w:oddHBand="0" w:evenHBand="1" w:firstRowFirstColumn="0" w:firstRowLastColumn="0" w:lastRowFirstColumn="0" w:lastRowLastColumn="0"/>
        </w:trPr>
        <w:tc>
          <w:tcPr>
            <w:tcW w:w="4957" w:type="dxa"/>
            <w:hideMark/>
          </w:tcPr>
          <w:p w14:paraId="3A9496C6" w14:textId="77777777" w:rsidR="00C15F2E" w:rsidRPr="00D96063" w:rsidRDefault="00C15F2E" w:rsidP="00997D10">
            <w:pPr>
              <w:jc w:val="left"/>
              <w:rPr>
                <w:sz w:val="15"/>
                <w:szCs w:val="15"/>
              </w:rPr>
            </w:pPr>
            <w:r w:rsidRPr="00D96063">
              <w:rPr>
                <w:sz w:val="15"/>
                <w:szCs w:val="15"/>
              </w:rPr>
              <w:t>Hotels</w:t>
            </w:r>
          </w:p>
        </w:tc>
        <w:tc>
          <w:tcPr>
            <w:tcW w:w="4110" w:type="dxa"/>
            <w:hideMark/>
          </w:tcPr>
          <w:p w14:paraId="7168FC7F" w14:textId="77777777" w:rsidR="00C15F2E" w:rsidRPr="00D96063" w:rsidRDefault="00C15F2E" w:rsidP="00997D10">
            <w:pPr>
              <w:jc w:val="left"/>
              <w:rPr>
                <w:sz w:val="15"/>
                <w:szCs w:val="15"/>
              </w:rPr>
            </w:pPr>
            <w:r w:rsidRPr="00D96063">
              <w:rPr>
                <w:sz w:val="15"/>
                <w:szCs w:val="15"/>
              </w:rPr>
              <w:t>20% corporate tax rate</w:t>
            </w:r>
          </w:p>
        </w:tc>
      </w:tr>
      <w:tr w:rsidR="00C15F2E" w:rsidRPr="00D96063" w14:paraId="360974A1" w14:textId="77777777" w:rsidTr="00B8473F">
        <w:tc>
          <w:tcPr>
            <w:tcW w:w="4957" w:type="dxa"/>
            <w:hideMark/>
          </w:tcPr>
          <w:p w14:paraId="495DD43B" w14:textId="77777777" w:rsidR="00C15F2E" w:rsidRPr="00D96063" w:rsidRDefault="00C15F2E" w:rsidP="00997D10">
            <w:pPr>
              <w:jc w:val="left"/>
              <w:rPr>
                <w:sz w:val="15"/>
                <w:szCs w:val="15"/>
              </w:rPr>
            </w:pPr>
            <w:r w:rsidRPr="00D96063">
              <w:rPr>
                <w:sz w:val="15"/>
                <w:szCs w:val="15"/>
              </w:rPr>
              <w:t>Income derived from loans to farming enterprises and leasing companies by a financial institution</w:t>
            </w:r>
          </w:p>
        </w:tc>
        <w:tc>
          <w:tcPr>
            <w:tcW w:w="4110" w:type="dxa"/>
            <w:hideMark/>
          </w:tcPr>
          <w:p w14:paraId="2FA3B2A7" w14:textId="77777777" w:rsidR="00C15F2E" w:rsidRPr="00D96063" w:rsidRDefault="00C15F2E" w:rsidP="00997D10">
            <w:pPr>
              <w:jc w:val="left"/>
              <w:rPr>
                <w:sz w:val="15"/>
                <w:szCs w:val="15"/>
              </w:rPr>
            </w:pPr>
            <w:r w:rsidRPr="00D96063">
              <w:rPr>
                <w:sz w:val="15"/>
                <w:szCs w:val="15"/>
              </w:rPr>
              <w:t>20% corporate tax rate</w:t>
            </w:r>
          </w:p>
        </w:tc>
      </w:tr>
      <w:tr w:rsidR="00C15F2E" w:rsidRPr="00D96063" w14:paraId="56AD04EE" w14:textId="77777777" w:rsidTr="00B8473F">
        <w:trPr>
          <w:cnfStyle w:val="000000010000" w:firstRow="0" w:lastRow="0" w:firstColumn="0" w:lastColumn="0" w:oddVBand="0" w:evenVBand="0" w:oddHBand="0" w:evenHBand="1" w:firstRowFirstColumn="0" w:firstRowLastColumn="0" w:lastRowFirstColumn="0" w:lastRowLastColumn="0"/>
        </w:trPr>
        <w:tc>
          <w:tcPr>
            <w:tcW w:w="4957" w:type="dxa"/>
            <w:hideMark/>
          </w:tcPr>
          <w:p w14:paraId="23CC14AA" w14:textId="77777777" w:rsidR="00C15F2E" w:rsidRPr="00D96063" w:rsidRDefault="00C15F2E" w:rsidP="00997D10">
            <w:pPr>
              <w:jc w:val="left"/>
              <w:rPr>
                <w:sz w:val="15"/>
                <w:szCs w:val="15"/>
              </w:rPr>
            </w:pPr>
            <w:r w:rsidRPr="00D96063">
              <w:rPr>
                <w:sz w:val="15"/>
                <w:szCs w:val="15"/>
              </w:rPr>
              <w:t>Income from exports for companies engaged in non</w:t>
            </w:r>
            <w:r w:rsidRPr="00D96063">
              <w:rPr>
                <w:sz w:val="15"/>
                <w:szCs w:val="15"/>
              </w:rPr>
              <w:noBreakHyphen/>
              <w:t>traditional exports (i.e. horticultural products, processed and raw agricultural products grown in Ghana)</w:t>
            </w:r>
          </w:p>
        </w:tc>
        <w:tc>
          <w:tcPr>
            <w:tcW w:w="4110" w:type="dxa"/>
            <w:hideMark/>
          </w:tcPr>
          <w:p w14:paraId="67417EDE" w14:textId="77777777" w:rsidR="00C15F2E" w:rsidRPr="00D96063" w:rsidRDefault="00C15F2E" w:rsidP="00997D10">
            <w:pPr>
              <w:jc w:val="left"/>
              <w:rPr>
                <w:sz w:val="15"/>
                <w:szCs w:val="15"/>
              </w:rPr>
            </w:pPr>
            <w:r w:rsidRPr="00D96063">
              <w:rPr>
                <w:sz w:val="15"/>
                <w:szCs w:val="15"/>
              </w:rPr>
              <w:t xml:space="preserve">8% corporate tax rate  </w:t>
            </w:r>
          </w:p>
        </w:tc>
      </w:tr>
    </w:tbl>
    <w:p w14:paraId="46A30915" w14:textId="77777777" w:rsidR="00C15F2E" w:rsidRPr="00D96063" w:rsidRDefault="00C15F2E" w:rsidP="00E101A6">
      <w:pPr>
        <w:pStyle w:val="NoteText"/>
        <w:spacing w:before="120" w:after="120"/>
      </w:pPr>
      <w:r w:rsidRPr="00D96063">
        <w:t>Note:</w:t>
      </w:r>
      <w:r w:rsidRPr="00D96063">
        <w:tab/>
        <w:t>The general corporate tax rate is 25%.</w:t>
      </w:r>
    </w:p>
    <w:p w14:paraId="77A056AC" w14:textId="59FF72D5" w:rsidR="00C15F2E" w:rsidRPr="00D96063" w:rsidRDefault="00C15F2E" w:rsidP="00E101A6">
      <w:pPr>
        <w:pStyle w:val="NoteText"/>
        <w:spacing w:before="120" w:after="240"/>
      </w:pPr>
      <w:r w:rsidRPr="00D96063">
        <w:t>Source:</w:t>
      </w:r>
      <w:r w:rsidRPr="00D96063">
        <w:tab/>
        <w:t>World Bank (2017); GIPC, "Ghana Incentives Directory"</w:t>
      </w:r>
      <w:r w:rsidR="005D7BDB">
        <w:t>;</w:t>
      </w:r>
      <w:r w:rsidRPr="00D96063">
        <w:t xml:space="preserve"> and information provided by the authorities.</w:t>
      </w:r>
    </w:p>
    <w:p w14:paraId="5D2A01D7" w14:textId="77777777" w:rsidR="00C15F2E" w:rsidRPr="00D96063" w:rsidRDefault="00C15F2E" w:rsidP="00E101A6">
      <w:pPr>
        <w:pStyle w:val="BodyText"/>
        <w:numPr>
          <w:ilvl w:val="6"/>
          <w:numId w:val="16"/>
        </w:numPr>
      </w:pPr>
      <w:r w:rsidRPr="00D96063">
        <w:t>Section 22 of the Internal Revenue Act, 2000 (Act 592) allows investors in most activities, except financial services, to carry over losses. Enterprises engaged in farming, agro-processing, mining, manufacturing, information and communication technology, and tourism can deduct, for a period of five years, losses of the previous five periods.</w:t>
      </w:r>
      <w:bookmarkEnd w:id="157"/>
    </w:p>
    <w:p w14:paraId="2F956A9A" w14:textId="77777777" w:rsidR="00C15F2E" w:rsidRPr="00D96063" w:rsidRDefault="00C15F2E" w:rsidP="00E101A6">
      <w:pPr>
        <w:pStyle w:val="Heading3"/>
        <w:numPr>
          <w:ilvl w:val="2"/>
          <w:numId w:val="16"/>
        </w:numPr>
      </w:pPr>
      <w:bookmarkStart w:id="159" w:name="_Toc103607697"/>
      <w:r w:rsidRPr="00D96063">
        <w:t>Local content requirements</w:t>
      </w:r>
      <w:bookmarkEnd w:id="159"/>
    </w:p>
    <w:p w14:paraId="12275317" w14:textId="77777777" w:rsidR="00C15F2E" w:rsidRPr="00D96063" w:rsidRDefault="00C15F2E" w:rsidP="00E101A6">
      <w:pPr>
        <w:pStyle w:val="BodyText"/>
        <w:numPr>
          <w:ilvl w:val="6"/>
          <w:numId w:val="16"/>
        </w:numPr>
      </w:pPr>
      <w:r w:rsidRPr="00D96063">
        <w:t>The Government resorts to local content measures in several sectors to foster value addition and industrialization and employment. No notification of such measures has been received by the WTO Committee on Trade-Related Investment Measures.</w:t>
      </w:r>
    </w:p>
    <w:p w14:paraId="09AB553A" w14:textId="699A3E01" w:rsidR="00C15F2E" w:rsidRPr="00D96063" w:rsidRDefault="00C15F2E" w:rsidP="00761A95">
      <w:pPr>
        <w:pStyle w:val="BodyText"/>
        <w:numPr>
          <w:ilvl w:val="6"/>
          <w:numId w:val="16"/>
        </w:numPr>
      </w:pPr>
      <w:r w:rsidRPr="00D96063">
        <w:t>A local content policy has also been in place since 2013 in the upstream petroleum subsector. And in the downstream petroleum subsector, local content provisions are contained in the applicable company licensing requirements; in 2021, these were reinforced by a new Ghanaian content and Ghanaian participation policy in the downstream petroleum subsector (Section 4.1.6).</w:t>
      </w:r>
    </w:p>
    <w:p w14:paraId="0CF14A92" w14:textId="77777777" w:rsidR="00C15F2E" w:rsidRPr="00D96063" w:rsidRDefault="00C15F2E" w:rsidP="00E101A6">
      <w:pPr>
        <w:pStyle w:val="BodyText"/>
        <w:numPr>
          <w:ilvl w:val="6"/>
          <w:numId w:val="16"/>
        </w:numPr>
      </w:pPr>
      <w:r w:rsidRPr="00D96063">
        <w:t>In the pharmaceutical industry, support measures include a 15% price preference for local manufacturers in government procurement, lower corporate taxes, and full deduction of research and development expenditures from corporate taxes (Section 4.3.2).</w:t>
      </w:r>
    </w:p>
    <w:p w14:paraId="1FC674DE" w14:textId="77777777" w:rsidR="00C15F2E" w:rsidRPr="00D96063" w:rsidRDefault="00C15F2E" w:rsidP="00E101A6">
      <w:pPr>
        <w:pStyle w:val="Heading3"/>
        <w:numPr>
          <w:ilvl w:val="2"/>
          <w:numId w:val="16"/>
        </w:numPr>
      </w:pPr>
      <w:bookmarkStart w:id="160" w:name="_Toc103607698"/>
      <w:r w:rsidRPr="00D96063">
        <w:t xml:space="preserve">Standards and other </w:t>
      </w:r>
      <w:r w:rsidRPr="00D96063">
        <w:rPr>
          <w:rFonts w:eastAsia="Calibri"/>
        </w:rPr>
        <w:t>technical</w:t>
      </w:r>
      <w:r w:rsidRPr="00D96063">
        <w:t xml:space="preserve"> requirements</w:t>
      </w:r>
      <w:bookmarkEnd w:id="160"/>
    </w:p>
    <w:p w14:paraId="1B7E3A79" w14:textId="77777777" w:rsidR="00C15F2E" w:rsidRPr="00D96063" w:rsidRDefault="00C15F2E" w:rsidP="00E101A6">
      <w:pPr>
        <w:pStyle w:val="BodyText"/>
        <w:numPr>
          <w:ilvl w:val="6"/>
          <w:numId w:val="16"/>
        </w:numPr>
      </w:pPr>
      <w:r w:rsidRPr="00D96063">
        <w:t xml:space="preserve">The institutional and legal framework governing standards development in Ghana has remained unchanged since the previous Review. </w:t>
      </w:r>
      <w:r w:rsidRPr="00D96063">
        <w:rPr>
          <w:lang w:eastAsia="en-GB"/>
        </w:rPr>
        <w:t xml:space="preserve">The </w:t>
      </w:r>
      <w:r w:rsidRPr="00D96063">
        <w:t xml:space="preserve">GSA operates under the oversight of MOTI and </w:t>
      </w:r>
      <w:r w:rsidRPr="00D96063">
        <w:lastRenderedPageBreak/>
        <w:t>functions as the technical barriers to trade (</w:t>
      </w:r>
      <w:r w:rsidRPr="00D96063">
        <w:rPr>
          <w:lang w:eastAsia="en-GB"/>
        </w:rPr>
        <w:t xml:space="preserve">TBT) notification and enquiry </w:t>
      </w:r>
      <w:r w:rsidRPr="00D96063">
        <w:t>point</w:t>
      </w:r>
      <w:r w:rsidRPr="00D96063">
        <w:rPr>
          <w:lang w:eastAsia="en-GB"/>
        </w:rPr>
        <w:t xml:space="preserve"> under the WTO Agreement on Technical Barriers to Trade. One specific trade concern was raised in the TBT Committee regarding Ghana's measures (see below).</w:t>
      </w:r>
    </w:p>
    <w:p w14:paraId="5495F4EB" w14:textId="77777777" w:rsidR="00C15F2E" w:rsidRPr="00D96063" w:rsidRDefault="00C15F2E" w:rsidP="00E101A6">
      <w:pPr>
        <w:pStyle w:val="BodyText"/>
        <w:numPr>
          <w:ilvl w:val="6"/>
          <w:numId w:val="16"/>
        </w:numPr>
      </w:pPr>
      <w:r w:rsidRPr="00D96063">
        <w:t xml:space="preserve">The GSA is responsible for the management and coordination of standards development, conformity </w:t>
      </w:r>
      <w:r w:rsidRPr="00D96063">
        <w:rPr>
          <w:lang w:eastAsia="en-GB"/>
        </w:rPr>
        <w:t>assessment,</w:t>
      </w:r>
      <w:r w:rsidRPr="00D96063">
        <w:t xml:space="preserve"> and metrology in Ghana, in accordance with the Standards Authority Act, 1973. In addition to standards development and dissemination, the GSA certifies products under its product certification scheme (see below). It maintains an electronic catalogue of all national standards on its website.</w:t>
      </w:r>
      <w:r w:rsidRPr="00D96063">
        <w:rPr>
          <w:vertAlign w:val="superscript"/>
        </w:rPr>
        <w:footnoteReference w:id="89"/>
      </w:r>
      <w:r w:rsidRPr="00D96063">
        <w:t xml:space="preserve"> The GSA is mainly government-funded, but also collects fees from its quality assurance and testing activities.</w:t>
      </w:r>
    </w:p>
    <w:p w14:paraId="17E1C7B8" w14:textId="77777777" w:rsidR="00C15F2E" w:rsidRPr="00D96063" w:rsidRDefault="00C15F2E" w:rsidP="00E101A6">
      <w:pPr>
        <w:pStyle w:val="BodyText"/>
        <w:numPr>
          <w:ilvl w:val="6"/>
          <w:numId w:val="16"/>
        </w:numPr>
      </w:pPr>
      <w:r w:rsidRPr="00D96063">
        <w:t xml:space="preserve">The GSA represents Ghana in, </w:t>
      </w:r>
      <w:r w:rsidRPr="00D96063">
        <w:rPr>
          <w:i/>
        </w:rPr>
        <w:t>inter alia</w:t>
      </w:r>
      <w:r w:rsidRPr="00D96063">
        <w:t>, the International Organization for Standardization (ISO), and the African Regional Organization for Standardization (ARSO). It is the contact point for FAO/WHO Codex Alimentarius issues and is a member of the African Electrotechnical Standardization Commission (AFSEC) and an associate member of the International Electrotechnical Commission (IEC).</w:t>
      </w:r>
    </w:p>
    <w:p w14:paraId="4BB7AA58" w14:textId="77777777" w:rsidR="00C15F2E" w:rsidRPr="00D96063" w:rsidRDefault="00C15F2E" w:rsidP="00E101A6">
      <w:pPr>
        <w:pStyle w:val="BodyText"/>
        <w:numPr>
          <w:ilvl w:val="6"/>
          <w:numId w:val="16"/>
        </w:numPr>
      </w:pPr>
      <w:r w:rsidRPr="00D96063">
        <w:t xml:space="preserve">The GSA is involved in standards harmonization within the framework of </w:t>
      </w:r>
      <w:r w:rsidRPr="00D96063">
        <w:rPr>
          <w:rFonts w:eastAsia="Calibri" w:cs="Times New Roman"/>
        </w:rPr>
        <w:t xml:space="preserve">the ECOWAS Standard </w:t>
      </w:r>
      <w:r w:rsidRPr="00D96063">
        <w:t>Harmonization</w:t>
      </w:r>
      <w:r w:rsidRPr="00D96063">
        <w:rPr>
          <w:rFonts w:eastAsia="Calibri" w:cs="Times New Roman"/>
        </w:rPr>
        <w:t xml:space="preserve"> process (ECOSHAM).</w:t>
      </w:r>
      <w:r w:rsidRPr="00D96063">
        <w:t xml:space="preserve"> The regional harmonization procedures are governed by, </w:t>
      </w:r>
      <w:r w:rsidRPr="00D96063">
        <w:rPr>
          <w:i/>
        </w:rPr>
        <w:t>inter alia</w:t>
      </w:r>
      <w:r w:rsidRPr="00D96063">
        <w:t>, ECOWAS Regulation C/REG.14/12/12 on "Adopting ECOWAS Standards Harmonization Model and Procedures". Ghana has adopted 29 ECOWAS standards.</w:t>
      </w:r>
    </w:p>
    <w:p w14:paraId="600EDD44" w14:textId="77777777" w:rsidR="00C15F2E" w:rsidRPr="00D96063" w:rsidRDefault="00C15F2E" w:rsidP="00E101A6">
      <w:pPr>
        <w:pStyle w:val="BodyText"/>
        <w:numPr>
          <w:ilvl w:val="6"/>
          <w:numId w:val="16"/>
        </w:numPr>
      </w:pPr>
      <w:r w:rsidRPr="00D96063">
        <w:t>According to the authorities, Ghana primarily adopts international standards as national standards, especially ISO, Codex, or IEC norms. International standards are generally applied unless found unsuitable. Where no international norms exist, standards from other countries are usually used (e.g. from the American Society for Testing and Materials, American Concrete Institute, American Society of Mechanical Engineers or European Regional Standards). Ghana also develops its own standards for indigenous products, such as cassava chips or shea butter. Ghana has 3,356 national standards (December 2021).</w:t>
      </w:r>
    </w:p>
    <w:p w14:paraId="354B57BD" w14:textId="77777777" w:rsidR="00C15F2E" w:rsidRPr="00D96063" w:rsidRDefault="00C15F2E" w:rsidP="00E101A6">
      <w:pPr>
        <w:pStyle w:val="BodyText"/>
        <w:numPr>
          <w:ilvl w:val="6"/>
          <w:numId w:val="16"/>
        </w:numPr>
      </w:pPr>
      <w:r w:rsidRPr="00D96063">
        <w:t>The initiative for the adoption of a standard is usually taken by industry groups, academics, consumers, or the wider public. A technical committee, composed of stakeholders including academia, researchers, consumer representatives, industry, and the Government, first consults existing international norms for adoption or modification as a Ghana Standard. Once a draft standard has been elaborated, comments by the public can be provided over a period of 60 days. Standards enter into force after their publication in the Government Gazette.</w:t>
      </w:r>
    </w:p>
    <w:p w14:paraId="2671C5ED" w14:textId="77777777" w:rsidR="00C15F2E" w:rsidRPr="00D96063" w:rsidRDefault="00C15F2E" w:rsidP="00E101A6">
      <w:pPr>
        <w:pStyle w:val="BodyText"/>
        <w:numPr>
          <w:ilvl w:val="6"/>
          <w:numId w:val="16"/>
        </w:numPr>
      </w:pPr>
      <w:r w:rsidRPr="00D96063">
        <w:t>Standards are made mandatory upon a declaration by the competent Minister. According to the authorities, there are still lapses in the regulatory process. Some regulatory agencies promulgate technical regulations without reference to standards published by the GSA. The approval and implementation of a National Quality Policy would streamline the activities of the key stakeholders.</w:t>
      </w:r>
    </w:p>
    <w:p w14:paraId="75C2EDE2" w14:textId="77777777" w:rsidR="00C15F2E" w:rsidRPr="00D96063" w:rsidRDefault="00C15F2E" w:rsidP="002B0064">
      <w:pPr>
        <w:pStyle w:val="BodyText"/>
        <w:numPr>
          <w:ilvl w:val="6"/>
          <w:numId w:val="16"/>
        </w:numPr>
      </w:pPr>
      <w:r w:rsidRPr="00D96063">
        <w:t>Since the previous Review in 2014, Ghana submitted 13 notifications to the WTO TBT Committee. These concern mainly cocoa, motor vehicle safety, energy efficiency, electrical wiring, and Ghana's conformity assessment and certification programme (Table 2.2). A specific trade concern was raised by Canada and the United States regarding Ghana's decision to base its automotive safety standards exclusively on UN Economic Commission for Europe (UNECE) standards without consideration of other international standards.</w:t>
      </w:r>
      <w:r w:rsidRPr="00D96063">
        <w:rPr>
          <w:vertAlign w:val="superscript"/>
        </w:rPr>
        <w:footnoteReference w:id="90"/>
      </w:r>
      <w:r w:rsidRPr="00D96063">
        <w:t xml:space="preserve"> According to the authorities, provision has been made in all mandatory standards to allow for equivalent standards.</w:t>
      </w:r>
    </w:p>
    <w:p w14:paraId="522D00AB" w14:textId="77777777" w:rsidR="00C15F2E" w:rsidRPr="00D96063" w:rsidRDefault="00C15F2E" w:rsidP="00E101A6">
      <w:pPr>
        <w:pStyle w:val="BodyText"/>
        <w:numPr>
          <w:ilvl w:val="6"/>
          <w:numId w:val="16"/>
        </w:numPr>
      </w:pPr>
      <w:r w:rsidRPr="00D96063">
        <w:t>Ghana no longer has a mandatory conformity assessment programme (G-CAP), as notified to the WTO.</w:t>
      </w:r>
      <w:r w:rsidRPr="00D96063">
        <w:rPr>
          <w:vertAlign w:val="superscript"/>
        </w:rPr>
        <w:footnoteReference w:id="91"/>
      </w:r>
      <w:r w:rsidRPr="00D96063">
        <w:t xml:space="preserve"> The inspection requirements for high</w:t>
      </w:r>
      <w:r w:rsidRPr="00D96063">
        <w:noBreakHyphen/>
        <w:t>risk goods on health, safety, and security grounds are based on the Export and Import Act, 1995, as amended, and the GSA Guidelines on Destination Inspection of High-Risk Goods (Destination Inspection Scheme) (Section 3.1.1.3).</w:t>
      </w:r>
    </w:p>
    <w:p w14:paraId="237F8CD8" w14:textId="77777777" w:rsidR="00C15F2E" w:rsidRPr="00D96063" w:rsidRDefault="00C15F2E" w:rsidP="00E101A6">
      <w:pPr>
        <w:pStyle w:val="BodyText"/>
        <w:numPr>
          <w:ilvl w:val="6"/>
          <w:numId w:val="16"/>
        </w:numPr>
      </w:pPr>
      <w:r w:rsidRPr="00D96063">
        <w:lastRenderedPageBreak/>
        <w:t>The GSA has inspectors at major customs offices to ensure that imported high-risk goods comply with mandatory Ghanaian standards. Under the Destination Inspection Scheme, imported high-risk goods must either be accompanied by a certificate of conformity issued by an internationally recognized laboratory accredited in the home country, or they will be inspected by the GSA. According to the GSA, foreign certificates of conformity and certificates of analysis from laboratories accredited by internationally recognized accreditation bodies are generally accepted. The GSA does not maintain a list of acceptable foreign laboratories but participates in the IECEE-CB Scheme</w:t>
      </w:r>
      <w:r w:rsidRPr="00D96063">
        <w:rPr>
          <w:vertAlign w:val="superscript"/>
        </w:rPr>
        <w:footnoteReference w:id="92"/>
      </w:r>
      <w:r w:rsidRPr="00D96063">
        <w:t>; test reports are also verified with reference to the International Laboratory Accreditation Cooperation (ILAC).</w:t>
      </w:r>
    </w:p>
    <w:p w14:paraId="6F4B0372" w14:textId="77777777" w:rsidR="00C15F2E" w:rsidRPr="00D96063" w:rsidRDefault="00C15F2E" w:rsidP="00E101A6">
      <w:pPr>
        <w:pStyle w:val="BodyText"/>
        <w:numPr>
          <w:ilvl w:val="6"/>
          <w:numId w:val="16"/>
        </w:numPr>
      </w:pPr>
      <w:r w:rsidRPr="00D96063">
        <w:t>The Customs classification of high-risk goods dates from the early 1990s (Table 3.11). The classification of high-risk goods has been reviewed in recent times and stakeholders now use a risk management engine/approach to determine what constitute high-risk products. There is currently a risk management team comprising all major stakeholders at the port/border, which is responsible for the risk management of imported goods. Inspection reports are used by the team to review high</w:t>
      </w:r>
      <w:r w:rsidRPr="00D96063">
        <w:noBreakHyphen/>
        <w:t>risk goods. The GSA only registers importers, and it does not regulate human and animal foods, cosmetics, drinks, pharmaceuticals, medical devices, and household chemicals. HS codes for these items are referred to the FDA for examination in ICUMS and not to the GSA. The use of a risk management engine and the single window has streamlined the duplication of inspection.</w:t>
      </w:r>
    </w:p>
    <w:p w14:paraId="2BD02979" w14:textId="77777777" w:rsidR="00C15F2E" w:rsidRPr="00D96063" w:rsidRDefault="00C15F2E" w:rsidP="00E101A6">
      <w:pPr>
        <w:pStyle w:val="BodyText"/>
        <w:numPr>
          <w:ilvl w:val="6"/>
          <w:numId w:val="16"/>
        </w:numPr>
      </w:pPr>
      <w:r w:rsidRPr="00D96063">
        <w:t>Domestic goods are certified through the GSA's procedure for product certification. In this process, producers conforming to relevant standards are given permission to use the mark of conformity on their products. The production facility is inspected, and the necessary documentation is verified. Products are sampled for the relevant tests to be carried out. A Certification Mark Committee set purposely for product certification meets and reviews all inspection reports, laboratory test reports, and associated product labelling rules and takes a decision on the products. Permission to use the mark of conformity is valid for one year, and a surveillance is also conducted every six months.</w:t>
      </w:r>
    </w:p>
    <w:p w14:paraId="6BD3C093" w14:textId="40A83ECA" w:rsidR="00C15F2E" w:rsidRPr="00D96063" w:rsidRDefault="00C15F2E" w:rsidP="00801175">
      <w:pPr>
        <w:pStyle w:val="Caption"/>
        <w:keepLines/>
      </w:pPr>
      <w:bookmarkStart w:id="161" w:name="_Toc103607892"/>
      <w:r w:rsidRPr="00D96063">
        <w:t xml:space="preserve">Table </w:t>
      </w:r>
      <w:fldSimple w:instr=" STYLEREF 1 \s ">
        <w:r w:rsidR="004B63B1">
          <w:rPr>
            <w:noProof/>
          </w:rPr>
          <w:t>3</w:t>
        </w:r>
      </w:fldSimple>
      <w:r w:rsidR="00BF3184">
        <w:t>.</w:t>
      </w:r>
      <w:fldSimple w:instr=" SEQ Table \* ARABIC \s 1 ">
        <w:r w:rsidR="004B63B1">
          <w:rPr>
            <w:noProof/>
          </w:rPr>
          <w:t>11</w:t>
        </w:r>
      </w:fldSimple>
      <w:r w:rsidRPr="00D96063">
        <w:t xml:space="preserve"> Imports subject to prior authorization or conformity assessment procedures</w:t>
      </w:r>
      <w:bookmarkEnd w:id="161"/>
    </w:p>
    <w:tbl>
      <w:tblPr>
        <w:tblStyle w:val="WTOTable1"/>
        <w:tblW w:w="5000" w:type="pct"/>
        <w:tblLook w:val="01E0" w:firstRow="1" w:lastRow="1" w:firstColumn="1" w:lastColumn="1" w:noHBand="0" w:noVBand="0"/>
      </w:tblPr>
      <w:tblGrid>
        <w:gridCol w:w="5098"/>
        <w:gridCol w:w="3918"/>
      </w:tblGrid>
      <w:tr w:rsidR="00C15F2E" w:rsidRPr="008516FD" w14:paraId="46E54865" w14:textId="77777777" w:rsidTr="001C0051">
        <w:trPr>
          <w:cnfStyle w:val="100000000000" w:firstRow="1" w:lastRow="0" w:firstColumn="0" w:lastColumn="0" w:oddVBand="0" w:evenVBand="0" w:oddHBand="0" w:evenHBand="0" w:firstRowFirstColumn="0" w:firstRowLastColumn="0" w:lastRowFirstColumn="0" w:lastRowLastColumn="0"/>
          <w:trHeight w:val="240"/>
          <w:tblHeader/>
        </w:trPr>
        <w:tc>
          <w:tcPr>
            <w:tcW w:w="2827" w:type="pct"/>
          </w:tcPr>
          <w:p w14:paraId="358FBB64" w14:textId="77777777" w:rsidR="00C15F2E" w:rsidRPr="008516FD" w:rsidRDefault="00C15F2E" w:rsidP="00801175">
            <w:pPr>
              <w:keepNext/>
              <w:keepLines/>
              <w:jc w:val="left"/>
              <w:rPr>
                <w:rFonts w:cs="Tahoma"/>
                <w:bCs/>
                <w:color w:val="FFFFFF" w:themeColor="background1"/>
                <w:sz w:val="15"/>
                <w:szCs w:val="15"/>
              </w:rPr>
            </w:pPr>
            <w:r w:rsidRPr="008516FD">
              <w:rPr>
                <w:rFonts w:cs="Tahoma"/>
                <w:bCs/>
                <w:color w:val="FFFFFF" w:themeColor="background1"/>
                <w:sz w:val="15"/>
                <w:szCs w:val="15"/>
              </w:rPr>
              <w:t>Products</w:t>
            </w:r>
          </w:p>
        </w:tc>
        <w:tc>
          <w:tcPr>
            <w:tcW w:w="2173" w:type="pct"/>
          </w:tcPr>
          <w:p w14:paraId="6614CC0F" w14:textId="77777777" w:rsidR="00C15F2E" w:rsidRPr="008516FD" w:rsidRDefault="00C15F2E" w:rsidP="00801175">
            <w:pPr>
              <w:keepNext/>
              <w:keepLines/>
              <w:jc w:val="left"/>
              <w:rPr>
                <w:rFonts w:cs="Tahoma"/>
                <w:bCs/>
                <w:color w:val="FFFFFF" w:themeColor="background1"/>
                <w:sz w:val="15"/>
                <w:szCs w:val="15"/>
              </w:rPr>
            </w:pPr>
            <w:r w:rsidRPr="008516FD">
              <w:rPr>
                <w:bCs/>
                <w:color w:val="FFFFFF" w:themeColor="background1"/>
                <w:sz w:val="15"/>
                <w:szCs w:val="15"/>
              </w:rPr>
              <w:t>Permit issuing body</w:t>
            </w:r>
          </w:p>
        </w:tc>
      </w:tr>
      <w:tr w:rsidR="00C15F2E" w:rsidRPr="008516FD" w14:paraId="774AF9BF" w14:textId="77777777" w:rsidTr="001C0051">
        <w:trPr>
          <w:trHeight w:val="240"/>
        </w:trPr>
        <w:tc>
          <w:tcPr>
            <w:tcW w:w="2827" w:type="pct"/>
          </w:tcPr>
          <w:p w14:paraId="65172893" w14:textId="77777777" w:rsidR="00C15F2E" w:rsidRPr="008516FD" w:rsidRDefault="00C15F2E" w:rsidP="00801175">
            <w:pPr>
              <w:keepNext/>
              <w:keepLines/>
              <w:jc w:val="left"/>
              <w:rPr>
                <w:b/>
                <w:sz w:val="15"/>
                <w:szCs w:val="15"/>
              </w:rPr>
            </w:pPr>
            <w:r w:rsidRPr="008516FD">
              <w:rPr>
                <w:b/>
                <w:sz w:val="15"/>
                <w:szCs w:val="15"/>
              </w:rPr>
              <w:t>"High risk" goods</w:t>
            </w:r>
          </w:p>
        </w:tc>
        <w:tc>
          <w:tcPr>
            <w:tcW w:w="2173" w:type="pct"/>
          </w:tcPr>
          <w:p w14:paraId="447C8018" w14:textId="77777777" w:rsidR="00C15F2E" w:rsidRPr="008516FD" w:rsidRDefault="00C15F2E" w:rsidP="00801175">
            <w:pPr>
              <w:keepNext/>
              <w:keepLines/>
              <w:jc w:val="left"/>
              <w:rPr>
                <w:rFonts w:cs="Tahoma"/>
                <w:sz w:val="15"/>
                <w:szCs w:val="15"/>
              </w:rPr>
            </w:pPr>
          </w:p>
        </w:tc>
      </w:tr>
      <w:tr w:rsidR="00C15F2E" w:rsidRPr="008516FD" w14:paraId="14A4839A"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125C1D35" w14:textId="77777777" w:rsidR="00C15F2E" w:rsidRPr="008516FD" w:rsidRDefault="00C15F2E" w:rsidP="00801175">
            <w:pPr>
              <w:keepNext/>
              <w:keepLines/>
              <w:jc w:val="left"/>
              <w:rPr>
                <w:rFonts w:cs="Tahoma"/>
                <w:sz w:val="15"/>
                <w:szCs w:val="15"/>
              </w:rPr>
            </w:pPr>
            <w:r w:rsidRPr="008516FD">
              <w:rPr>
                <w:sz w:val="15"/>
                <w:szCs w:val="15"/>
              </w:rPr>
              <w:t>Food products, cosmetics, drugs</w:t>
            </w:r>
          </w:p>
        </w:tc>
        <w:tc>
          <w:tcPr>
            <w:tcW w:w="2173" w:type="pct"/>
          </w:tcPr>
          <w:p w14:paraId="72D947CD" w14:textId="77777777" w:rsidR="00C15F2E" w:rsidRPr="008516FD" w:rsidRDefault="00C15F2E" w:rsidP="00801175">
            <w:pPr>
              <w:keepNext/>
              <w:keepLines/>
              <w:jc w:val="left"/>
              <w:rPr>
                <w:rFonts w:cs="Tahoma"/>
                <w:sz w:val="15"/>
                <w:szCs w:val="15"/>
              </w:rPr>
            </w:pPr>
            <w:r w:rsidRPr="008516FD">
              <w:rPr>
                <w:rFonts w:cs="Tahoma"/>
                <w:sz w:val="15"/>
                <w:szCs w:val="15"/>
              </w:rPr>
              <w:t>FDA</w:t>
            </w:r>
          </w:p>
        </w:tc>
      </w:tr>
      <w:tr w:rsidR="00C15F2E" w:rsidRPr="008516FD" w14:paraId="411A798F" w14:textId="77777777" w:rsidTr="001C0051">
        <w:trPr>
          <w:trHeight w:val="240"/>
        </w:trPr>
        <w:tc>
          <w:tcPr>
            <w:tcW w:w="2827" w:type="pct"/>
          </w:tcPr>
          <w:p w14:paraId="065975CD" w14:textId="77777777" w:rsidR="00C15F2E" w:rsidRPr="008516FD" w:rsidRDefault="00C15F2E" w:rsidP="00801175">
            <w:pPr>
              <w:keepNext/>
              <w:keepLines/>
              <w:jc w:val="left"/>
              <w:rPr>
                <w:sz w:val="15"/>
                <w:szCs w:val="15"/>
              </w:rPr>
            </w:pPr>
            <w:r w:rsidRPr="008516FD">
              <w:rPr>
                <w:sz w:val="15"/>
                <w:szCs w:val="15"/>
              </w:rPr>
              <w:t>Alcoholic and non-alcoholic beverages</w:t>
            </w:r>
            <w:r w:rsidRPr="008516FD">
              <w:rPr>
                <w:b/>
                <w:sz w:val="15"/>
                <w:szCs w:val="15"/>
              </w:rPr>
              <w:t xml:space="preserve"> </w:t>
            </w:r>
          </w:p>
        </w:tc>
        <w:tc>
          <w:tcPr>
            <w:tcW w:w="2173" w:type="pct"/>
          </w:tcPr>
          <w:p w14:paraId="3108FE8F" w14:textId="77777777" w:rsidR="00C15F2E" w:rsidRPr="008516FD" w:rsidRDefault="00C15F2E" w:rsidP="00801175">
            <w:pPr>
              <w:keepNext/>
              <w:keepLines/>
              <w:jc w:val="left"/>
              <w:rPr>
                <w:rFonts w:cs="Tahoma"/>
                <w:sz w:val="15"/>
                <w:szCs w:val="15"/>
              </w:rPr>
            </w:pPr>
            <w:r w:rsidRPr="008516FD">
              <w:rPr>
                <w:rFonts w:cs="Tahoma"/>
                <w:sz w:val="15"/>
                <w:szCs w:val="15"/>
              </w:rPr>
              <w:t>FDA</w:t>
            </w:r>
          </w:p>
        </w:tc>
      </w:tr>
      <w:tr w:rsidR="00C15F2E" w:rsidRPr="008516FD" w14:paraId="357939CD"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2FB632F9" w14:textId="77777777" w:rsidR="00C15F2E" w:rsidRPr="008516FD" w:rsidRDefault="00C15F2E" w:rsidP="00801175">
            <w:pPr>
              <w:keepNext/>
              <w:keepLines/>
              <w:jc w:val="left"/>
              <w:rPr>
                <w:rFonts w:cs="Tahoma"/>
                <w:sz w:val="15"/>
                <w:szCs w:val="15"/>
              </w:rPr>
            </w:pPr>
            <w:r w:rsidRPr="008516FD">
              <w:rPr>
                <w:sz w:val="15"/>
                <w:szCs w:val="15"/>
              </w:rPr>
              <w:t>Pharmaceuticals</w:t>
            </w:r>
          </w:p>
        </w:tc>
        <w:tc>
          <w:tcPr>
            <w:tcW w:w="2173" w:type="pct"/>
          </w:tcPr>
          <w:p w14:paraId="7BCE53FE" w14:textId="77777777" w:rsidR="00C15F2E" w:rsidRPr="008516FD" w:rsidRDefault="00C15F2E" w:rsidP="00801175">
            <w:pPr>
              <w:keepNext/>
              <w:keepLines/>
              <w:jc w:val="left"/>
              <w:rPr>
                <w:rFonts w:cs="Tahoma"/>
                <w:sz w:val="15"/>
                <w:szCs w:val="15"/>
              </w:rPr>
            </w:pPr>
            <w:r w:rsidRPr="008516FD">
              <w:rPr>
                <w:rFonts w:cs="Tahoma"/>
                <w:sz w:val="15"/>
                <w:szCs w:val="15"/>
              </w:rPr>
              <w:t xml:space="preserve">FDA </w:t>
            </w:r>
          </w:p>
        </w:tc>
      </w:tr>
      <w:tr w:rsidR="00C15F2E" w:rsidRPr="008516FD" w14:paraId="493B2B0D" w14:textId="77777777" w:rsidTr="001C0051">
        <w:trPr>
          <w:trHeight w:val="240"/>
        </w:trPr>
        <w:tc>
          <w:tcPr>
            <w:tcW w:w="2827" w:type="pct"/>
          </w:tcPr>
          <w:p w14:paraId="06AB3123" w14:textId="77777777" w:rsidR="00C15F2E" w:rsidRPr="008516FD" w:rsidRDefault="00C15F2E" w:rsidP="002B0064">
            <w:pPr>
              <w:jc w:val="left"/>
              <w:rPr>
                <w:rFonts w:cs="Tahoma"/>
                <w:sz w:val="15"/>
                <w:szCs w:val="15"/>
              </w:rPr>
            </w:pPr>
            <w:r w:rsidRPr="008516FD">
              <w:rPr>
                <w:sz w:val="15"/>
                <w:szCs w:val="15"/>
              </w:rPr>
              <w:t>Electrical appliances and products (bulbs, switches, sockets, electrical cables, electronic products), LPG cylinders and accessories, toys</w:t>
            </w:r>
          </w:p>
        </w:tc>
        <w:tc>
          <w:tcPr>
            <w:tcW w:w="2173" w:type="pct"/>
          </w:tcPr>
          <w:p w14:paraId="7088C003" w14:textId="77777777" w:rsidR="00C15F2E" w:rsidRPr="008516FD" w:rsidRDefault="00C15F2E" w:rsidP="00997D10">
            <w:pPr>
              <w:jc w:val="left"/>
              <w:rPr>
                <w:rFonts w:cs="Tahoma"/>
                <w:sz w:val="15"/>
                <w:szCs w:val="15"/>
              </w:rPr>
            </w:pPr>
            <w:r w:rsidRPr="008516FD">
              <w:rPr>
                <w:rFonts w:cs="Tahoma"/>
                <w:sz w:val="15"/>
                <w:szCs w:val="15"/>
              </w:rPr>
              <w:t>GSA</w:t>
            </w:r>
          </w:p>
        </w:tc>
      </w:tr>
      <w:tr w:rsidR="00C15F2E" w:rsidRPr="008516FD" w14:paraId="52B4C7A7"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7DEF6437" w14:textId="77777777" w:rsidR="00C15F2E" w:rsidRPr="008516FD" w:rsidRDefault="00C15F2E" w:rsidP="00997D10">
            <w:pPr>
              <w:jc w:val="left"/>
              <w:rPr>
                <w:sz w:val="15"/>
                <w:szCs w:val="15"/>
              </w:rPr>
            </w:pPr>
            <w:r w:rsidRPr="008516FD">
              <w:rPr>
                <w:sz w:val="15"/>
                <w:szCs w:val="15"/>
              </w:rPr>
              <w:t>Chemical and allied products</w:t>
            </w:r>
          </w:p>
        </w:tc>
        <w:tc>
          <w:tcPr>
            <w:tcW w:w="2173" w:type="pct"/>
          </w:tcPr>
          <w:p w14:paraId="63E491A8" w14:textId="77777777" w:rsidR="00C15F2E" w:rsidRPr="008516FD" w:rsidRDefault="00C15F2E" w:rsidP="00997D10">
            <w:pPr>
              <w:jc w:val="left"/>
              <w:rPr>
                <w:rFonts w:cs="Tahoma"/>
                <w:sz w:val="15"/>
                <w:szCs w:val="15"/>
              </w:rPr>
            </w:pPr>
            <w:r w:rsidRPr="008516FD">
              <w:rPr>
                <w:rFonts w:cs="TimesNewRomanPSMT"/>
                <w:sz w:val="15"/>
                <w:szCs w:val="15"/>
              </w:rPr>
              <w:t xml:space="preserve">GSA and Environmental Protection Agency </w:t>
            </w:r>
          </w:p>
        </w:tc>
      </w:tr>
      <w:tr w:rsidR="00C15F2E" w:rsidRPr="008516FD" w14:paraId="3BBAAC90" w14:textId="77777777" w:rsidTr="001C0051">
        <w:trPr>
          <w:trHeight w:val="240"/>
        </w:trPr>
        <w:tc>
          <w:tcPr>
            <w:tcW w:w="2827" w:type="pct"/>
          </w:tcPr>
          <w:p w14:paraId="7C5C218A" w14:textId="77777777" w:rsidR="00C15F2E" w:rsidRPr="008516FD" w:rsidRDefault="00C15F2E" w:rsidP="00997D10">
            <w:pPr>
              <w:jc w:val="left"/>
              <w:rPr>
                <w:sz w:val="15"/>
                <w:szCs w:val="15"/>
              </w:rPr>
            </w:pPr>
            <w:r w:rsidRPr="008516FD">
              <w:rPr>
                <w:sz w:val="15"/>
                <w:szCs w:val="15"/>
              </w:rPr>
              <w:t>Building materials, used goods, petroleum products, motor vehicle batteries, African textile prints</w:t>
            </w:r>
          </w:p>
        </w:tc>
        <w:tc>
          <w:tcPr>
            <w:tcW w:w="2173" w:type="pct"/>
          </w:tcPr>
          <w:p w14:paraId="757F9D19" w14:textId="77777777" w:rsidR="00C15F2E" w:rsidRPr="008516FD" w:rsidRDefault="00C15F2E" w:rsidP="00997D10">
            <w:pPr>
              <w:jc w:val="left"/>
              <w:rPr>
                <w:rFonts w:cs="Tahoma"/>
                <w:b/>
                <w:sz w:val="15"/>
                <w:szCs w:val="15"/>
              </w:rPr>
            </w:pPr>
            <w:r w:rsidRPr="008516FD">
              <w:rPr>
                <w:rFonts w:cs="Tahoma"/>
                <w:sz w:val="15"/>
                <w:szCs w:val="15"/>
              </w:rPr>
              <w:t>GSA and Energy Commission</w:t>
            </w:r>
          </w:p>
        </w:tc>
      </w:tr>
      <w:tr w:rsidR="00C15F2E" w:rsidRPr="008516FD" w14:paraId="1771ABE5"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037ADA1F" w14:textId="77777777" w:rsidR="00C15F2E" w:rsidRPr="008516FD" w:rsidRDefault="00C15F2E" w:rsidP="00997D10">
            <w:pPr>
              <w:jc w:val="left"/>
              <w:rPr>
                <w:sz w:val="15"/>
                <w:szCs w:val="15"/>
              </w:rPr>
            </w:pPr>
            <w:r w:rsidRPr="008516FD">
              <w:rPr>
                <w:sz w:val="15"/>
                <w:szCs w:val="15"/>
              </w:rPr>
              <w:t>Pyrotechnic products</w:t>
            </w:r>
          </w:p>
        </w:tc>
        <w:tc>
          <w:tcPr>
            <w:tcW w:w="2173" w:type="pct"/>
          </w:tcPr>
          <w:p w14:paraId="1B0E8785" w14:textId="77777777" w:rsidR="00C15F2E" w:rsidRPr="008516FD" w:rsidRDefault="00C15F2E" w:rsidP="00997D10">
            <w:pPr>
              <w:jc w:val="left"/>
              <w:rPr>
                <w:rFonts w:cs="Tahoma"/>
                <w:b/>
                <w:sz w:val="15"/>
                <w:szCs w:val="15"/>
              </w:rPr>
            </w:pPr>
            <w:r w:rsidRPr="008516FD">
              <w:rPr>
                <w:rFonts w:cs="Tahoma"/>
                <w:sz w:val="15"/>
                <w:szCs w:val="15"/>
              </w:rPr>
              <w:t>GSA, Minister of Interior</w:t>
            </w:r>
          </w:p>
        </w:tc>
      </w:tr>
      <w:tr w:rsidR="00C15F2E" w:rsidRPr="008516FD" w14:paraId="62217134" w14:textId="77777777" w:rsidTr="001C0051">
        <w:trPr>
          <w:trHeight w:val="240"/>
        </w:trPr>
        <w:tc>
          <w:tcPr>
            <w:tcW w:w="2827" w:type="pct"/>
          </w:tcPr>
          <w:p w14:paraId="7EDC3AF7" w14:textId="77777777" w:rsidR="00C15F2E" w:rsidRPr="008516FD" w:rsidRDefault="00C15F2E" w:rsidP="00997D10">
            <w:pPr>
              <w:jc w:val="left"/>
              <w:rPr>
                <w:sz w:val="15"/>
                <w:szCs w:val="15"/>
              </w:rPr>
            </w:pPr>
            <w:r w:rsidRPr="008516FD">
              <w:rPr>
                <w:sz w:val="15"/>
                <w:szCs w:val="15"/>
              </w:rPr>
              <w:t>Machetes</w:t>
            </w:r>
          </w:p>
        </w:tc>
        <w:tc>
          <w:tcPr>
            <w:tcW w:w="2173" w:type="pct"/>
          </w:tcPr>
          <w:p w14:paraId="61CF2092" w14:textId="77777777" w:rsidR="00C15F2E" w:rsidRPr="008516FD" w:rsidRDefault="00C15F2E" w:rsidP="00997D10">
            <w:pPr>
              <w:jc w:val="left"/>
              <w:rPr>
                <w:rFonts w:cs="Tahoma"/>
                <w:sz w:val="15"/>
                <w:szCs w:val="15"/>
              </w:rPr>
            </w:pPr>
            <w:r w:rsidRPr="008516FD">
              <w:rPr>
                <w:rFonts w:cs="Tahoma"/>
                <w:sz w:val="15"/>
                <w:szCs w:val="15"/>
              </w:rPr>
              <w:t>GSA and MOFA</w:t>
            </w:r>
          </w:p>
        </w:tc>
      </w:tr>
      <w:tr w:rsidR="00C15F2E" w:rsidRPr="008516FD" w14:paraId="1A1C266C"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3800D4DF" w14:textId="77777777" w:rsidR="00C15F2E" w:rsidRPr="008516FD" w:rsidRDefault="00C15F2E" w:rsidP="00997D10">
            <w:pPr>
              <w:jc w:val="left"/>
              <w:rPr>
                <w:sz w:val="15"/>
                <w:szCs w:val="15"/>
              </w:rPr>
            </w:pPr>
            <w:r w:rsidRPr="008516FD">
              <w:rPr>
                <w:sz w:val="15"/>
                <w:szCs w:val="15"/>
              </w:rPr>
              <w:t>Vehicle spare parts</w:t>
            </w:r>
          </w:p>
        </w:tc>
        <w:tc>
          <w:tcPr>
            <w:tcW w:w="2173" w:type="pct"/>
          </w:tcPr>
          <w:p w14:paraId="12F347F4" w14:textId="77777777" w:rsidR="00C15F2E" w:rsidRPr="008516FD" w:rsidRDefault="00C15F2E" w:rsidP="00997D10">
            <w:pPr>
              <w:jc w:val="left"/>
              <w:rPr>
                <w:rFonts w:cs="Tahoma"/>
                <w:sz w:val="15"/>
                <w:szCs w:val="15"/>
              </w:rPr>
            </w:pPr>
            <w:r w:rsidRPr="008516FD">
              <w:rPr>
                <w:rFonts w:cs="Tahoma"/>
                <w:sz w:val="15"/>
                <w:szCs w:val="15"/>
              </w:rPr>
              <w:t>GSA and MOTI</w:t>
            </w:r>
          </w:p>
        </w:tc>
      </w:tr>
      <w:tr w:rsidR="00C15F2E" w:rsidRPr="008516FD" w14:paraId="23F86640" w14:textId="77777777" w:rsidTr="001C0051">
        <w:trPr>
          <w:trHeight w:val="240"/>
        </w:trPr>
        <w:tc>
          <w:tcPr>
            <w:tcW w:w="2827" w:type="pct"/>
          </w:tcPr>
          <w:p w14:paraId="44FABB5A" w14:textId="77777777" w:rsidR="00C15F2E" w:rsidRPr="008516FD" w:rsidRDefault="00C15F2E" w:rsidP="00997D10">
            <w:pPr>
              <w:jc w:val="left"/>
              <w:rPr>
                <w:sz w:val="15"/>
                <w:szCs w:val="15"/>
              </w:rPr>
            </w:pPr>
            <w:r w:rsidRPr="008516FD">
              <w:rPr>
                <w:sz w:val="15"/>
                <w:szCs w:val="15"/>
              </w:rPr>
              <w:t xml:space="preserve">Industrial machinery </w:t>
            </w:r>
          </w:p>
        </w:tc>
        <w:tc>
          <w:tcPr>
            <w:tcW w:w="2173" w:type="pct"/>
          </w:tcPr>
          <w:p w14:paraId="61F2356C" w14:textId="77777777" w:rsidR="00C15F2E" w:rsidRPr="008516FD" w:rsidRDefault="00C15F2E" w:rsidP="00997D10">
            <w:pPr>
              <w:jc w:val="left"/>
              <w:rPr>
                <w:rFonts w:cs="Tahoma"/>
                <w:sz w:val="15"/>
                <w:szCs w:val="15"/>
              </w:rPr>
            </w:pPr>
            <w:r w:rsidRPr="008516FD">
              <w:rPr>
                <w:rFonts w:cs="Tahoma"/>
                <w:sz w:val="15"/>
                <w:szCs w:val="15"/>
              </w:rPr>
              <w:t>MOTI/GIPC</w:t>
            </w:r>
          </w:p>
        </w:tc>
      </w:tr>
      <w:tr w:rsidR="00C15F2E" w:rsidRPr="008516FD" w14:paraId="4DA45236"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0B775BF4" w14:textId="77777777" w:rsidR="00C15F2E" w:rsidRPr="008516FD" w:rsidRDefault="00C15F2E" w:rsidP="00997D10">
            <w:pPr>
              <w:jc w:val="left"/>
              <w:rPr>
                <w:b/>
                <w:sz w:val="15"/>
                <w:szCs w:val="15"/>
              </w:rPr>
            </w:pPr>
            <w:r w:rsidRPr="008516FD">
              <w:rPr>
                <w:b/>
                <w:sz w:val="15"/>
                <w:szCs w:val="15"/>
              </w:rPr>
              <w:t>Other products</w:t>
            </w:r>
          </w:p>
        </w:tc>
        <w:tc>
          <w:tcPr>
            <w:tcW w:w="2173" w:type="pct"/>
          </w:tcPr>
          <w:p w14:paraId="7D0F43AE" w14:textId="77777777" w:rsidR="00C15F2E" w:rsidRPr="008516FD" w:rsidRDefault="00C15F2E" w:rsidP="00997D10">
            <w:pPr>
              <w:jc w:val="left"/>
              <w:rPr>
                <w:rFonts w:cs="Tahoma"/>
                <w:b/>
                <w:sz w:val="15"/>
                <w:szCs w:val="15"/>
              </w:rPr>
            </w:pPr>
          </w:p>
        </w:tc>
      </w:tr>
      <w:tr w:rsidR="00C15F2E" w:rsidRPr="008516FD" w14:paraId="519AEE2D" w14:textId="77777777" w:rsidTr="001C0051">
        <w:trPr>
          <w:trHeight w:val="240"/>
        </w:trPr>
        <w:tc>
          <w:tcPr>
            <w:tcW w:w="2827" w:type="pct"/>
          </w:tcPr>
          <w:p w14:paraId="33F2BFF4" w14:textId="77777777" w:rsidR="00C15F2E" w:rsidRPr="008516FD" w:rsidRDefault="00C15F2E" w:rsidP="00B8473F">
            <w:pPr>
              <w:autoSpaceDE w:val="0"/>
              <w:autoSpaceDN w:val="0"/>
              <w:adjustRightInd w:val="0"/>
              <w:jc w:val="left"/>
              <w:rPr>
                <w:rFonts w:cs="TimesNewRomanPSMT"/>
                <w:sz w:val="15"/>
                <w:szCs w:val="15"/>
              </w:rPr>
            </w:pPr>
            <w:r w:rsidRPr="008516FD">
              <w:rPr>
                <w:rFonts w:cs="TimesNewRomanPSMT"/>
                <w:sz w:val="15"/>
                <w:szCs w:val="15"/>
              </w:rPr>
              <w:t>Fresh agricultural products and plants</w:t>
            </w:r>
          </w:p>
        </w:tc>
        <w:tc>
          <w:tcPr>
            <w:tcW w:w="2173" w:type="pct"/>
          </w:tcPr>
          <w:p w14:paraId="02BAC16C" w14:textId="77777777" w:rsidR="00C15F2E" w:rsidRPr="008516FD" w:rsidRDefault="00C15F2E" w:rsidP="00997D10">
            <w:pPr>
              <w:autoSpaceDE w:val="0"/>
              <w:autoSpaceDN w:val="0"/>
              <w:adjustRightInd w:val="0"/>
              <w:jc w:val="left"/>
              <w:rPr>
                <w:rFonts w:cs="TimesNewRomanPSMT"/>
                <w:sz w:val="15"/>
                <w:szCs w:val="15"/>
              </w:rPr>
            </w:pPr>
            <w:r w:rsidRPr="008516FD">
              <w:rPr>
                <w:rFonts w:cs="TimesNewRomanPSMT"/>
                <w:sz w:val="15"/>
                <w:szCs w:val="15"/>
              </w:rPr>
              <w:t xml:space="preserve">Plant Protection and Regulatory Services Division (MOFA) </w:t>
            </w:r>
          </w:p>
        </w:tc>
      </w:tr>
      <w:tr w:rsidR="00C15F2E" w:rsidRPr="008516FD" w14:paraId="50AD9301"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3FB0190E" w14:textId="77777777" w:rsidR="00C15F2E" w:rsidRPr="008516FD" w:rsidRDefault="00C15F2E" w:rsidP="00997D10">
            <w:pPr>
              <w:autoSpaceDE w:val="0"/>
              <w:autoSpaceDN w:val="0"/>
              <w:adjustRightInd w:val="0"/>
              <w:jc w:val="left"/>
              <w:rPr>
                <w:rFonts w:cs="TimesNewRomanPSMT"/>
                <w:sz w:val="15"/>
                <w:szCs w:val="15"/>
              </w:rPr>
            </w:pPr>
            <w:r w:rsidRPr="008516FD">
              <w:rPr>
                <w:rFonts w:cs="TimesNewRomanPSMT"/>
                <w:sz w:val="15"/>
                <w:szCs w:val="15"/>
              </w:rPr>
              <w:t>Timber &amp; wood products</w:t>
            </w:r>
          </w:p>
        </w:tc>
        <w:tc>
          <w:tcPr>
            <w:tcW w:w="2173" w:type="pct"/>
          </w:tcPr>
          <w:p w14:paraId="61BDFD5C" w14:textId="77777777" w:rsidR="00C15F2E" w:rsidRPr="008516FD" w:rsidRDefault="00C15F2E" w:rsidP="00997D10">
            <w:pPr>
              <w:autoSpaceDE w:val="0"/>
              <w:autoSpaceDN w:val="0"/>
              <w:adjustRightInd w:val="0"/>
              <w:jc w:val="left"/>
              <w:rPr>
                <w:rFonts w:cs="TimesNewRomanPSMT"/>
                <w:sz w:val="15"/>
                <w:szCs w:val="15"/>
              </w:rPr>
            </w:pPr>
            <w:r w:rsidRPr="008516FD">
              <w:rPr>
                <w:rFonts w:cs="TimesNewRomanPSMT"/>
                <w:sz w:val="15"/>
                <w:szCs w:val="15"/>
              </w:rPr>
              <w:t xml:space="preserve">Forestry Commission </w:t>
            </w:r>
          </w:p>
        </w:tc>
      </w:tr>
      <w:tr w:rsidR="00C15F2E" w:rsidRPr="008516FD" w14:paraId="67328328" w14:textId="77777777" w:rsidTr="001C0051">
        <w:trPr>
          <w:trHeight w:val="240"/>
        </w:trPr>
        <w:tc>
          <w:tcPr>
            <w:tcW w:w="2827" w:type="pct"/>
          </w:tcPr>
          <w:p w14:paraId="2DED6C60" w14:textId="77777777" w:rsidR="00C15F2E" w:rsidRPr="008516FD" w:rsidRDefault="00C15F2E" w:rsidP="00997D10">
            <w:pPr>
              <w:jc w:val="left"/>
              <w:rPr>
                <w:rFonts w:cs="TimesNewRomanPSMT"/>
                <w:sz w:val="15"/>
                <w:szCs w:val="15"/>
              </w:rPr>
            </w:pPr>
            <w:r w:rsidRPr="008516FD">
              <w:rPr>
                <w:rFonts w:cs="TimesNewRomanPSMT"/>
                <w:sz w:val="15"/>
                <w:szCs w:val="15"/>
              </w:rPr>
              <w:t>Charcoal</w:t>
            </w:r>
          </w:p>
        </w:tc>
        <w:tc>
          <w:tcPr>
            <w:tcW w:w="2173" w:type="pct"/>
          </w:tcPr>
          <w:p w14:paraId="08635EA5" w14:textId="77777777" w:rsidR="00C15F2E" w:rsidRPr="008516FD" w:rsidRDefault="00C15F2E" w:rsidP="00997D10">
            <w:pPr>
              <w:autoSpaceDE w:val="0"/>
              <w:autoSpaceDN w:val="0"/>
              <w:adjustRightInd w:val="0"/>
              <w:jc w:val="left"/>
              <w:rPr>
                <w:rFonts w:cs="TimesNewRomanPSMT"/>
                <w:sz w:val="15"/>
                <w:szCs w:val="15"/>
              </w:rPr>
            </w:pPr>
            <w:r w:rsidRPr="008516FD">
              <w:rPr>
                <w:rFonts w:cs="TimesNewRomanPSMT"/>
                <w:sz w:val="15"/>
                <w:szCs w:val="15"/>
              </w:rPr>
              <w:t>Energy Commission</w:t>
            </w:r>
          </w:p>
        </w:tc>
      </w:tr>
      <w:tr w:rsidR="00C15F2E" w:rsidRPr="008516FD" w14:paraId="16D6B8B1"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17DE7D9C" w14:textId="77777777" w:rsidR="00C15F2E" w:rsidRPr="008516FD" w:rsidRDefault="00C15F2E" w:rsidP="00997D10">
            <w:pPr>
              <w:jc w:val="left"/>
              <w:rPr>
                <w:rFonts w:cs="TimesNewRomanPSMT"/>
                <w:sz w:val="15"/>
                <w:szCs w:val="15"/>
              </w:rPr>
            </w:pPr>
            <w:r w:rsidRPr="008516FD">
              <w:rPr>
                <w:rFonts w:cs="TimesNewRomanPSMT"/>
                <w:sz w:val="15"/>
                <w:szCs w:val="15"/>
              </w:rPr>
              <w:t>Rock and rock samples</w:t>
            </w:r>
          </w:p>
        </w:tc>
        <w:tc>
          <w:tcPr>
            <w:tcW w:w="2173" w:type="pct"/>
          </w:tcPr>
          <w:p w14:paraId="4D85889C" w14:textId="77777777" w:rsidR="00C15F2E" w:rsidRPr="008516FD" w:rsidRDefault="00C15F2E" w:rsidP="00997D10">
            <w:pPr>
              <w:autoSpaceDE w:val="0"/>
              <w:autoSpaceDN w:val="0"/>
              <w:adjustRightInd w:val="0"/>
              <w:jc w:val="left"/>
              <w:rPr>
                <w:rFonts w:cs="TimesNewRomanPSMT"/>
                <w:sz w:val="15"/>
                <w:szCs w:val="15"/>
              </w:rPr>
            </w:pPr>
            <w:r w:rsidRPr="008516FD">
              <w:rPr>
                <w:rFonts w:cs="TimesNewRomanPSMT"/>
                <w:sz w:val="15"/>
                <w:szCs w:val="15"/>
              </w:rPr>
              <w:t xml:space="preserve">Geological Survey Department </w:t>
            </w:r>
          </w:p>
        </w:tc>
      </w:tr>
      <w:tr w:rsidR="00C15F2E" w:rsidRPr="008516FD" w14:paraId="5D8A7C2D" w14:textId="77777777" w:rsidTr="001C0051">
        <w:trPr>
          <w:trHeight w:val="240"/>
        </w:trPr>
        <w:tc>
          <w:tcPr>
            <w:tcW w:w="2827" w:type="pct"/>
          </w:tcPr>
          <w:p w14:paraId="467826FB" w14:textId="77777777" w:rsidR="00C15F2E" w:rsidRPr="008516FD" w:rsidRDefault="00C15F2E" w:rsidP="00997D10">
            <w:pPr>
              <w:jc w:val="left"/>
              <w:rPr>
                <w:rFonts w:cs="TimesNewRomanPSMT"/>
                <w:sz w:val="15"/>
                <w:szCs w:val="15"/>
              </w:rPr>
            </w:pPr>
            <w:r w:rsidRPr="008516FD">
              <w:rPr>
                <w:rFonts w:cs="TimesNewRomanPSMT"/>
                <w:sz w:val="15"/>
                <w:szCs w:val="15"/>
              </w:rPr>
              <w:t>Petroleum products</w:t>
            </w:r>
          </w:p>
        </w:tc>
        <w:tc>
          <w:tcPr>
            <w:tcW w:w="2173" w:type="pct"/>
          </w:tcPr>
          <w:p w14:paraId="0A7C4C5F" w14:textId="77777777" w:rsidR="00C15F2E" w:rsidRPr="008516FD" w:rsidRDefault="00C15F2E" w:rsidP="00997D10">
            <w:pPr>
              <w:autoSpaceDE w:val="0"/>
              <w:autoSpaceDN w:val="0"/>
              <w:adjustRightInd w:val="0"/>
              <w:jc w:val="left"/>
              <w:rPr>
                <w:rFonts w:cs="TimesNewRomanPSMT"/>
                <w:sz w:val="15"/>
                <w:szCs w:val="15"/>
              </w:rPr>
            </w:pPr>
            <w:r w:rsidRPr="008516FD">
              <w:rPr>
                <w:rFonts w:cs="TimesNewRomanPSMT"/>
                <w:sz w:val="15"/>
                <w:szCs w:val="15"/>
              </w:rPr>
              <w:t>National Petroleum Authority</w:t>
            </w:r>
          </w:p>
        </w:tc>
      </w:tr>
      <w:tr w:rsidR="00C15F2E" w:rsidRPr="008516FD" w14:paraId="6CE084C1"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24CAB5DF" w14:textId="77777777" w:rsidR="00C15F2E" w:rsidRPr="008516FD" w:rsidRDefault="00C15F2E" w:rsidP="00997D10">
            <w:pPr>
              <w:jc w:val="left"/>
              <w:rPr>
                <w:rFonts w:cs="TimesNewRomanPSMT"/>
                <w:sz w:val="15"/>
                <w:szCs w:val="15"/>
              </w:rPr>
            </w:pPr>
            <w:r w:rsidRPr="008516FD">
              <w:rPr>
                <w:rFonts w:cs="TimesNewRomanPSMT"/>
                <w:sz w:val="15"/>
                <w:szCs w:val="15"/>
              </w:rPr>
              <w:t>Wildlife, e.g. reptiles</w:t>
            </w:r>
          </w:p>
        </w:tc>
        <w:tc>
          <w:tcPr>
            <w:tcW w:w="2173" w:type="pct"/>
          </w:tcPr>
          <w:p w14:paraId="0FAFF897" w14:textId="77777777" w:rsidR="00C15F2E" w:rsidRPr="008516FD" w:rsidRDefault="00C15F2E" w:rsidP="00997D10">
            <w:pPr>
              <w:autoSpaceDE w:val="0"/>
              <w:autoSpaceDN w:val="0"/>
              <w:adjustRightInd w:val="0"/>
              <w:jc w:val="left"/>
              <w:rPr>
                <w:rFonts w:cs="TimesNewRomanPSMT"/>
                <w:sz w:val="15"/>
                <w:szCs w:val="15"/>
              </w:rPr>
            </w:pPr>
            <w:r w:rsidRPr="008516FD">
              <w:rPr>
                <w:rFonts w:cs="TimesNewRomanPSMT"/>
                <w:sz w:val="15"/>
                <w:szCs w:val="15"/>
              </w:rPr>
              <w:t>Department of Game and Wildlife</w:t>
            </w:r>
          </w:p>
        </w:tc>
      </w:tr>
      <w:tr w:rsidR="00C15F2E" w:rsidRPr="008516FD" w14:paraId="446EE370" w14:textId="77777777" w:rsidTr="001C0051">
        <w:trPr>
          <w:trHeight w:val="240"/>
        </w:trPr>
        <w:tc>
          <w:tcPr>
            <w:tcW w:w="2827" w:type="pct"/>
          </w:tcPr>
          <w:p w14:paraId="7C51E063" w14:textId="77777777" w:rsidR="00C15F2E" w:rsidRPr="008516FD" w:rsidRDefault="00C15F2E" w:rsidP="00997D10">
            <w:pPr>
              <w:autoSpaceDE w:val="0"/>
              <w:autoSpaceDN w:val="0"/>
              <w:adjustRightInd w:val="0"/>
              <w:jc w:val="left"/>
              <w:rPr>
                <w:rFonts w:cs="TimesNewRomanPSMT"/>
                <w:sz w:val="15"/>
                <w:szCs w:val="15"/>
              </w:rPr>
            </w:pPr>
            <w:r w:rsidRPr="008516FD">
              <w:rPr>
                <w:rFonts w:cs="TimesNewRomanPSMT"/>
                <w:sz w:val="15"/>
                <w:szCs w:val="15"/>
              </w:rPr>
              <w:t>Other animals and pets including snails</w:t>
            </w:r>
          </w:p>
        </w:tc>
        <w:tc>
          <w:tcPr>
            <w:tcW w:w="2173" w:type="pct"/>
          </w:tcPr>
          <w:p w14:paraId="6C1A34F7" w14:textId="77777777" w:rsidR="00C15F2E" w:rsidRPr="008516FD" w:rsidRDefault="00C15F2E" w:rsidP="00997D10">
            <w:pPr>
              <w:tabs>
                <w:tab w:val="left" w:pos="851"/>
              </w:tabs>
              <w:jc w:val="left"/>
              <w:rPr>
                <w:sz w:val="15"/>
                <w:szCs w:val="15"/>
              </w:rPr>
            </w:pPr>
            <w:r w:rsidRPr="008516FD">
              <w:rPr>
                <w:sz w:val="15"/>
                <w:szCs w:val="15"/>
              </w:rPr>
              <w:t>Veterinary Services (MOFA)</w:t>
            </w:r>
          </w:p>
        </w:tc>
      </w:tr>
      <w:tr w:rsidR="00C15F2E" w:rsidRPr="008516FD" w14:paraId="57EB1924"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6D181554" w14:textId="77777777" w:rsidR="00C15F2E" w:rsidRPr="008516FD" w:rsidRDefault="00C15F2E" w:rsidP="00997D10">
            <w:pPr>
              <w:autoSpaceDE w:val="0"/>
              <w:autoSpaceDN w:val="0"/>
              <w:adjustRightInd w:val="0"/>
              <w:jc w:val="left"/>
              <w:rPr>
                <w:rFonts w:cs="TimesNewRomanPSMT"/>
                <w:sz w:val="15"/>
                <w:szCs w:val="15"/>
              </w:rPr>
            </w:pPr>
            <w:r w:rsidRPr="008516FD">
              <w:rPr>
                <w:rFonts w:cs="Tahoma"/>
                <w:color w:val="000000" w:themeColor="text1"/>
                <w:sz w:val="15"/>
                <w:szCs w:val="15"/>
              </w:rPr>
              <w:t>Animal feed ingredients, livestock production inputs and livestock/poultry equipment</w:t>
            </w:r>
          </w:p>
        </w:tc>
        <w:tc>
          <w:tcPr>
            <w:tcW w:w="2173" w:type="pct"/>
          </w:tcPr>
          <w:p w14:paraId="4FF728F5" w14:textId="77777777" w:rsidR="00C15F2E" w:rsidRPr="008516FD" w:rsidRDefault="00C15F2E" w:rsidP="00997D10">
            <w:pPr>
              <w:tabs>
                <w:tab w:val="left" w:pos="851"/>
              </w:tabs>
              <w:jc w:val="left"/>
              <w:rPr>
                <w:sz w:val="15"/>
                <w:szCs w:val="15"/>
              </w:rPr>
            </w:pPr>
            <w:r w:rsidRPr="008516FD">
              <w:rPr>
                <w:sz w:val="15"/>
                <w:szCs w:val="15"/>
              </w:rPr>
              <w:t>Animal Production Directorate (MOFA)</w:t>
            </w:r>
          </w:p>
        </w:tc>
      </w:tr>
      <w:tr w:rsidR="00C15F2E" w:rsidRPr="008516FD" w14:paraId="6066B8B4" w14:textId="77777777" w:rsidTr="001C0051">
        <w:trPr>
          <w:trHeight w:val="240"/>
        </w:trPr>
        <w:tc>
          <w:tcPr>
            <w:tcW w:w="2827" w:type="pct"/>
          </w:tcPr>
          <w:p w14:paraId="7130679F" w14:textId="77777777" w:rsidR="00C15F2E" w:rsidRPr="008516FD" w:rsidRDefault="00C15F2E" w:rsidP="00997D10">
            <w:pPr>
              <w:jc w:val="left"/>
              <w:rPr>
                <w:rFonts w:cs="Tahoma"/>
                <w:sz w:val="15"/>
                <w:szCs w:val="15"/>
              </w:rPr>
            </w:pPr>
            <w:r w:rsidRPr="008516FD">
              <w:rPr>
                <w:rFonts w:cs="Tahoma"/>
                <w:sz w:val="15"/>
                <w:szCs w:val="15"/>
              </w:rPr>
              <w:t>Communication equipment</w:t>
            </w:r>
          </w:p>
        </w:tc>
        <w:tc>
          <w:tcPr>
            <w:tcW w:w="2173" w:type="pct"/>
          </w:tcPr>
          <w:p w14:paraId="69042E07" w14:textId="77777777" w:rsidR="00C15F2E" w:rsidRPr="008516FD" w:rsidRDefault="00C15F2E" w:rsidP="00997D10">
            <w:pPr>
              <w:jc w:val="left"/>
              <w:rPr>
                <w:rFonts w:cs="Tahoma"/>
                <w:sz w:val="15"/>
                <w:szCs w:val="15"/>
              </w:rPr>
            </w:pPr>
            <w:r w:rsidRPr="008516FD">
              <w:rPr>
                <w:rFonts w:cs="Tahoma"/>
                <w:sz w:val="15"/>
                <w:szCs w:val="15"/>
              </w:rPr>
              <w:t>National Communication Authority, GSA</w:t>
            </w:r>
          </w:p>
        </w:tc>
      </w:tr>
      <w:tr w:rsidR="00C15F2E" w:rsidRPr="008516FD" w14:paraId="3DCF4629"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5FC8BC63" w14:textId="77777777" w:rsidR="00C15F2E" w:rsidRPr="008516FD" w:rsidRDefault="00C15F2E" w:rsidP="00997D10">
            <w:pPr>
              <w:jc w:val="left"/>
              <w:rPr>
                <w:rFonts w:cs="Tahoma"/>
                <w:sz w:val="15"/>
                <w:szCs w:val="15"/>
              </w:rPr>
            </w:pPr>
            <w:r w:rsidRPr="008516FD">
              <w:rPr>
                <w:rFonts w:cs="Tahoma"/>
                <w:sz w:val="15"/>
                <w:szCs w:val="15"/>
              </w:rPr>
              <w:t>Cinematography films</w:t>
            </w:r>
          </w:p>
        </w:tc>
        <w:tc>
          <w:tcPr>
            <w:tcW w:w="2173" w:type="pct"/>
          </w:tcPr>
          <w:p w14:paraId="32F00A7E" w14:textId="77777777" w:rsidR="00C15F2E" w:rsidRPr="008516FD" w:rsidRDefault="00C15F2E" w:rsidP="00997D10">
            <w:pPr>
              <w:jc w:val="left"/>
              <w:rPr>
                <w:rFonts w:cs="Tahoma"/>
                <w:sz w:val="15"/>
                <w:szCs w:val="15"/>
              </w:rPr>
            </w:pPr>
            <w:r w:rsidRPr="008516FD">
              <w:rPr>
                <w:rFonts w:cs="Tahoma"/>
                <w:sz w:val="15"/>
                <w:szCs w:val="15"/>
              </w:rPr>
              <w:t>Customs</w:t>
            </w:r>
          </w:p>
        </w:tc>
      </w:tr>
      <w:tr w:rsidR="00C15F2E" w:rsidRPr="008516FD" w14:paraId="24C29461" w14:textId="77777777" w:rsidTr="001C0051">
        <w:trPr>
          <w:trHeight w:val="240"/>
        </w:trPr>
        <w:tc>
          <w:tcPr>
            <w:tcW w:w="2827" w:type="pct"/>
          </w:tcPr>
          <w:p w14:paraId="53C36A2F" w14:textId="77777777" w:rsidR="00C15F2E" w:rsidRPr="008516FD" w:rsidRDefault="00C15F2E" w:rsidP="00997D10">
            <w:pPr>
              <w:jc w:val="left"/>
              <w:rPr>
                <w:rFonts w:cs="Tahoma"/>
                <w:sz w:val="15"/>
                <w:szCs w:val="15"/>
              </w:rPr>
            </w:pPr>
            <w:r w:rsidRPr="008516FD">
              <w:rPr>
                <w:rFonts w:cs="Tahoma"/>
                <w:sz w:val="15"/>
                <w:szCs w:val="15"/>
              </w:rPr>
              <w:t>Goods imitating money; gambling machines; gold coins</w:t>
            </w:r>
          </w:p>
          <w:p w14:paraId="0ACD7E5F" w14:textId="77777777" w:rsidR="00C15F2E" w:rsidRPr="008516FD" w:rsidRDefault="00C15F2E" w:rsidP="00997D10">
            <w:pPr>
              <w:jc w:val="left"/>
              <w:rPr>
                <w:rFonts w:cs="Tahoma"/>
                <w:sz w:val="15"/>
                <w:szCs w:val="15"/>
              </w:rPr>
            </w:pPr>
            <w:r w:rsidRPr="008516FD">
              <w:rPr>
                <w:rFonts w:cs="Tahoma"/>
                <w:sz w:val="15"/>
                <w:szCs w:val="15"/>
              </w:rPr>
              <w:lastRenderedPageBreak/>
              <w:t xml:space="preserve">Rough or uncut diamonds </w:t>
            </w:r>
          </w:p>
        </w:tc>
        <w:tc>
          <w:tcPr>
            <w:tcW w:w="2173" w:type="pct"/>
          </w:tcPr>
          <w:p w14:paraId="0875A834" w14:textId="77777777" w:rsidR="00C15F2E" w:rsidRPr="008516FD" w:rsidRDefault="00C15F2E" w:rsidP="00997D10">
            <w:pPr>
              <w:jc w:val="left"/>
              <w:rPr>
                <w:rFonts w:cs="Tahoma"/>
                <w:sz w:val="15"/>
                <w:szCs w:val="15"/>
              </w:rPr>
            </w:pPr>
            <w:r w:rsidRPr="008516FD">
              <w:rPr>
                <w:rFonts w:cs="Tahoma"/>
                <w:sz w:val="15"/>
                <w:szCs w:val="15"/>
              </w:rPr>
              <w:lastRenderedPageBreak/>
              <w:t>Minister of Finance</w:t>
            </w:r>
          </w:p>
        </w:tc>
      </w:tr>
      <w:tr w:rsidR="00C15F2E" w:rsidRPr="008516FD" w14:paraId="172BE15B"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57C31DA3" w14:textId="77777777" w:rsidR="00C15F2E" w:rsidRPr="008516FD" w:rsidRDefault="00C15F2E" w:rsidP="00997D10">
            <w:pPr>
              <w:jc w:val="left"/>
              <w:rPr>
                <w:sz w:val="15"/>
                <w:szCs w:val="15"/>
              </w:rPr>
            </w:pPr>
            <w:r w:rsidRPr="008516FD">
              <w:rPr>
                <w:sz w:val="15"/>
                <w:szCs w:val="15"/>
              </w:rPr>
              <w:t>Arms, ammunition, h</w:t>
            </w:r>
            <w:r w:rsidRPr="008516FD">
              <w:rPr>
                <w:rFonts w:cs="Tahoma"/>
                <w:sz w:val="15"/>
                <w:szCs w:val="15"/>
              </w:rPr>
              <w:t>andcuffs, machines for duplicating keys</w:t>
            </w:r>
          </w:p>
        </w:tc>
        <w:tc>
          <w:tcPr>
            <w:tcW w:w="2173" w:type="pct"/>
          </w:tcPr>
          <w:p w14:paraId="7354CC3B" w14:textId="77777777" w:rsidR="00C15F2E" w:rsidRPr="008516FD" w:rsidRDefault="00C15F2E" w:rsidP="00997D10">
            <w:pPr>
              <w:jc w:val="left"/>
              <w:rPr>
                <w:rFonts w:cs="Tahoma"/>
                <w:sz w:val="15"/>
                <w:szCs w:val="15"/>
              </w:rPr>
            </w:pPr>
            <w:r w:rsidRPr="008516FD">
              <w:rPr>
                <w:rFonts w:cs="Tahoma"/>
                <w:sz w:val="15"/>
                <w:szCs w:val="15"/>
              </w:rPr>
              <w:t>Minister of Interior</w:t>
            </w:r>
          </w:p>
        </w:tc>
      </w:tr>
      <w:tr w:rsidR="00C15F2E" w:rsidRPr="008516FD" w14:paraId="5D434E33" w14:textId="77777777" w:rsidTr="001C0051">
        <w:trPr>
          <w:trHeight w:val="240"/>
        </w:trPr>
        <w:tc>
          <w:tcPr>
            <w:tcW w:w="2827" w:type="pct"/>
          </w:tcPr>
          <w:p w14:paraId="09712585" w14:textId="77777777" w:rsidR="00C15F2E" w:rsidRPr="008516FD" w:rsidRDefault="00C15F2E" w:rsidP="00997D10">
            <w:pPr>
              <w:jc w:val="left"/>
              <w:rPr>
                <w:rFonts w:cs="Tahoma"/>
                <w:sz w:val="15"/>
                <w:szCs w:val="15"/>
              </w:rPr>
            </w:pPr>
            <w:r w:rsidRPr="008516FD">
              <w:rPr>
                <w:rFonts w:cs="Tahoma"/>
                <w:sz w:val="15"/>
                <w:szCs w:val="15"/>
              </w:rPr>
              <w:t>Nets and traps for animals</w:t>
            </w:r>
          </w:p>
        </w:tc>
        <w:tc>
          <w:tcPr>
            <w:tcW w:w="2173" w:type="pct"/>
          </w:tcPr>
          <w:p w14:paraId="54B92167" w14:textId="77777777" w:rsidR="00C15F2E" w:rsidRPr="008516FD" w:rsidRDefault="00C15F2E" w:rsidP="00997D10">
            <w:pPr>
              <w:jc w:val="left"/>
              <w:rPr>
                <w:rFonts w:cs="Tahoma"/>
                <w:sz w:val="15"/>
                <w:szCs w:val="15"/>
              </w:rPr>
            </w:pPr>
            <w:r w:rsidRPr="008516FD">
              <w:rPr>
                <w:rFonts w:cs="Tahoma"/>
                <w:sz w:val="15"/>
                <w:szCs w:val="15"/>
              </w:rPr>
              <w:t>MOFA</w:t>
            </w:r>
          </w:p>
        </w:tc>
      </w:tr>
      <w:tr w:rsidR="00C15F2E" w:rsidRPr="008516FD" w14:paraId="15606076" w14:textId="77777777" w:rsidTr="001C0051">
        <w:trPr>
          <w:cnfStyle w:val="000000010000" w:firstRow="0" w:lastRow="0" w:firstColumn="0" w:lastColumn="0" w:oddVBand="0" w:evenVBand="0" w:oddHBand="0" w:evenHBand="1" w:firstRowFirstColumn="0" w:firstRowLastColumn="0" w:lastRowFirstColumn="0" w:lastRowLastColumn="0"/>
          <w:trHeight w:val="240"/>
        </w:trPr>
        <w:tc>
          <w:tcPr>
            <w:tcW w:w="2827" w:type="pct"/>
          </w:tcPr>
          <w:p w14:paraId="7A1BD5F0" w14:textId="77777777" w:rsidR="00C15F2E" w:rsidRPr="008516FD" w:rsidRDefault="00C15F2E" w:rsidP="00997D10">
            <w:pPr>
              <w:jc w:val="left"/>
              <w:rPr>
                <w:rFonts w:cs="Tahoma"/>
                <w:sz w:val="15"/>
                <w:szCs w:val="15"/>
              </w:rPr>
            </w:pPr>
            <w:r w:rsidRPr="008516FD">
              <w:rPr>
                <w:rFonts w:cs="Tahoma"/>
                <w:sz w:val="15"/>
                <w:szCs w:val="15"/>
              </w:rPr>
              <w:t xml:space="preserve">Mercury </w:t>
            </w:r>
          </w:p>
        </w:tc>
        <w:tc>
          <w:tcPr>
            <w:tcW w:w="2173" w:type="pct"/>
          </w:tcPr>
          <w:p w14:paraId="18EB491B" w14:textId="77777777" w:rsidR="00C15F2E" w:rsidRPr="008516FD" w:rsidRDefault="00C15F2E" w:rsidP="00997D10">
            <w:pPr>
              <w:jc w:val="left"/>
              <w:rPr>
                <w:rFonts w:cs="Tahoma"/>
                <w:sz w:val="15"/>
                <w:szCs w:val="15"/>
              </w:rPr>
            </w:pPr>
            <w:r w:rsidRPr="008516FD">
              <w:rPr>
                <w:rFonts w:cs="Tahoma"/>
                <w:sz w:val="15"/>
                <w:szCs w:val="15"/>
              </w:rPr>
              <w:t>MOTI/Inspector of Mines</w:t>
            </w:r>
          </w:p>
        </w:tc>
      </w:tr>
      <w:tr w:rsidR="00C15F2E" w:rsidRPr="008516FD" w14:paraId="02A86545" w14:textId="77777777" w:rsidTr="001C0051">
        <w:trPr>
          <w:trHeight w:val="240"/>
        </w:trPr>
        <w:tc>
          <w:tcPr>
            <w:tcW w:w="2827" w:type="pct"/>
          </w:tcPr>
          <w:p w14:paraId="2D614591" w14:textId="77777777" w:rsidR="00C15F2E" w:rsidRPr="008516FD" w:rsidRDefault="00C15F2E" w:rsidP="00997D10">
            <w:pPr>
              <w:jc w:val="left"/>
              <w:rPr>
                <w:rFonts w:cs="Tahoma"/>
                <w:sz w:val="15"/>
                <w:szCs w:val="15"/>
              </w:rPr>
            </w:pPr>
            <w:r w:rsidRPr="008516FD">
              <w:rPr>
                <w:rFonts w:cs="Tahoma"/>
                <w:b/>
                <w:sz w:val="15"/>
                <w:szCs w:val="15"/>
              </w:rPr>
              <w:t>All products (</w:t>
            </w:r>
            <w:r w:rsidRPr="008516FD">
              <w:rPr>
                <w:rFonts w:cs="Tahoma"/>
                <w:b/>
                <w:i/>
                <w:sz w:val="15"/>
                <w:szCs w:val="15"/>
              </w:rPr>
              <w:t>ad hoc</w:t>
            </w:r>
            <w:r w:rsidRPr="008516FD">
              <w:rPr>
                <w:rFonts w:cs="Tahoma"/>
                <w:b/>
                <w:sz w:val="15"/>
                <w:szCs w:val="15"/>
              </w:rPr>
              <w:t xml:space="preserve"> compliance checks)</w:t>
            </w:r>
          </w:p>
        </w:tc>
        <w:tc>
          <w:tcPr>
            <w:tcW w:w="2173" w:type="pct"/>
          </w:tcPr>
          <w:p w14:paraId="07B69615" w14:textId="77777777" w:rsidR="00C15F2E" w:rsidRPr="008516FD" w:rsidRDefault="00C15F2E" w:rsidP="00997D10">
            <w:pPr>
              <w:jc w:val="left"/>
              <w:rPr>
                <w:rFonts w:cs="Tahoma"/>
                <w:sz w:val="15"/>
                <w:szCs w:val="15"/>
              </w:rPr>
            </w:pPr>
            <w:r w:rsidRPr="008516FD">
              <w:rPr>
                <w:rFonts w:cs="Tahoma"/>
                <w:sz w:val="15"/>
                <w:szCs w:val="15"/>
              </w:rPr>
              <w:t>Presidential Task Forces, National Security Personnel, Port Health Authority</w:t>
            </w:r>
          </w:p>
        </w:tc>
      </w:tr>
    </w:tbl>
    <w:p w14:paraId="1141C00B" w14:textId="77777777" w:rsidR="00C15F2E" w:rsidRPr="00D96063" w:rsidRDefault="00C15F2E" w:rsidP="00B05CAF">
      <w:pPr>
        <w:pStyle w:val="NoteText"/>
        <w:spacing w:before="120" w:after="240"/>
      </w:pPr>
      <w:r w:rsidRPr="00D96063">
        <w:t>Source:</w:t>
      </w:r>
      <w:r w:rsidRPr="00D96063">
        <w:tab/>
        <w:t>WTO Secretariat based on information provided by the authorities.</w:t>
      </w:r>
    </w:p>
    <w:p w14:paraId="22710D6A" w14:textId="77777777" w:rsidR="00C15F2E" w:rsidRPr="00D96063" w:rsidRDefault="00C15F2E" w:rsidP="00394E74">
      <w:pPr>
        <w:pStyle w:val="Heading3"/>
        <w:rPr>
          <w:rFonts w:eastAsia="Calibri"/>
        </w:rPr>
      </w:pPr>
      <w:bookmarkStart w:id="162" w:name="_Toc103607699"/>
      <w:r w:rsidRPr="00D96063">
        <w:rPr>
          <w:rFonts w:eastAsia="Calibri"/>
        </w:rPr>
        <w:t xml:space="preserve">Sanitary </w:t>
      </w:r>
      <w:r w:rsidRPr="00D96063">
        <w:t>and</w:t>
      </w:r>
      <w:r w:rsidRPr="00D96063">
        <w:rPr>
          <w:rFonts w:eastAsia="Calibri"/>
        </w:rPr>
        <w:t xml:space="preserve"> phytosanitary measures</w:t>
      </w:r>
      <w:bookmarkEnd w:id="162"/>
    </w:p>
    <w:p w14:paraId="661C5474" w14:textId="77777777" w:rsidR="00C15F2E" w:rsidRPr="00D96063" w:rsidRDefault="00C15F2E" w:rsidP="003758E5">
      <w:pPr>
        <w:numPr>
          <w:ilvl w:val="6"/>
          <w:numId w:val="25"/>
        </w:numPr>
        <w:spacing w:after="240"/>
        <w:rPr>
          <w:rFonts w:eastAsia="Times New Roman"/>
          <w:lang w:eastAsia="fr-CH"/>
        </w:rPr>
      </w:pPr>
      <w:r w:rsidRPr="00D96063">
        <w:rPr>
          <w:szCs w:val="18"/>
          <w:lang w:eastAsia="fr-CH"/>
        </w:rPr>
        <w:t xml:space="preserve">The WTO SPS enquiry point is located at the Plant </w:t>
      </w:r>
      <w:r w:rsidRPr="00D96063">
        <w:rPr>
          <w:lang w:eastAsia="fr-CH"/>
        </w:rPr>
        <w:t>Protection and Regulatory Services Directorate (PPRSD) of MOFA, while MOTI is the SPS notification authority. Since the previous Review, Ghana has submitted nine SPS notifications (including addenda). No specific trade concerns regarding Ghana's SPS measures were raised in the SPS Committee.</w:t>
      </w:r>
    </w:p>
    <w:p w14:paraId="67E0C1C7" w14:textId="77777777" w:rsidR="00C15F2E" w:rsidRPr="00D96063" w:rsidRDefault="00C15F2E" w:rsidP="003758E5">
      <w:pPr>
        <w:numPr>
          <w:ilvl w:val="6"/>
          <w:numId w:val="25"/>
        </w:numPr>
        <w:spacing w:after="240"/>
        <w:rPr>
          <w:lang w:eastAsia="fr-CH"/>
        </w:rPr>
      </w:pPr>
      <w:r w:rsidRPr="00D96063">
        <w:rPr>
          <w:lang w:eastAsia="fr-CH"/>
        </w:rPr>
        <w:t>Ghana is a member of the FAO/WHO Codex Alimentarius Commission, the International Plant Protection Convention (IPPC), and the World Organisation for Animal Health (OIE). At the regional level, Ghana cooperates with other members of ECOWAS and the African Union to arrive at a common policy on SPS measures. According to the authorities, Ghana is implementing ECOWAS Regulation C/REG.21/11/10 related to the structural and operational rules for plant health, animal health, and food safety in the ECOWAS region.</w:t>
      </w:r>
    </w:p>
    <w:p w14:paraId="3476CEC1" w14:textId="77777777" w:rsidR="00C15F2E" w:rsidRPr="00D96063" w:rsidRDefault="00C15F2E" w:rsidP="003758E5">
      <w:pPr>
        <w:numPr>
          <w:ilvl w:val="6"/>
          <w:numId w:val="25"/>
        </w:numPr>
        <w:spacing w:after="240"/>
        <w:rPr>
          <w:lang w:eastAsia="fr-CH"/>
        </w:rPr>
      </w:pPr>
      <w:r w:rsidRPr="00D96063">
        <w:rPr>
          <w:lang w:eastAsia="fr-CH"/>
        </w:rPr>
        <w:t>The African Union has developed an SPS Policy Framework for the period 2019-24, on the basis of which a number of capacity-building activities were carried out in Ghana. A 2018 USAID study identified some issues with respect to the Ghanaian SPS regime, including many fees that contribute to high costs of doing business.</w:t>
      </w:r>
      <w:r w:rsidRPr="00D96063">
        <w:rPr>
          <w:vertAlign w:val="superscript"/>
          <w:lang w:eastAsia="fr-CH"/>
        </w:rPr>
        <w:footnoteReference w:id="93"/>
      </w:r>
    </w:p>
    <w:p w14:paraId="4CE68553" w14:textId="77777777" w:rsidR="00C15F2E" w:rsidRPr="00D96063" w:rsidRDefault="00C15F2E" w:rsidP="003758E5">
      <w:pPr>
        <w:numPr>
          <w:ilvl w:val="6"/>
          <w:numId w:val="25"/>
        </w:numPr>
        <w:spacing w:after="240"/>
        <w:rPr>
          <w:lang w:eastAsia="fr-CH"/>
        </w:rPr>
      </w:pPr>
      <w:r w:rsidRPr="00D96063">
        <w:rPr>
          <w:lang w:eastAsia="fr-CH"/>
        </w:rPr>
        <w:t>Ghana adopted a National Food Safety Policy in April 2015 to establish an integrated farm</w:t>
      </w:r>
      <w:r w:rsidRPr="00D96063">
        <w:rPr>
          <w:lang w:eastAsia="fr-CH"/>
        </w:rPr>
        <w:noBreakHyphen/>
        <w:t>to-fork food safety system that ensures consumer health and public safety for all plant and animal food products.</w:t>
      </w:r>
      <w:r w:rsidRPr="00D96063">
        <w:rPr>
          <w:vertAlign w:val="superscript"/>
          <w:lang w:eastAsia="fr-CH"/>
        </w:rPr>
        <w:footnoteReference w:id="94"/>
      </w:r>
    </w:p>
    <w:p w14:paraId="4295985E" w14:textId="77777777" w:rsidR="00C15F2E" w:rsidRPr="00D96063" w:rsidRDefault="00C15F2E" w:rsidP="003758E5">
      <w:pPr>
        <w:numPr>
          <w:ilvl w:val="6"/>
          <w:numId w:val="25"/>
        </w:numPr>
        <w:spacing w:after="240"/>
        <w:rPr>
          <w:lang w:eastAsia="fr-CH"/>
        </w:rPr>
      </w:pPr>
      <w:r w:rsidRPr="00D96063">
        <w:rPr>
          <w:lang w:eastAsia="fr-CH"/>
        </w:rPr>
        <w:t xml:space="preserve">The FDA has the mandate, pursuant to the Public Health Act, 2012 (Act 851), to regulate certain food products, tobacco products, pharmaceuticals, cosmetics and household chemicals, and medical devices. Its regulatory functions include product registration, facility licensing, market surveillance, </w:t>
      </w:r>
      <w:r w:rsidRPr="00D96063">
        <w:rPr>
          <w:rFonts w:eastAsia="Calibri" w:cs="Times New Roman"/>
          <w:lang w:eastAsia="fr-CH"/>
        </w:rPr>
        <w:t xml:space="preserve">import and export control, product testing, and safety monitoring. All food products, medicines, and all other regulated products must be registered by the FDA before they are imported or placed on the market. Registration involves, </w:t>
      </w:r>
      <w:r w:rsidRPr="00D96063">
        <w:rPr>
          <w:rFonts w:eastAsia="Calibri" w:cs="Times New Roman"/>
          <w:i/>
          <w:iCs/>
          <w:lang w:eastAsia="fr-CH"/>
        </w:rPr>
        <w:t>inter alia</w:t>
      </w:r>
      <w:r w:rsidRPr="00D96063">
        <w:rPr>
          <w:rFonts w:eastAsia="Calibri" w:cs="Times New Roman"/>
          <w:lang w:eastAsia="fr-CH"/>
        </w:rPr>
        <w:t>, the submission of a certificate of analysis for food products. Raw materials imported for further processing or manufacturing of food products are exempt from FDA registration.</w:t>
      </w:r>
    </w:p>
    <w:p w14:paraId="0003387A" w14:textId="77777777" w:rsidR="00C15F2E" w:rsidRPr="00D96063" w:rsidRDefault="00C15F2E" w:rsidP="003758E5">
      <w:pPr>
        <w:numPr>
          <w:ilvl w:val="6"/>
          <w:numId w:val="25"/>
        </w:numPr>
        <w:spacing w:after="240"/>
        <w:rPr>
          <w:lang w:eastAsia="fr-CH"/>
        </w:rPr>
      </w:pPr>
      <w:r w:rsidRPr="00D96063">
        <w:rPr>
          <w:lang w:eastAsia="fr-CH"/>
        </w:rPr>
        <w:t>The FDA may conduct laboratory analyses, irrespective of whether the consignment is covered by foreign laboratory tests. The FDA's lab is ISO 17025:2017 accredited. Import permits are required for all FDA-regulated products. All regulated products are subject to inspection, although some compliant importers are exempt from inspection through the National Risk Management System. Examples of products subject to testing (lab analysis) include tomato products, sugar, and chicken products.</w:t>
      </w:r>
    </w:p>
    <w:p w14:paraId="169A4A22" w14:textId="77777777" w:rsidR="00C15F2E" w:rsidRPr="00D96063" w:rsidRDefault="00C15F2E" w:rsidP="003758E5">
      <w:pPr>
        <w:numPr>
          <w:ilvl w:val="6"/>
          <w:numId w:val="25"/>
        </w:numPr>
        <w:spacing w:after="240"/>
        <w:rPr>
          <w:lang w:eastAsia="fr-CH"/>
        </w:rPr>
      </w:pPr>
      <w:r w:rsidRPr="00D96063">
        <w:rPr>
          <w:lang w:eastAsia="fr-CH"/>
        </w:rPr>
        <w:t>A new FDA fee schedule was introduced in January 2020, whereby fees are based on the value of imports.</w:t>
      </w:r>
      <w:r w:rsidRPr="00D96063">
        <w:rPr>
          <w:rFonts w:eastAsia="Calibri" w:cs="Times New Roman"/>
          <w:vertAlign w:val="superscript"/>
          <w:lang w:eastAsia="fr-CH"/>
        </w:rPr>
        <w:footnoteReference w:id="95"/>
      </w:r>
      <w:r w:rsidRPr="00D96063">
        <w:rPr>
          <w:lang w:eastAsia="fr-CH"/>
        </w:rPr>
        <w:t xml:space="preserve"> The inspection fee for FDA-regulated food products is 0.8% of the c.i.f. value (Box 3.1). According to the authorities, the initial cost of registration prior to importation has been reduced by up to 90% to encourage all importers to register; the remaining costs have been passed on to the </w:t>
      </w:r>
      <w:r w:rsidRPr="00D96063">
        <w:rPr>
          <w:lang w:eastAsia="fr-CH"/>
        </w:rPr>
        <w:lastRenderedPageBreak/>
        <w:t>inspection fee. This was decided at stakeholder meetings with importers and approved by Parliament.</w:t>
      </w:r>
    </w:p>
    <w:p w14:paraId="381ABB77" w14:textId="77777777" w:rsidR="00C15F2E" w:rsidRPr="00D96063" w:rsidRDefault="00C15F2E" w:rsidP="003758E5">
      <w:pPr>
        <w:numPr>
          <w:ilvl w:val="6"/>
          <w:numId w:val="25"/>
        </w:numPr>
        <w:spacing w:after="240"/>
        <w:rPr>
          <w:lang w:eastAsia="fr-CH"/>
        </w:rPr>
      </w:pPr>
      <w:r w:rsidRPr="00D96063">
        <w:rPr>
          <w:lang w:eastAsia="fr-CH"/>
        </w:rPr>
        <w:t>With regard to veterinary measures, the MOFA's Veterinary Services Directorate (VSD) uses the Codex Alimentarius and OIE legislation as regulatory guidelines for SPS measures, according to the authorities. A draft Meat Inspection Bill was notified to the SPS Committee in 2016.</w:t>
      </w:r>
      <w:r w:rsidRPr="00D96063">
        <w:rPr>
          <w:vertAlign w:val="superscript"/>
          <w:lang w:eastAsia="fr-CH"/>
        </w:rPr>
        <w:footnoteReference w:id="96"/>
      </w:r>
      <w:r w:rsidRPr="00D96063">
        <w:rPr>
          <w:lang w:eastAsia="fr-CH"/>
        </w:rPr>
        <w:t xml:space="preserve"> The Bill has been passed by Parliament and is currently implemented as the Meat Inspection Regulation, 2020 (L.I. 2405). Other rules for veterinary measures include the Animals (Control of Importation) Act, 1956 (Act 36); Diseases of Animals Act, 1961 (Act 83); and the Veterinary Surgeons Act, 1992 (PNDCL, 305C). The Ministry of Fisheries and Aquaculture Development is responsible for fish and fish products' safety.</w:t>
      </w:r>
      <w:r w:rsidRPr="00D96063">
        <w:rPr>
          <w:vertAlign w:val="superscript"/>
          <w:lang w:eastAsia="fr-CH"/>
        </w:rPr>
        <w:footnoteReference w:id="97"/>
      </w:r>
    </w:p>
    <w:p w14:paraId="7496A5F9" w14:textId="77777777" w:rsidR="00C15F2E" w:rsidRPr="00D96063" w:rsidRDefault="00C15F2E" w:rsidP="003758E5">
      <w:pPr>
        <w:numPr>
          <w:ilvl w:val="6"/>
          <w:numId w:val="25"/>
        </w:numPr>
        <w:spacing w:after="240"/>
        <w:rPr>
          <w:rFonts w:eastAsia="Calibri" w:cs="Times New Roman"/>
          <w:lang w:eastAsia="fr-CH"/>
        </w:rPr>
      </w:pPr>
      <w:r w:rsidRPr="00D96063">
        <w:rPr>
          <w:lang w:eastAsia="fr-CH"/>
        </w:rPr>
        <w:t>Imports of l</w:t>
      </w:r>
      <w:r w:rsidRPr="00D96063">
        <w:rPr>
          <w:rFonts w:eastAsia="Calibri" w:cs="Times New Roman"/>
          <w:lang w:eastAsia="fr-CH"/>
        </w:rPr>
        <w:t>ive animals and products of animal origin</w:t>
      </w:r>
      <w:r w:rsidRPr="00D96063">
        <w:rPr>
          <w:lang w:eastAsia="fr-CH"/>
        </w:rPr>
        <w:t xml:space="preserve">, as well as veterinary vaccines, drugs, and equipment require a permit issued by the VSD and must be covered by a veterinary health certificate from the exporting country. The application for a veterinary import permit requires approval by the Minister of the MOFA; the approval letter must then be submitted online through ICUMS to the VSD for evaluation and verification of compliance with veterinary requirements. </w:t>
      </w:r>
      <w:r w:rsidRPr="00D96063">
        <w:rPr>
          <w:rFonts w:eastAsia="Calibri" w:cs="Times New Roman"/>
          <w:lang w:eastAsia="fr-CH"/>
        </w:rPr>
        <w:t xml:space="preserve">The </w:t>
      </w:r>
      <w:r w:rsidRPr="00D96063">
        <w:rPr>
          <w:lang w:eastAsia="fr-CH"/>
        </w:rPr>
        <w:t xml:space="preserve">VSD in collaboration with the FDA </w:t>
      </w:r>
      <w:r w:rsidRPr="00D96063">
        <w:rPr>
          <w:rFonts w:eastAsia="Calibri" w:cs="Times New Roman"/>
          <w:lang w:eastAsia="fr-CH"/>
        </w:rPr>
        <w:t>inspects and licenses cold storage facilities for frozen animal products as a prerequisite for an import permit.</w:t>
      </w:r>
    </w:p>
    <w:p w14:paraId="526A2C9B" w14:textId="77777777" w:rsidR="00C15F2E" w:rsidRPr="00D96063" w:rsidRDefault="00C15F2E" w:rsidP="003758E5">
      <w:pPr>
        <w:numPr>
          <w:ilvl w:val="6"/>
          <w:numId w:val="25"/>
        </w:numPr>
        <w:spacing w:after="240"/>
        <w:rPr>
          <w:lang w:eastAsia="fr-CH"/>
        </w:rPr>
      </w:pPr>
      <w:r w:rsidRPr="00D96063">
        <w:rPr>
          <w:lang w:eastAsia="fr-CH"/>
        </w:rPr>
        <w:t>Ghana ratified the ECOWAS protocol that mandates the VSD to check the importation, exportation, and transit of animals and products of animal origin and veterinary pharmaceuticals (e.g. vaccines, drugs, and biologicals).</w:t>
      </w:r>
    </w:p>
    <w:p w14:paraId="4E3E068E" w14:textId="77777777" w:rsidR="00C15F2E" w:rsidRPr="00D96063" w:rsidRDefault="00C15F2E" w:rsidP="003758E5">
      <w:pPr>
        <w:numPr>
          <w:ilvl w:val="6"/>
          <w:numId w:val="25"/>
        </w:numPr>
        <w:spacing w:after="240"/>
        <w:rPr>
          <w:lang w:eastAsia="fr-CH"/>
        </w:rPr>
      </w:pPr>
      <w:r w:rsidRPr="00D96063">
        <w:rPr>
          <w:lang w:eastAsia="fr-CH"/>
        </w:rPr>
        <w:t xml:space="preserve">Phytosanitary measures (on plants, seeds, and some processed foods), including plant pest and disease management, pesticide regulation and control, and inspection and certification, are primarily the responsibility of the </w:t>
      </w:r>
      <w:r w:rsidRPr="00D96063">
        <w:rPr>
          <w:szCs w:val="18"/>
          <w:lang w:eastAsia="fr-CH"/>
        </w:rPr>
        <w:t xml:space="preserve">PPRSD. </w:t>
      </w:r>
      <w:r w:rsidRPr="00D96063">
        <w:rPr>
          <w:lang w:eastAsia="fr-CH"/>
        </w:rPr>
        <w:t>The PPRSD is also responsible for inspecting and licensing of Agro Produce Packhouses as a prerequisite for issuing phytosanitary certificates for exports.</w:t>
      </w:r>
    </w:p>
    <w:p w14:paraId="3C8E6408" w14:textId="77777777" w:rsidR="00C15F2E" w:rsidRPr="00D96063" w:rsidRDefault="00C15F2E" w:rsidP="003758E5">
      <w:pPr>
        <w:numPr>
          <w:ilvl w:val="6"/>
          <w:numId w:val="25"/>
        </w:numPr>
        <w:spacing w:after="240"/>
        <w:rPr>
          <w:lang w:eastAsia="fr-CH"/>
        </w:rPr>
      </w:pPr>
      <w:r w:rsidRPr="00D96063">
        <w:rPr>
          <w:lang w:eastAsia="fr-CH"/>
        </w:rPr>
        <w:t>Ghana's phytosanitary regime is based on primarily the Plants and Fertilizer Act, 2010 (Part One of Act 803) and the Plant Protection Regulations, 2012 (L.I. 2193), which according to the authorities are in conformity with the IPPC for import licensing and controls, including prior approval and special import programmes. According to the authorities, import measures for SPS reasons are based on IPPC standards, notably International Standards for Phytosanitary Measures (ISPM) Nos. 1</w:t>
      </w:r>
      <w:r w:rsidRPr="00D96063">
        <w:rPr>
          <w:lang w:eastAsia="fr-CH"/>
        </w:rPr>
        <w:noBreakHyphen/>
        <w:t>45.</w:t>
      </w:r>
    </w:p>
    <w:p w14:paraId="3DA056B5" w14:textId="77777777" w:rsidR="00C15F2E" w:rsidRPr="00D96063" w:rsidRDefault="00C15F2E" w:rsidP="003758E5">
      <w:pPr>
        <w:numPr>
          <w:ilvl w:val="6"/>
          <w:numId w:val="25"/>
        </w:numPr>
        <w:spacing w:after="240"/>
        <w:rPr>
          <w:lang w:eastAsia="fr-CH"/>
        </w:rPr>
      </w:pPr>
      <w:r w:rsidRPr="00D96063">
        <w:rPr>
          <w:lang w:eastAsia="fr-CH"/>
        </w:rPr>
        <w:t>Since the previous Review, Ghana has developed a number of national standards: (i) Standard Operating Procedure for Export Inspection and Phytosanitary Certification of Vegetables, Fruits, and Plants for Planting; (ii) Guidance on Performing Plant Health Checks of Specific Commodities for Specific Pests; and (iii) Guidelines for Export – Import and Release of Biological Control Agents and other Beneficial Organisms. Ghana has also revised the Weed List, the Insect Pests and Mites List, and the Plant Diseases and Nematodes List.</w:t>
      </w:r>
    </w:p>
    <w:p w14:paraId="4B2B2263" w14:textId="77777777" w:rsidR="00C15F2E" w:rsidRPr="00D96063" w:rsidRDefault="00C15F2E" w:rsidP="003758E5">
      <w:pPr>
        <w:numPr>
          <w:ilvl w:val="6"/>
          <w:numId w:val="25"/>
        </w:numPr>
        <w:spacing w:after="240"/>
        <w:rPr>
          <w:lang w:eastAsia="fr-CH"/>
        </w:rPr>
      </w:pPr>
      <w:r w:rsidRPr="00D96063">
        <w:rPr>
          <w:lang w:eastAsia="fr-CH"/>
        </w:rPr>
        <w:t>Other relevant phytosanitary legislation includes the Decree on the Prevention of Damage by Pests, 1968; the Prevention and Control of Pests and Diseases of Plants (Cassava Plant and Plant Products (Prohibition of Importation) Regulation), 1974 (L.I. 882); the Pesticides Control and Management Act, 1996 (Act 528); the Plant Fertilizer Regulations, 2012 (L.I. 2194); and the Fees and Charges (Amendment) Instrument, 2012 (L.I. 2191).</w:t>
      </w:r>
    </w:p>
    <w:p w14:paraId="50D3187D" w14:textId="5D498D8B" w:rsidR="00C15F2E" w:rsidRPr="00D96063" w:rsidRDefault="00C15F2E" w:rsidP="003758E5">
      <w:pPr>
        <w:numPr>
          <w:ilvl w:val="6"/>
          <w:numId w:val="25"/>
        </w:numPr>
        <w:spacing w:after="240"/>
        <w:rPr>
          <w:lang w:eastAsia="fr-CH"/>
        </w:rPr>
      </w:pPr>
      <w:r w:rsidRPr="00D96063">
        <w:rPr>
          <w:lang w:eastAsia="fr-CH"/>
        </w:rPr>
        <w:t>Imports of plants and plant products require a phytosanitary certificate from an authorized body of the exporting country and an import permit issued by the PPRSD. The PPRSD conducts a physical inspection of imports of plants, seeds, and fertilizers at the land border points, but not at the harbours and ports of entry (Tema and Takoradi). The PPRSD charges a fee per SPS certificate, which is a report on phytosanitary inspection that gives clearance to Customs to continue the import procedures. Importer registration can be done online for all plants and plant products for a fee of GHS 500.</w:t>
      </w:r>
    </w:p>
    <w:p w14:paraId="4D5F5C29" w14:textId="77777777" w:rsidR="00C15F2E" w:rsidRPr="00D96063" w:rsidRDefault="00C15F2E" w:rsidP="003758E5">
      <w:pPr>
        <w:numPr>
          <w:ilvl w:val="6"/>
          <w:numId w:val="25"/>
        </w:numPr>
        <w:spacing w:after="240"/>
        <w:rPr>
          <w:lang w:eastAsia="fr-CH"/>
        </w:rPr>
      </w:pPr>
      <w:r w:rsidRPr="00D96063">
        <w:rPr>
          <w:lang w:eastAsia="fr-CH"/>
        </w:rPr>
        <w:lastRenderedPageBreak/>
        <w:t xml:space="preserve">The Environmental Protection Agency regulates, </w:t>
      </w:r>
      <w:r w:rsidRPr="00D96063">
        <w:rPr>
          <w:i/>
          <w:lang w:eastAsia="fr-CH"/>
        </w:rPr>
        <w:t>inter alia</w:t>
      </w:r>
      <w:r w:rsidRPr="00D96063">
        <w:rPr>
          <w:lang w:eastAsia="fr-CH"/>
        </w:rPr>
        <w:t>, imports, exports, manufacture, distribution, sale, and use of pesticides. An Invasive Alien Species Secretariat (IAS</w:t>
      </w:r>
      <w:r w:rsidRPr="00D96063">
        <w:rPr>
          <w:lang w:eastAsia="fr-CH"/>
        </w:rPr>
        <w:noBreakHyphen/>
        <w:t xml:space="preserve">MOFA) was established and comprises experts from the PPRSD, the </w:t>
      </w:r>
      <w:r w:rsidRPr="00D96063">
        <w:t>Ministry of Environment, Science, Technology &amp; Innovation</w:t>
      </w:r>
      <w:r w:rsidRPr="00D96063">
        <w:rPr>
          <w:lang w:eastAsia="fr-CH"/>
        </w:rPr>
        <w:t>, the Environmental Protection Agency, and other entities.</w:t>
      </w:r>
      <w:r w:rsidRPr="00D96063">
        <w:rPr>
          <w:vertAlign w:val="superscript"/>
          <w:lang w:eastAsia="fr-CH"/>
        </w:rPr>
        <w:footnoteReference w:id="98"/>
      </w:r>
    </w:p>
    <w:p w14:paraId="5E5F682F" w14:textId="69C7FDE3" w:rsidR="00C15F2E" w:rsidRPr="00D96063" w:rsidRDefault="00C15F2E" w:rsidP="003758E5">
      <w:pPr>
        <w:numPr>
          <w:ilvl w:val="6"/>
          <w:numId w:val="25"/>
        </w:numPr>
        <w:spacing w:after="240"/>
        <w:rPr>
          <w:lang w:eastAsia="fr-CH"/>
        </w:rPr>
      </w:pPr>
      <w:r w:rsidRPr="00D96063">
        <w:rPr>
          <w:lang w:eastAsia="fr-CH"/>
        </w:rPr>
        <w:t>Ghana's National Biosafety Act (Act 831) entered into force in 2011. The Law aims to regulate biotech activities including use, releases into the environment, and placement in the market, as well as exports, imports, and transit of genetically modified organisms. The National Biosafety Authority functions as a coordinating agency, while monitoring and enforcement are done by other regulatory agencies.</w:t>
      </w:r>
      <w:r w:rsidRPr="00D96063">
        <w:rPr>
          <w:rStyle w:val="FootnoteReference"/>
          <w:lang w:eastAsia="fr-CH"/>
        </w:rPr>
        <w:footnoteReference w:id="99"/>
      </w:r>
      <w:r w:rsidRPr="00D96063">
        <w:rPr>
          <w:lang w:eastAsia="fr-CH"/>
        </w:rPr>
        <w:t xml:space="preserve"> The WTO SPS Committee was notified of the draft Biosafety (Management of Biotechnology) Regulations under Act 831, which were adopted in 2019 (L</w:t>
      </w:r>
      <w:r w:rsidRPr="00D96063">
        <w:t>.I. 2383)</w:t>
      </w:r>
      <w:r w:rsidRPr="00D96063">
        <w:rPr>
          <w:lang w:eastAsia="fr-CH"/>
        </w:rPr>
        <w:t>.</w:t>
      </w:r>
      <w:r w:rsidRPr="00D96063">
        <w:rPr>
          <w:vertAlign w:val="superscript"/>
          <w:lang w:eastAsia="fr-CH"/>
        </w:rPr>
        <w:footnoteReference w:id="100"/>
      </w:r>
      <w:r w:rsidRPr="00D96063">
        <w:rPr>
          <w:lang w:eastAsia="fr-CH"/>
        </w:rPr>
        <w:t xml:space="preserve"> According to industry reports, t</w:t>
      </w:r>
      <w:r w:rsidRPr="00D96063">
        <w:t>here are currently no restrictions on imports of genetically modified products or products containing GM material.</w:t>
      </w:r>
      <w:r w:rsidRPr="00D96063">
        <w:rPr>
          <w:rStyle w:val="FootnoteReference"/>
          <w:lang w:eastAsia="fr-CH"/>
        </w:rPr>
        <w:footnoteReference w:id="101"/>
      </w:r>
    </w:p>
    <w:p w14:paraId="0D2CC45F" w14:textId="77777777" w:rsidR="00C15F2E" w:rsidRPr="00D96063" w:rsidRDefault="00C15F2E" w:rsidP="003758E5">
      <w:pPr>
        <w:numPr>
          <w:ilvl w:val="6"/>
          <w:numId w:val="25"/>
        </w:numPr>
        <w:spacing w:after="240"/>
        <w:rPr>
          <w:rFonts w:eastAsia="Calibri" w:cs="Times New Roman"/>
          <w:lang w:eastAsia="fr-CH"/>
        </w:rPr>
      </w:pPr>
      <w:r w:rsidRPr="00D96063">
        <w:rPr>
          <w:lang w:eastAsia="fr-CH"/>
        </w:rPr>
        <w:t xml:space="preserve">Ghana's regulations on labelling, packaging, and marking of specified products are contained mainly in the Public Health Act, 2012 and the </w:t>
      </w:r>
      <w:r w:rsidRPr="00D96063">
        <w:rPr>
          <w:rFonts w:eastAsia="Calibri" w:cs="Times New Roman"/>
          <w:lang w:eastAsia="fr-CH"/>
        </w:rPr>
        <w:t xml:space="preserve">General Labelling Rule, 1992 </w:t>
      </w:r>
      <w:r w:rsidRPr="00D96063">
        <w:rPr>
          <w:lang w:eastAsia="fr-CH"/>
        </w:rPr>
        <w:t>(L.I. 1541).</w:t>
      </w:r>
      <w:r w:rsidRPr="00D96063">
        <w:rPr>
          <w:rFonts w:eastAsia="Calibri" w:cs="Times New Roman"/>
          <w:lang w:eastAsia="fr-CH"/>
        </w:rPr>
        <w:t xml:space="preserve"> Under GSA rules, imported and domestic food and drugs must be labelled in English, identifying attributes such as the type of product, the country of origin, the ingredients or components, net weight, instructions on use, and the expiration date for perishable foods. Similar labelling is required on a range of other specified products, including electrical goods, e.g. </w:t>
      </w:r>
      <w:r w:rsidRPr="00D96063">
        <w:rPr>
          <w:lang w:eastAsia="fr-CH"/>
        </w:rPr>
        <w:t>televisions</w:t>
      </w:r>
      <w:r w:rsidRPr="00D96063">
        <w:rPr>
          <w:rFonts w:eastAsia="Calibri" w:cs="Times New Roman"/>
          <w:lang w:eastAsia="fr-CH"/>
        </w:rPr>
        <w:t>, air-conditioners, batteries, lamps and household appliances; cement; paints; pesticides; poultry feed; toiletries; and cosmetics.</w:t>
      </w:r>
    </w:p>
    <w:p w14:paraId="09761634" w14:textId="77777777" w:rsidR="00C15F2E" w:rsidRPr="00D96063" w:rsidRDefault="00C15F2E" w:rsidP="00394E74">
      <w:pPr>
        <w:pStyle w:val="Heading3"/>
      </w:pPr>
      <w:bookmarkStart w:id="163" w:name="_Toc103607700"/>
      <w:r w:rsidRPr="00D96063">
        <w:t>Competition policy</w:t>
      </w:r>
      <w:bookmarkEnd w:id="163"/>
    </w:p>
    <w:p w14:paraId="123E8A62" w14:textId="77777777" w:rsidR="00C15F2E" w:rsidRPr="00D96063" w:rsidRDefault="00C15F2E" w:rsidP="003758E5">
      <w:pPr>
        <w:numPr>
          <w:ilvl w:val="6"/>
          <w:numId w:val="25"/>
        </w:numPr>
        <w:spacing w:after="240"/>
        <w:rPr>
          <w:lang w:eastAsia="fr-CH"/>
        </w:rPr>
      </w:pPr>
      <w:r w:rsidRPr="00D96063">
        <w:rPr>
          <w:lang w:eastAsia="fr-CH"/>
        </w:rPr>
        <w:t>The Protection Against Unfair Competition Act, 2000 (Act 589) contains provisions on unfair competition, in particular about misleading information on characteristics of a product or service offered, or confusing use of trademarks.</w:t>
      </w:r>
      <w:r w:rsidRPr="00D96063">
        <w:rPr>
          <w:vertAlign w:val="superscript"/>
          <w:lang w:eastAsia="fr-CH"/>
        </w:rPr>
        <w:footnoteReference w:id="102"/>
      </w:r>
      <w:r w:rsidRPr="00D96063">
        <w:rPr>
          <w:lang w:eastAsia="fr-CH"/>
        </w:rPr>
        <w:t xml:space="preserve"> Any entity that deems itself injured by an act of unfair competition may bring an action for an injunction to prevent the act and for an award of damages. There are no implementing regulations because there are no administering institutions. Infringements of rights under the Act are remedied by the courts of law. The Act does not cover competition infringements like abuse of dominant position, price fixing, or market sharing. Sector</w:t>
      </w:r>
      <w:r w:rsidRPr="00D96063">
        <w:rPr>
          <w:lang w:eastAsia="fr-CH"/>
        </w:rPr>
        <w:noBreakHyphen/>
        <w:t>specific competition rules apply in telecommunications and banking.</w:t>
      </w:r>
    </w:p>
    <w:p w14:paraId="044F7BA4" w14:textId="77777777" w:rsidR="00C15F2E" w:rsidRPr="00D96063" w:rsidRDefault="00C15F2E" w:rsidP="00856701">
      <w:pPr>
        <w:pStyle w:val="Heading3"/>
      </w:pPr>
      <w:bookmarkStart w:id="164" w:name="_Toc103607701"/>
      <w:r w:rsidRPr="00D96063">
        <w:t>State-owned enterprises, state trading, and privatization</w:t>
      </w:r>
      <w:bookmarkEnd w:id="164"/>
    </w:p>
    <w:p w14:paraId="7846F23B" w14:textId="77777777" w:rsidR="00C15F2E" w:rsidRPr="00D96063" w:rsidRDefault="00C15F2E" w:rsidP="003758E5">
      <w:pPr>
        <w:numPr>
          <w:ilvl w:val="6"/>
          <w:numId w:val="25"/>
        </w:numPr>
        <w:spacing w:after="240"/>
        <w:rPr>
          <w:lang w:eastAsia="fr-CH"/>
        </w:rPr>
      </w:pPr>
      <w:r w:rsidRPr="00D96063">
        <w:rPr>
          <w:lang w:eastAsia="fr-CH"/>
        </w:rPr>
        <w:t>Ghana notified the WTO in 2004 the absence of state trading enterprises under GATT Article XVII.</w:t>
      </w:r>
      <w:r w:rsidRPr="00D96063">
        <w:rPr>
          <w:vertAlign w:val="superscript"/>
          <w:lang w:eastAsia="fr-CH"/>
        </w:rPr>
        <w:footnoteReference w:id="103"/>
      </w:r>
      <w:r w:rsidRPr="00D96063">
        <w:rPr>
          <w:lang w:eastAsia="fr-CH"/>
        </w:rPr>
        <w:t xml:space="preserve"> However, the State continues to have a significant stake in the economy, and state</w:t>
      </w:r>
      <w:r w:rsidRPr="00D96063">
        <w:rPr>
          <w:lang w:eastAsia="fr-CH"/>
        </w:rPr>
        <w:noBreakHyphen/>
        <w:t>owned companies continue to play key roles in the trade in specified products and services. For instance, Ghana Cocoa Board still exercises export monopoly as described in Section 4.1.3.</w:t>
      </w:r>
    </w:p>
    <w:p w14:paraId="54C7AF5A" w14:textId="77777777" w:rsidR="00C15F2E" w:rsidRPr="00D96063" w:rsidRDefault="00C15F2E" w:rsidP="003758E5">
      <w:pPr>
        <w:numPr>
          <w:ilvl w:val="6"/>
          <w:numId w:val="25"/>
        </w:numPr>
        <w:spacing w:after="240"/>
        <w:rPr>
          <w:lang w:eastAsia="fr-CH"/>
        </w:rPr>
      </w:pPr>
      <w:r w:rsidRPr="00D96063">
        <w:rPr>
          <w:lang w:eastAsia="fr-CH"/>
        </w:rPr>
        <w:t>Many state-owned enterprises have continued to have losses over the years and could be closed or privatized. Factors of inefficiency identified in the previous Review include over-staffing and excessive bureaucracy; a lack of technical expertise; the absence of commitment and entrepreneurial direction; and inadequate working capital and investment in new plant and machinery, resulting in low capacity-utilization. Nevertheless, few state-owned companies were privatized or closed during 2014</w:t>
      </w:r>
      <w:r w:rsidRPr="00D96063">
        <w:rPr>
          <w:lang w:eastAsia="fr-CH"/>
        </w:rPr>
        <w:noBreakHyphen/>
        <w:t>22.</w:t>
      </w:r>
    </w:p>
    <w:p w14:paraId="0B9EFB85" w14:textId="78BD05AF" w:rsidR="00C15F2E" w:rsidRPr="00D96063" w:rsidRDefault="00C15F2E" w:rsidP="003758E5">
      <w:pPr>
        <w:pStyle w:val="BodyText"/>
        <w:rPr>
          <w:lang w:eastAsia="fr-CH"/>
        </w:rPr>
      </w:pPr>
      <w:r w:rsidRPr="00D96063">
        <w:rPr>
          <w:lang w:eastAsia="fr-CH"/>
        </w:rPr>
        <w:t xml:space="preserve"> The newly created State Interests and Governance Authority (SIGA) is establishing a Register of the 158 entities included in the state ownership portfolio (2021), including 56 state</w:t>
      </w:r>
      <w:r w:rsidRPr="00D96063">
        <w:rPr>
          <w:lang w:eastAsia="fr-CH"/>
        </w:rPr>
        <w:noBreakHyphen/>
        <w:t>owned enterprises (SOEs), 42 joint</w:t>
      </w:r>
      <w:r w:rsidR="00DF07C6">
        <w:rPr>
          <w:lang w:eastAsia="fr-CH"/>
        </w:rPr>
        <w:t xml:space="preserve"> </w:t>
      </w:r>
      <w:r w:rsidRPr="00D96063">
        <w:rPr>
          <w:lang w:eastAsia="fr-CH"/>
        </w:rPr>
        <w:t xml:space="preserve">venture companies (JVCs), and 60 other state entities (Table 3.12). The staff of these entities totals nearly 60,000 employees. Regarding privatization, SIGA has the mandate to acquire, receive, maintain, hold and monitor, recapitalize, or divest shares </w:t>
      </w:r>
      <w:r w:rsidRPr="00D96063">
        <w:rPr>
          <w:lang w:eastAsia="fr-CH"/>
        </w:rPr>
        <w:lastRenderedPageBreak/>
        <w:t>in SOEs and JVCs. Recommendations with regards to the privatization of any SOEs were pending in December 2021.</w:t>
      </w:r>
    </w:p>
    <w:p w14:paraId="6D23DF67" w14:textId="3863D8FD" w:rsidR="00C15F2E" w:rsidRPr="00D96063" w:rsidRDefault="00C15F2E" w:rsidP="003758E5">
      <w:pPr>
        <w:numPr>
          <w:ilvl w:val="6"/>
          <w:numId w:val="25"/>
        </w:numPr>
        <w:spacing w:after="240"/>
        <w:rPr>
          <w:lang w:eastAsia="fr-CH"/>
        </w:rPr>
      </w:pPr>
      <w:r w:rsidRPr="00D96063">
        <w:rPr>
          <w:lang w:eastAsia="fr-CH"/>
        </w:rPr>
        <w:t>A recent review provided by SIGA of the financial results of 47 SOEs indicates a net deficit of GHS 1.8 billion in 2019 (approximately USD 350 million) (Table 3.19), considerably more than in 2017. Notable among the loss makers were the Ghana Water Company and the Electricity Company of Ghana, the Tema Oil Refinery, the Volta Aluminium Company, the Northern Electricity Distribution Company, and the Ghana Airports Company.</w:t>
      </w:r>
    </w:p>
    <w:p w14:paraId="143E5434" w14:textId="3D46B7D6" w:rsidR="00C15F2E" w:rsidRPr="00D96063" w:rsidRDefault="008C5CD0" w:rsidP="008C5CD0">
      <w:pPr>
        <w:pStyle w:val="Caption"/>
        <w:rPr>
          <w:b w:val="0"/>
          <w:bCs w:val="0"/>
        </w:rPr>
      </w:pPr>
      <w:bookmarkStart w:id="165" w:name="_Toc103607893"/>
      <w:r w:rsidRPr="00D96063">
        <w:t xml:space="preserve">Table </w:t>
      </w:r>
      <w:fldSimple w:instr=" STYLEREF 1 \s ">
        <w:r w:rsidR="004B63B1">
          <w:rPr>
            <w:noProof/>
          </w:rPr>
          <w:t>3</w:t>
        </w:r>
      </w:fldSimple>
      <w:r w:rsidR="00BF3184">
        <w:t>.</w:t>
      </w:r>
      <w:fldSimple w:instr=" SEQ Table \* ARABIC \s 1 ">
        <w:r w:rsidR="004B63B1">
          <w:rPr>
            <w:noProof/>
          </w:rPr>
          <w:t>12</w:t>
        </w:r>
      </w:fldSimple>
      <w:r w:rsidRPr="00D96063">
        <w:t xml:space="preserve"> Selected SOEs, statutory corporations, and agencies, 2019</w:t>
      </w:r>
      <w:bookmarkEnd w:id="165"/>
    </w:p>
    <w:tbl>
      <w:tblPr>
        <w:tblStyle w:val="WTOTable1"/>
        <w:tblW w:w="5000" w:type="pct"/>
        <w:tblLook w:val="04A0" w:firstRow="1" w:lastRow="0" w:firstColumn="1" w:lastColumn="0" w:noHBand="0" w:noVBand="1"/>
      </w:tblPr>
      <w:tblGrid>
        <w:gridCol w:w="5235"/>
        <w:gridCol w:w="1242"/>
        <w:gridCol w:w="1262"/>
        <w:gridCol w:w="1277"/>
      </w:tblGrid>
      <w:tr w:rsidR="00C15F2E" w:rsidRPr="00D96063" w14:paraId="1C093D6D" w14:textId="77777777" w:rsidTr="00AD0003">
        <w:trPr>
          <w:cnfStyle w:val="100000000000" w:firstRow="1" w:lastRow="0" w:firstColumn="0" w:lastColumn="0" w:oddVBand="0" w:evenVBand="0" w:oddHBand="0" w:evenHBand="0" w:firstRowFirstColumn="0" w:firstRowLastColumn="0" w:lastRowFirstColumn="0" w:lastRowLastColumn="0"/>
          <w:trHeight w:val="227"/>
          <w:tblHeader/>
        </w:trPr>
        <w:tc>
          <w:tcPr>
            <w:tcW w:w="2903" w:type="pct"/>
          </w:tcPr>
          <w:p w14:paraId="36310404" w14:textId="77777777" w:rsidR="00C15F2E" w:rsidRPr="00D96063" w:rsidRDefault="00C15F2E" w:rsidP="00997D10">
            <w:pPr>
              <w:keepNext/>
              <w:keepLines/>
              <w:jc w:val="center"/>
              <w:rPr>
                <w:b w:val="0"/>
                <w:bCs/>
                <w:color w:val="FFFFFF" w:themeColor="background1"/>
                <w:sz w:val="14"/>
                <w:szCs w:val="14"/>
              </w:rPr>
            </w:pPr>
            <w:r w:rsidRPr="00D96063">
              <w:rPr>
                <w:color w:val="FFFFFF" w:themeColor="background1"/>
                <w:sz w:val="14"/>
                <w:szCs w:val="14"/>
              </w:rPr>
              <w:t>Company</w:t>
            </w:r>
          </w:p>
          <w:p w14:paraId="1173DEFA" w14:textId="77777777" w:rsidR="00C15F2E" w:rsidRPr="00D96063" w:rsidRDefault="00C15F2E" w:rsidP="00997D10">
            <w:pPr>
              <w:rPr>
                <w:b w:val="0"/>
                <w:bCs/>
                <w:color w:val="FFFFFF" w:themeColor="background1"/>
                <w:sz w:val="14"/>
                <w:szCs w:val="14"/>
              </w:rPr>
            </w:pPr>
          </w:p>
          <w:p w14:paraId="253DE846" w14:textId="77777777" w:rsidR="00C15F2E" w:rsidRPr="00D96063" w:rsidRDefault="00C15F2E" w:rsidP="00997D10">
            <w:pPr>
              <w:tabs>
                <w:tab w:val="left" w:pos="1537"/>
              </w:tabs>
              <w:rPr>
                <w:color w:val="FFFFFF" w:themeColor="background1"/>
                <w:sz w:val="14"/>
                <w:szCs w:val="14"/>
              </w:rPr>
            </w:pPr>
          </w:p>
        </w:tc>
        <w:tc>
          <w:tcPr>
            <w:tcW w:w="689" w:type="pct"/>
          </w:tcPr>
          <w:p w14:paraId="53049BE5" w14:textId="0FA26084" w:rsidR="00C15F2E" w:rsidRPr="00D96063" w:rsidRDefault="00C15F2E" w:rsidP="00997D10">
            <w:pPr>
              <w:keepNext/>
              <w:keepLines/>
              <w:jc w:val="center"/>
              <w:rPr>
                <w:bCs/>
                <w:color w:val="FFFFFF" w:themeColor="background1"/>
                <w:sz w:val="14"/>
                <w:szCs w:val="14"/>
              </w:rPr>
            </w:pPr>
            <w:r w:rsidRPr="00D96063">
              <w:rPr>
                <w:bCs/>
                <w:color w:val="FFFFFF" w:themeColor="background1"/>
                <w:sz w:val="14"/>
                <w:szCs w:val="14"/>
              </w:rPr>
              <w:t>Equity</w:t>
            </w:r>
            <w:r w:rsidR="00E67238" w:rsidRPr="00E67238">
              <w:rPr>
                <w:bCs/>
                <w:color w:val="FFFFFF" w:themeColor="background1"/>
                <w:sz w:val="14"/>
                <w:szCs w:val="14"/>
              </w:rPr>
              <w:t xml:space="preserve"> </w:t>
            </w:r>
            <w:r w:rsidRPr="00D96063">
              <w:rPr>
                <w:bCs/>
                <w:color w:val="FFFFFF" w:themeColor="background1"/>
                <w:sz w:val="14"/>
                <w:szCs w:val="14"/>
              </w:rPr>
              <w:t>share held by the State (%)</w:t>
            </w:r>
          </w:p>
        </w:tc>
        <w:tc>
          <w:tcPr>
            <w:tcW w:w="700" w:type="pct"/>
          </w:tcPr>
          <w:p w14:paraId="72DD918E" w14:textId="77777777" w:rsidR="00C15F2E" w:rsidRPr="00D96063" w:rsidRDefault="00C15F2E" w:rsidP="00997D10">
            <w:pPr>
              <w:keepNext/>
              <w:keepLines/>
              <w:jc w:val="center"/>
              <w:rPr>
                <w:b w:val="0"/>
                <w:color w:val="FFFFFF" w:themeColor="background1"/>
                <w:sz w:val="14"/>
                <w:szCs w:val="14"/>
              </w:rPr>
            </w:pPr>
            <w:r w:rsidRPr="00D96063">
              <w:rPr>
                <w:bCs/>
                <w:color w:val="FFFFFF" w:themeColor="background1"/>
                <w:sz w:val="14"/>
                <w:szCs w:val="14"/>
              </w:rPr>
              <w:t xml:space="preserve">Revenue 2019 </w:t>
            </w:r>
          </w:p>
        </w:tc>
        <w:tc>
          <w:tcPr>
            <w:tcW w:w="708" w:type="pct"/>
          </w:tcPr>
          <w:p w14:paraId="3925EDF8" w14:textId="77777777" w:rsidR="00C15F2E" w:rsidRPr="00D96063" w:rsidRDefault="00C15F2E" w:rsidP="00997D10">
            <w:pPr>
              <w:keepNext/>
              <w:keepLines/>
              <w:jc w:val="center"/>
              <w:rPr>
                <w:b w:val="0"/>
                <w:bCs/>
                <w:color w:val="FFFFFF" w:themeColor="background1"/>
                <w:sz w:val="14"/>
                <w:szCs w:val="14"/>
              </w:rPr>
            </w:pPr>
            <w:r w:rsidRPr="00D96063">
              <w:rPr>
                <w:bCs/>
                <w:color w:val="FFFFFF" w:themeColor="background1"/>
                <w:sz w:val="14"/>
                <w:szCs w:val="14"/>
              </w:rPr>
              <w:t>2019</w:t>
            </w:r>
          </w:p>
          <w:p w14:paraId="7F2726D2" w14:textId="77777777" w:rsidR="00C15F2E" w:rsidRPr="00D96063" w:rsidRDefault="00C15F2E" w:rsidP="00997D10">
            <w:pPr>
              <w:keepNext/>
              <w:keepLines/>
              <w:jc w:val="center"/>
              <w:rPr>
                <w:bCs/>
                <w:color w:val="FFFFFF" w:themeColor="background1"/>
                <w:sz w:val="14"/>
                <w:szCs w:val="14"/>
              </w:rPr>
            </w:pPr>
            <w:r w:rsidRPr="00D96063">
              <w:rPr>
                <w:bCs/>
                <w:color w:val="FFFFFF" w:themeColor="background1"/>
                <w:sz w:val="14"/>
                <w:szCs w:val="14"/>
              </w:rPr>
              <w:t>profit (+) loss (-)</w:t>
            </w:r>
          </w:p>
        </w:tc>
      </w:tr>
      <w:tr w:rsidR="00C15F2E" w:rsidRPr="00D96063" w14:paraId="02966253" w14:textId="77777777" w:rsidTr="009874CF">
        <w:trPr>
          <w:trHeight w:val="68"/>
        </w:trPr>
        <w:tc>
          <w:tcPr>
            <w:tcW w:w="2903" w:type="pct"/>
          </w:tcPr>
          <w:p w14:paraId="2986513F" w14:textId="77777777" w:rsidR="00C15F2E" w:rsidRPr="00D96063" w:rsidRDefault="00C15F2E" w:rsidP="00997D10">
            <w:pPr>
              <w:jc w:val="left"/>
              <w:rPr>
                <w:b/>
                <w:bCs/>
                <w:sz w:val="14"/>
                <w:szCs w:val="14"/>
              </w:rPr>
            </w:pPr>
          </w:p>
        </w:tc>
        <w:tc>
          <w:tcPr>
            <w:tcW w:w="689" w:type="pct"/>
          </w:tcPr>
          <w:p w14:paraId="20E79EC7" w14:textId="77777777" w:rsidR="00C15F2E" w:rsidRPr="00D96063" w:rsidRDefault="00C15F2E" w:rsidP="00997D10">
            <w:pPr>
              <w:jc w:val="right"/>
              <w:rPr>
                <w:sz w:val="14"/>
                <w:szCs w:val="14"/>
              </w:rPr>
            </w:pPr>
          </w:p>
        </w:tc>
        <w:tc>
          <w:tcPr>
            <w:tcW w:w="1408" w:type="pct"/>
            <w:gridSpan w:val="2"/>
          </w:tcPr>
          <w:p w14:paraId="70C2F74E" w14:textId="77777777" w:rsidR="00C15F2E" w:rsidRPr="00D96063" w:rsidRDefault="00C15F2E" w:rsidP="00997D10">
            <w:pPr>
              <w:jc w:val="center"/>
              <w:rPr>
                <w:b/>
                <w:bCs/>
                <w:sz w:val="14"/>
                <w:szCs w:val="14"/>
              </w:rPr>
            </w:pPr>
            <w:r w:rsidRPr="00D96063">
              <w:rPr>
                <w:b/>
                <w:bCs/>
                <w:sz w:val="14"/>
                <w:szCs w:val="14"/>
              </w:rPr>
              <w:t>(USD million</w:t>
            </w:r>
            <w:r w:rsidRPr="00D96063">
              <w:rPr>
                <w:b/>
                <w:bCs/>
                <w:sz w:val="14"/>
                <w:szCs w:val="14"/>
                <w:vertAlign w:val="superscript"/>
              </w:rPr>
              <w:t>a</w:t>
            </w:r>
            <w:r w:rsidRPr="00D96063">
              <w:rPr>
                <w:b/>
                <w:bCs/>
                <w:sz w:val="14"/>
                <w:szCs w:val="14"/>
              </w:rPr>
              <w:t>)</w:t>
            </w:r>
          </w:p>
        </w:tc>
      </w:tr>
      <w:tr w:rsidR="00C15F2E" w:rsidRPr="00D96063" w14:paraId="50B1B2C7"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5E46CEB6" w14:textId="77777777" w:rsidR="00C15F2E" w:rsidRPr="00D96063" w:rsidRDefault="00C15F2E" w:rsidP="00997D10">
            <w:pPr>
              <w:jc w:val="left"/>
              <w:rPr>
                <w:b/>
                <w:bCs/>
                <w:sz w:val="14"/>
                <w:szCs w:val="14"/>
              </w:rPr>
            </w:pPr>
            <w:r w:rsidRPr="00D96063">
              <w:rPr>
                <w:b/>
                <w:bCs/>
                <w:sz w:val="14"/>
                <w:szCs w:val="14"/>
              </w:rPr>
              <w:t>1. Energy/utilities sector</w:t>
            </w:r>
          </w:p>
        </w:tc>
        <w:tc>
          <w:tcPr>
            <w:tcW w:w="689" w:type="pct"/>
          </w:tcPr>
          <w:p w14:paraId="5D74FDAD" w14:textId="77777777" w:rsidR="00C15F2E" w:rsidRPr="00D96063" w:rsidRDefault="00C15F2E" w:rsidP="00997D10">
            <w:pPr>
              <w:jc w:val="right"/>
              <w:rPr>
                <w:sz w:val="14"/>
                <w:szCs w:val="14"/>
              </w:rPr>
            </w:pPr>
          </w:p>
        </w:tc>
        <w:tc>
          <w:tcPr>
            <w:tcW w:w="700" w:type="pct"/>
          </w:tcPr>
          <w:p w14:paraId="6C34B35B" w14:textId="77777777" w:rsidR="00C15F2E" w:rsidRPr="00D96063" w:rsidRDefault="00C15F2E" w:rsidP="00997D10">
            <w:pPr>
              <w:jc w:val="left"/>
              <w:rPr>
                <w:sz w:val="14"/>
                <w:szCs w:val="14"/>
              </w:rPr>
            </w:pPr>
          </w:p>
        </w:tc>
        <w:tc>
          <w:tcPr>
            <w:tcW w:w="708" w:type="pct"/>
          </w:tcPr>
          <w:p w14:paraId="3CD19E46" w14:textId="77777777" w:rsidR="00C15F2E" w:rsidRPr="00D96063" w:rsidRDefault="00C15F2E" w:rsidP="00997D10">
            <w:pPr>
              <w:jc w:val="left"/>
              <w:rPr>
                <w:sz w:val="14"/>
                <w:szCs w:val="14"/>
              </w:rPr>
            </w:pPr>
          </w:p>
        </w:tc>
      </w:tr>
      <w:tr w:rsidR="00C15F2E" w:rsidRPr="00D96063" w14:paraId="2AE042FC" w14:textId="77777777" w:rsidTr="009874CF">
        <w:tc>
          <w:tcPr>
            <w:tcW w:w="2903" w:type="pct"/>
          </w:tcPr>
          <w:p w14:paraId="4C2463D8" w14:textId="77777777" w:rsidR="00C15F2E" w:rsidRPr="00D96063" w:rsidRDefault="00C15F2E" w:rsidP="00F110D2">
            <w:pPr>
              <w:ind w:left="170" w:hanging="170"/>
              <w:rPr>
                <w:sz w:val="14"/>
                <w:szCs w:val="14"/>
              </w:rPr>
            </w:pPr>
            <w:r w:rsidRPr="00D96063">
              <w:rPr>
                <w:sz w:val="14"/>
                <w:szCs w:val="14"/>
              </w:rPr>
              <w:tab/>
              <w:t>Electricity Company of Ghana Ltd.</w:t>
            </w:r>
          </w:p>
        </w:tc>
        <w:tc>
          <w:tcPr>
            <w:tcW w:w="689" w:type="pct"/>
          </w:tcPr>
          <w:p w14:paraId="2B17305C"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33A6F990" w14:textId="77777777" w:rsidR="00C15F2E" w:rsidRPr="00D96063" w:rsidRDefault="00C15F2E" w:rsidP="00E67238">
            <w:pPr>
              <w:ind w:left="57" w:right="227"/>
              <w:jc w:val="right"/>
              <w:rPr>
                <w:sz w:val="14"/>
                <w:szCs w:val="14"/>
              </w:rPr>
            </w:pPr>
            <w:r w:rsidRPr="00D96063">
              <w:rPr>
                <w:sz w:val="14"/>
                <w:szCs w:val="14"/>
              </w:rPr>
              <w:t>1,520</w:t>
            </w:r>
          </w:p>
        </w:tc>
        <w:tc>
          <w:tcPr>
            <w:tcW w:w="708" w:type="pct"/>
          </w:tcPr>
          <w:p w14:paraId="27C0CF5F" w14:textId="77777777" w:rsidR="00C15F2E" w:rsidRPr="00D96063" w:rsidRDefault="00C15F2E" w:rsidP="00E67238">
            <w:pPr>
              <w:ind w:left="57" w:right="227"/>
              <w:jc w:val="right"/>
              <w:rPr>
                <w:sz w:val="14"/>
                <w:szCs w:val="14"/>
              </w:rPr>
            </w:pPr>
            <w:r w:rsidRPr="00D96063">
              <w:rPr>
                <w:sz w:val="14"/>
                <w:szCs w:val="14"/>
              </w:rPr>
              <w:t>-465</w:t>
            </w:r>
          </w:p>
        </w:tc>
      </w:tr>
      <w:tr w:rsidR="00C15F2E" w:rsidRPr="00D96063" w14:paraId="70189E38"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78767E5B" w14:textId="77777777" w:rsidR="00C15F2E" w:rsidRPr="00D96063" w:rsidRDefault="00C15F2E" w:rsidP="00F110D2">
            <w:pPr>
              <w:ind w:left="170" w:hanging="170"/>
              <w:rPr>
                <w:sz w:val="14"/>
                <w:szCs w:val="14"/>
              </w:rPr>
            </w:pPr>
            <w:r w:rsidRPr="00D96063">
              <w:rPr>
                <w:sz w:val="14"/>
                <w:szCs w:val="14"/>
              </w:rPr>
              <w:tab/>
              <w:t>Northern Electricity Distribution Company (NEDCo)</w:t>
            </w:r>
          </w:p>
        </w:tc>
        <w:tc>
          <w:tcPr>
            <w:tcW w:w="689" w:type="pct"/>
          </w:tcPr>
          <w:p w14:paraId="74DA6DD4"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AB4591F" w14:textId="77777777" w:rsidR="00C15F2E" w:rsidRPr="00D96063" w:rsidRDefault="00C15F2E" w:rsidP="00E67238">
            <w:pPr>
              <w:ind w:left="57" w:right="227"/>
              <w:jc w:val="right"/>
              <w:rPr>
                <w:sz w:val="14"/>
                <w:szCs w:val="14"/>
              </w:rPr>
            </w:pPr>
            <w:r w:rsidRPr="00D96063">
              <w:rPr>
                <w:sz w:val="14"/>
                <w:szCs w:val="14"/>
              </w:rPr>
              <w:t>114</w:t>
            </w:r>
          </w:p>
        </w:tc>
        <w:tc>
          <w:tcPr>
            <w:tcW w:w="708" w:type="pct"/>
          </w:tcPr>
          <w:p w14:paraId="73CBE4E2" w14:textId="77777777" w:rsidR="00C15F2E" w:rsidRPr="00D96063" w:rsidRDefault="00C15F2E" w:rsidP="00E67238">
            <w:pPr>
              <w:ind w:left="57" w:right="227"/>
              <w:jc w:val="right"/>
              <w:rPr>
                <w:sz w:val="14"/>
                <w:szCs w:val="14"/>
              </w:rPr>
            </w:pPr>
            <w:r w:rsidRPr="00D96063">
              <w:rPr>
                <w:sz w:val="14"/>
                <w:szCs w:val="14"/>
              </w:rPr>
              <w:t>-45</w:t>
            </w:r>
          </w:p>
        </w:tc>
      </w:tr>
      <w:tr w:rsidR="00C15F2E" w:rsidRPr="00D96063" w14:paraId="7353D5C0" w14:textId="77777777" w:rsidTr="009874CF">
        <w:tc>
          <w:tcPr>
            <w:tcW w:w="2903" w:type="pct"/>
          </w:tcPr>
          <w:p w14:paraId="7B7ACEBD" w14:textId="77777777" w:rsidR="00C15F2E" w:rsidRPr="00D96063" w:rsidRDefault="00C15F2E" w:rsidP="00F110D2">
            <w:pPr>
              <w:ind w:left="170" w:hanging="170"/>
              <w:rPr>
                <w:sz w:val="14"/>
                <w:szCs w:val="14"/>
              </w:rPr>
            </w:pPr>
            <w:r w:rsidRPr="00D96063">
              <w:rPr>
                <w:sz w:val="14"/>
                <w:szCs w:val="14"/>
              </w:rPr>
              <w:tab/>
              <w:t>Ghana Grid Company, Ltd.</w:t>
            </w:r>
          </w:p>
        </w:tc>
        <w:tc>
          <w:tcPr>
            <w:tcW w:w="689" w:type="pct"/>
          </w:tcPr>
          <w:p w14:paraId="315A275D"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6AA4FA9E" w14:textId="77777777" w:rsidR="00C15F2E" w:rsidRPr="00D96063" w:rsidRDefault="00C15F2E" w:rsidP="00E67238">
            <w:pPr>
              <w:ind w:left="57" w:right="227"/>
              <w:jc w:val="right"/>
              <w:rPr>
                <w:sz w:val="14"/>
                <w:szCs w:val="14"/>
              </w:rPr>
            </w:pPr>
            <w:r w:rsidRPr="00D96063">
              <w:rPr>
                <w:sz w:val="14"/>
                <w:szCs w:val="14"/>
              </w:rPr>
              <w:t>160</w:t>
            </w:r>
          </w:p>
        </w:tc>
        <w:tc>
          <w:tcPr>
            <w:tcW w:w="708" w:type="pct"/>
          </w:tcPr>
          <w:p w14:paraId="562F6573" w14:textId="77777777" w:rsidR="00C15F2E" w:rsidRPr="00D96063" w:rsidRDefault="00C15F2E" w:rsidP="00E67238">
            <w:pPr>
              <w:ind w:left="57" w:right="227"/>
              <w:jc w:val="right"/>
              <w:rPr>
                <w:sz w:val="14"/>
                <w:szCs w:val="14"/>
              </w:rPr>
            </w:pPr>
            <w:r w:rsidRPr="00D96063">
              <w:rPr>
                <w:sz w:val="14"/>
                <w:szCs w:val="14"/>
              </w:rPr>
              <w:t>6</w:t>
            </w:r>
          </w:p>
        </w:tc>
      </w:tr>
      <w:tr w:rsidR="00C15F2E" w:rsidRPr="00D96063" w14:paraId="54221245"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723C12F2" w14:textId="77777777" w:rsidR="00C15F2E" w:rsidRPr="00D96063" w:rsidRDefault="00C15F2E" w:rsidP="00F110D2">
            <w:pPr>
              <w:ind w:left="170" w:hanging="170"/>
              <w:rPr>
                <w:sz w:val="14"/>
                <w:szCs w:val="14"/>
              </w:rPr>
            </w:pPr>
            <w:r w:rsidRPr="00D96063">
              <w:rPr>
                <w:sz w:val="14"/>
                <w:szCs w:val="14"/>
              </w:rPr>
              <w:tab/>
              <w:t>Bulk Oil Storage and Transportation Company</w:t>
            </w:r>
          </w:p>
        </w:tc>
        <w:tc>
          <w:tcPr>
            <w:tcW w:w="689" w:type="pct"/>
          </w:tcPr>
          <w:p w14:paraId="05AFB2D9"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06CD5B8" w14:textId="77777777" w:rsidR="00C15F2E" w:rsidRPr="00D96063" w:rsidRDefault="00C15F2E" w:rsidP="00E67238">
            <w:pPr>
              <w:ind w:left="57" w:right="227"/>
              <w:jc w:val="right"/>
              <w:rPr>
                <w:sz w:val="14"/>
                <w:szCs w:val="14"/>
              </w:rPr>
            </w:pPr>
            <w:r w:rsidRPr="00D96063">
              <w:rPr>
                <w:sz w:val="14"/>
                <w:szCs w:val="14"/>
              </w:rPr>
              <w:t>99</w:t>
            </w:r>
          </w:p>
        </w:tc>
        <w:tc>
          <w:tcPr>
            <w:tcW w:w="708" w:type="pct"/>
          </w:tcPr>
          <w:p w14:paraId="2A4FD819" w14:textId="77777777" w:rsidR="00C15F2E" w:rsidRPr="00D96063" w:rsidRDefault="00C15F2E" w:rsidP="00E67238">
            <w:pPr>
              <w:ind w:left="57" w:right="227"/>
              <w:jc w:val="right"/>
              <w:rPr>
                <w:sz w:val="14"/>
                <w:szCs w:val="14"/>
              </w:rPr>
            </w:pPr>
            <w:r w:rsidRPr="00D96063">
              <w:rPr>
                <w:sz w:val="14"/>
                <w:szCs w:val="14"/>
              </w:rPr>
              <w:t>-17</w:t>
            </w:r>
          </w:p>
        </w:tc>
      </w:tr>
      <w:tr w:rsidR="00C15F2E" w:rsidRPr="00D96063" w14:paraId="48EBA3CE" w14:textId="77777777" w:rsidTr="009874CF">
        <w:tc>
          <w:tcPr>
            <w:tcW w:w="2903" w:type="pct"/>
          </w:tcPr>
          <w:p w14:paraId="3A23BD14" w14:textId="77777777" w:rsidR="00C15F2E" w:rsidRPr="00D96063" w:rsidRDefault="00C15F2E" w:rsidP="00F110D2">
            <w:pPr>
              <w:ind w:left="170" w:hanging="170"/>
              <w:rPr>
                <w:sz w:val="14"/>
                <w:szCs w:val="14"/>
              </w:rPr>
            </w:pPr>
            <w:r w:rsidRPr="00D96063">
              <w:rPr>
                <w:sz w:val="14"/>
                <w:szCs w:val="14"/>
              </w:rPr>
              <w:tab/>
              <w:t>Ghana National Gas Company Limited</w:t>
            </w:r>
          </w:p>
        </w:tc>
        <w:tc>
          <w:tcPr>
            <w:tcW w:w="689" w:type="pct"/>
          </w:tcPr>
          <w:p w14:paraId="08198435"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55F193DC" w14:textId="77777777" w:rsidR="00C15F2E" w:rsidRPr="00D96063" w:rsidRDefault="00C15F2E" w:rsidP="00E67238">
            <w:pPr>
              <w:ind w:left="57" w:right="227"/>
              <w:jc w:val="right"/>
              <w:rPr>
                <w:sz w:val="14"/>
                <w:szCs w:val="14"/>
              </w:rPr>
            </w:pPr>
            <w:r w:rsidRPr="00D96063">
              <w:rPr>
                <w:sz w:val="14"/>
                <w:szCs w:val="14"/>
              </w:rPr>
              <w:t>160</w:t>
            </w:r>
          </w:p>
        </w:tc>
        <w:tc>
          <w:tcPr>
            <w:tcW w:w="708" w:type="pct"/>
          </w:tcPr>
          <w:p w14:paraId="2FC23803" w14:textId="77777777" w:rsidR="00C15F2E" w:rsidRPr="00D96063" w:rsidRDefault="00C15F2E" w:rsidP="00E67238">
            <w:pPr>
              <w:ind w:left="57" w:right="227"/>
              <w:jc w:val="right"/>
              <w:rPr>
                <w:sz w:val="14"/>
                <w:szCs w:val="14"/>
              </w:rPr>
            </w:pPr>
            <w:r w:rsidRPr="00D96063">
              <w:rPr>
                <w:sz w:val="14"/>
                <w:szCs w:val="14"/>
              </w:rPr>
              <w:t>21</w:t>
            </w:r>
          </w:p>
        </w:tc>
      </w:tr>
      <w:tr w:rsidR="00C15F2E" w:rsidRPr="00D96063" w14:paraId="366881BF"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12F7F213" w14:textId="77777777" w:rsidR="00C15F2E" w:rsidRPr="00D96063" w:rsidRDefault="00C15F2E" w:rsidP="00F110D2">
            <w:pPr>
              <w:ind w:left="170" w:hanging="170"/>
              <w:rPr>
                <w:sz w:val="14"/>
                <w:szCs w:val="14"/>
              </w:rPr>
            </w:pPr>
            <w:r w:rsidRPr="00D96063">
              <w:rPr>
                <w:sz w:val="14"/>
                <w:szCs w:val="14"/>
              </w:rPr>
              <w:tab/>
              <w:t>Tema Oil Refinery Limited (TOR)</w:t>
            </w:r>
          </w:p>
        </w:tc>
        <w:tc>
          <w:tcPr>
            <w:tcW w:w="689" w:type="pct"/>
          </w:tcPr>
          <w:p w14:paraId="4D0E8D61"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252B135" w14:textId="77777777" w:rsidR="00C15F2E" w:rsidRPr="00D96063" w:rsidRDefault="00C15F2E" w:rsidP="00E67238">
            <w:pPr>
              <w:ind w:left="57" w:right="227"/>
              <w:jc w:val="right"/>
              <w:rPr>
                <w:sz w:val="14"/>
                <w:szCs w:val="14"/>
              </w:rPr>
            </w:pPr>
            <w:r w:rsidRPr="00D96063">
              <w:rPr>
                <w:sz w:val="14"/>
                <w:szCs w:val="14"/>
              </w:rPr>
              <w:t>52</w:t>
            </w:r>
          </w:p>
        </w:tc>
        <w:tc>
          <w:tcPr>
            <w:tcW w:w="708" w:type="pct"/>
          </w:tcPr>
          <w:p w14:paraId="79651877" w14:textId="77777777" w:rsidR="00C15F2E" w:rsidRPr="00D96063" w:rsidRDefault="00C15F2E" w:rsidP="00E67238">
            <w:pPr>
              <w:ind w:left="57" w:right="227"/>
              <w:jc w:val="right"/>
              <w:rPr>
                <w:sz w:val="14"/>
                <w:szCs w:val="14"/>
              </w:rPr>
            </w:pPr>
            <w:r w:rsidRPr="00D96063">
              <w:rPr>
                <w:sz w:val="14"/>
                <w:szCs w:val="14"/>
              </w:rPr>
              <w:t>-105</w:t>
            </w:r>
          </w:p>
        </w:tc>
      </w:tr>
      <w:tr w:rsidR="00C15F2E" w:rsidRPr="00D96063" w14:paraId="3CC67ABB" w14:textId="77777777" w:rsidTr="009874CF">
        <w:tc>
          <w:tcPr>
            <w:tcW w:w="2903" w:type="pct"/>
          </w:tcPr>
          <w:p w14:paraId="6246413E" w14:textId="77777777" w:rsidR="00C15F2E" w:rsidRPr="00D96063" w:rsidRDefault="00C15F2E" w:rsidP="00F110D2">
            <w:pPr>
              <w:ind w:left="170" w:hanging="170"/>
              <w:rPr>
                <w:sz w:val="14"/>
                <w:szCs w:val="14"/>
              </w:rPr>
            </w:pPr>
            <w:r w:rsidRPr="00D96063">
              <w:rPr>
                <w:sz w:val="14"/>
                <w:szCs w:val="14"/>
              </w:rPr>
              <w:tab/>
              <w:t>Volta River Authority (VRA)</w:t>
            </w:r>
          </w:p>
        </w:tc>
        <w:tc>
          <w:tcPr>
            <w:tcW w:w="689" w:type="pct"/>
          </w:tcPr>
          <w:p w14:paraId="3C41E4F4"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6F94107" w14:textId="77777777" w:rsidR="00C15F2E" w:rsidRPr="00D96063" w:rsidRDefault="00C15F2E" w:rsidP="00E67238">
            <w:pPr>
              <w:ind w:left="57" w:right="227"/>
              <w:jc w:val="right"/>
              <w:rPr>
                <w:sz w:val="14"/>
                <w:szCs w:val="14"/>
              </w:rPr>
            </w:pPr>
            <w:r w:rsidRPr="00D96063">
              <w:rPr>
                <w:sz w:val="14"/>
                <w:szCs w:val="14"/>
              </w:rPr>
              <w:t>796</w:t>
            </w:r>
          </w:p>
        </w:tc>
        <w:tc>
          <w:tcPr>
            <w:tcW w:w="708" w:type="pct"/>
          </w:tcPr>
          <w:p w14:paraId="634081F5" w14:textId="77777777" w:rsidR="00C15F2E" w:rsidRPr="00D96063" w:rsidRDefault="00C15F2E" w:rsidP="00E67238">
            <w:pPr>
              <w:ind w:left="57" w:right="227"/>
              <w:jc w:val="right"/>
              <w:rPr>
                <w:sz w:val="14"/>
                <w:szCs w:val="14"/>
              </w:rPr>
            </w:pPr>
            <w:r w:rsidRPr="00D96063">
              <w:rPr>
                <w:sz w:val="14"/>
                <w:szCs w:val="14"/>
              </w:rPr>
              <w:t>232</w:t>
            </w:r>
          </w:p>
        </w:tc>
      </w:tr>
      <w:tr w:rsidR="00C15F2E" w:rsidRPr="00D96063" w14:paraId="7F3F39F4"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255F32E6" w14:textId="77777777" w:rsidR="00C15F2E" w:rsidRPr="00D96063" w:rsidRDefault="00C15F2E" w:rsidP="00F110D2">
            <w:pPr>
              <w:ind w:left="170" w:hanging="170"/>
              <w:rPr>
                <w:sz w:val="14"/>
                <w:szCs w:val="14"/>
              </w:rPr>
            </w:pPr>
            <w:r w:rsidRPr="00D96063">
              <w:rPr>
                <w:sz w:val="14"/>
                <w:szCs w:val="14"/>
              </w:rPr>
              <w:tab/>
              <w:t>Ghana National Petroleum Corporation</w:t>
            </w:r>
          </w:p>
        </w:tc>
        <w:tc>
          <w:tcPr>
            <w:tcW w:w="689" w:type="pct"/>
          </w:tcPr>
          <w:p w14:paraId="503068A9"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6C2C03B1" w14:textId="77777777" w:rsidR="00C15F2E" w:rsidRPr="00D96063" w:rsidRDefault="00C15F2E" w:rsidP="00E67238">
            <w:pPr>
              <w:ind w:left="57" w:right="227"/>
              <w:jc w:val="right"/>
              <w:rPr>
                <w:sz w:val="14"/>
                <w:szCs w:val="14"/>
              </w:rPr>
            </w:pPr>
            <w:r w:rsidRPr="00D96063">
              <w:rPr>
                <w:sz w:val="14"/>
                <w:szCs w:val="14"/>
              </w:rPr>
              <w:t>669</w:t>
            </w:r>
          </w:p>
        </w:tc>
        <w:tc>
          <w:tcPr>
            <w:tcW w:w="708" w:type="pct"/>
          </w:tcPr>
          <w:p w14:paraId="6F969782" w14:textId="77777777" w:rsidR="00C15F2E" w:rsidRPr="00D96063" w:rsidRDefault="00C15F2E" w:rsidP="00E67238">
            <w:pPr>
              <w:ind w:left="57" w:right="227"/>
              <w:jc w:val="right"/>
              <w:rPr>
                <w:sz w:val="14"/>
                <w:szCs w:val="14"/>
              </w:rPr>
            </w:pPr>
            <w:r w:rsidRPr="00D96063">
              <w:rPr>
                <w:sz w:val="14"/>
                <w:szCs w:val="14"/>
              </w:rPr>
              <w:t>48</w:t>
            </w:r>
          </w:p>
        </w:tc>
      </w:tr>
      <w:tr w:rsidR="00C15F2E" w:rsidRPr="00D96063" w14:paraId="6D6357B4" w14:textId="77777777" w:rsidTr="009874CF">
        <w:tc>
          <w:tcPr>
            <w:tcW w:w="2903" w:type="pct"/>
          </w:tcPr>
          <w:p w14:paraId="379F3CDA" w14:textId="77777777" w:rsidR="00C15F2E" w:rsidRPr="00D96063" w:rsidRDefault="00C15F2E" w:rsidP="00F110D2">
            <w:pPr>
              <w:ind w:left="170" w:hanging="170"/>
              <w:rPr>
                <w:sz w:val="14"/>
                <w:szCs w:val="14"/>
              </w:rPr>
            </w:pPr>
            <w:r w:rsidRPr="00D96063">
              <w:rPr>
                <w:sz w:val="14"/>
                <w:szCs w:val="14"/>
              </w:rPr>
              <w:tab/>
              <w:t>Ghana Water Company Ltd. (GWCL)</w:t>
            </w:r>
          </w:p>
        </w:tc>
        <w:tc>
          <w:tcPr>
            <w:tcW w:w="689" w:type="pct"/>
          </w:tcPr>
          <w:p w14:paraId="72EE50BB"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3B9C1876" w14:textId="77777777" w:rsidR="00C15F2E" w:rsidRPr="00D96063" w:rsidRDefault="00C15F2E" w:rsidP="00E67238">
            <w:pPr>
              <w:ind w:left="57" w:right="227"/>
              <w:jc w:val="right"/>
              <w:rPr>
                <w:sz w:val="14"/>
                <w:szCs w:val="14"/>
              </w:rPr>
            </w:pPr>
            <w:r w:rsidRPr="00D96063">
              <w:rPr>
                <w:sz w:val="14"/>
                <w:szCs w:val="14"/>
              </w:rPr>
              <w:t>179</w:t>
            </w:r>
          </w:p>
        </w:tc>
        <w:tc>
          <w:tcPr>
            <w:tcW w:w="708" w:type="pct"/>
          </w:tcPr>
          <w:p w14:paraId="6E632A86" w14:textId="77777777" w:rsidR="00C15F2E" w:rsidRPr="00D96063" w:rsidRDefault="00C15F2E" w:rsidP="00E67238">
            <w:pPr>
              <w:ind w:left="57" w:right="227"/>
              <w:jc w:val="right"/>
              <w:rPr>
                <w:sz w:val="14"/>
                <w:szCs w:val="14"/>
              </w:rPr>
            </w:pPr>
            <w:r w:rsidRPr="00D96063">
              <w:rPr>
                <w:sz w:val="14"/>
                <w:szCs w:val="14"/>
              </w:rPr>
              <w:t>-194</w:t>
            </w:r>
          </w:p>
        </w:tc>
      </w:tr>
      <w:tr w:rsidR="00C15F2E" w:rsidRPr="00D96063" w14:paraId="32B03B25"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17288C81" w14:textId="77777777" w:rsidR="00C15F2E" w:rsidRPr="00D96063" w:rsidRDefault="00C15F2E" w:rsidP="00F110D2">
            <w:pPr>
              <w:ind w:left="170" w:hanging="170"/>
              <w:rPr>
                <w:sz w:val="14"/>
                <w:szCs w:val="14"/>
              </w:rPr>
            </w:pPr>
            <w:r w:rsidRPr="00D96063">
              <w:rPr>
                <w:sz w:val="14"/>
                <w:szCs w:val="14"/>
              </w:rPr>
              <w:tab/>
              <w:t>Bui Power Authority (BPA)</w:t>
            </w:r>
          </w:p>
        </w:tc>
        <w:tc>
          <w:tcPr>
            <w:tcW w:w="689" w:type="pct"/>
          </w:tcPr>
          <w:p w14:paraId="09A2EAF0"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A1BA3E5" w14:textId="77777777" w:rsidR="00C15F2E" w:rsidRPr="00D96063" w:rsidRDefault="00C15F2E" w:rsidP="00E67238">
            <w:pPr>
              <w:ind w:left="57" w:right="227"/>
              <w:jc w:val="right"/>
              <w:rPr>
                <w:sz w:val="14"/>
                <w:szCs w:val="14"/>
              </w:rPr>
            </w:pPr>
            <w:r w:rsidRPr="00D96063">
              <w:rPr>
                <w:sz w:val="14"/>
                <w:szCs w:val="14"/>
              </w:rPr>
              <w:t>114</w:t>
            </w:r>
          </w:p>
        </w:tc>
        <w:tc>
          <w:tcPr>
            <w:tcW w:w="708" w:type="pct"/>
          </w:tcPr>
          <w:p w14:paraId="216B7690" w14:textId="77777777" w:rsidR="00C15F2E" w:rsidRPr="00D96063" w:rsidRDefault="00C15F2E" w:rsidP="00E67238">
            <w:pPr>
              <w:ind w:left="57" w:right="227"/>
              <w:jc w:val="right"/>
              <w:rPr>
                <w:sz w:val="14"/>
                <w:szCs w:val="14"/>
              </w:rPr>
            </w:pPr>
            <w:r w:rsidRPr="00D96063">
              <w:rPr>
                <w:sz w:val="14"/>
                <w:szCs w:val="14"/>
              </w:rPr>
              <w:t>40</w:t>
            </w:r>
          </w:p>
        </w:tc>
      </w:tr>
      <w:tr w:rsidR="00C15F2E" w:rsidRPr="00D96063" w14:paraId="3953C559" w14:textId="77777777" w:rsidTr="009874CF">
        <w:tc>
          <w:tcPr>
            <w:tcW w:w="2903" w:type="pct"/>
          </w:tcPr>
          <w:p w14:paraId="2DD9C333" w14:textId="77777777" w:rsidR="00C15F2E" w:rsidRPr="00D96063" w:rsidRDefault="00C15F2E" w:rsidP="00F110D2">
            <w:pPr>
              <w:rPr>
                <w:b/>
                <w:bCs/>
                <w:sz w:val="14"/>
                <w:szCs w:val="14"/>
              </w:rPr>
            </w:pPr>
            <w:r w:rsidRPr="00D96063">
              <w:rPr>
                <w:b/>
                <w:bCs/>
                <w:sz w:val="14"/>
                <w:szCs w:val="14"/>
              </w:rPr>
              <w:t>2. Communications/media sector</w:t>
            </w:r>
          </w:p>
        </w:tc>
        <w:tc>
          <w:tcPr>
            <w:tcW w:w="689" w:type="pct"/>
          </w:tcPr>
          <w:p w14:paraId="16223D51" w14:textId="77777777" w:rsidR="00C15F2E" w:rsidRPr="00D96063" w:rsidRDefault="00C15F2E" w:rsidP="00E67238">
            <w:pPr>
              <w:jc w:val="right"/>
              <w:rPr>
                <w:sz w:val="14"/>
                <w:szCs w:val="14"/>
              </w:rPr>
            </w:pPr>
          </w:p>
        </w:tc>
        <w:tc>
          <w:tcPr>
            <w:tcW w:w="700" w:type="pct"/>
          </w:tcPr>
          <w:p w14:paraId="3A971256" w14:textId="77777777" w:rsidR="00C15F2E" w:rsidRPr="00D96063" w:rsidRDefault="00C15F2E" w:rsidP="00E67238">
            <w:pPr>
              <w:ind w:left="57" w:right="227"/>
              <w:jc w:val="right"/>
              <w:rPr>
                <w:sz w:val="14"/>
                <w:szCs w:val="14"/>
              </w:rPr>
            </w:pPr>
          </w:p>
        </w:tc>
        <w:tc>
          <w:tcPr>
            <w:tcW w:w="708" w:type="pct"/>
          </w:tcPr>
          <w:p w14:paraId="50A732C6" w14:textId="77777777" w:rsidR="00C15F2E" w:rsidRPr="00D96063" w:rsidRDefault="00C15F2E" w:rsidP="00E67238">
            <w:pPr>
              <w:ind w:left="57" w:right="227"/>
              <w:jc w:val="right"/>
              <w:rPr>
                <w:sz w:val="14"/>
                <w:szCs w:val="14"/>
              </w:rPr>
            </w:pPr>
          </w:p>
        </w:tc>
      </w:tr>
      <w:tr w:rsidR="00C15F2E" w:rsidRPr="00D96063" w14:paraId="54DB9F70"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5DC6C4FE" w14:textId="77777777" w:rsidR="00C15F2E" w:rsidRPr="00D96063" w:rsidRDefault="00C15F2E" w:rsidP="00F110D2">
            <w:pPr>
              <w:ind w:left="170" w:hanging="170"/>
              <w:rPr>
                <w:sz w:val="14"/>
                <w:szCs w:val="14"/>
              </w:rPr>
            </w:pPr>
            <w:r w:rsidRPr="00D96063">
              <w:rPr>
                <w:sz w:val="14"/>
                <w:szCs w:val="14"/>
              </w:rPr>
              <w:tab/>
              <w:t>Ghana Post Company Ltd.</w:t>
            </w:r>
          </w:p>
        </w:tc>
        <w:tc>
          <w:tcPr>
            <w:tcW w:w="689" w:type="pct"/>
          </w:tcPr>
          <w:p w14:paraId="2D802010"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275ACCD9" w14:textId="77777777" w:rsidR="00C15F2E" w:rsidRPr="00D96063" w:rsidRDefault="00C15F2E" w:rsidP="00E67238">
            <w:pPr>
              <w:ind w:left="57" w:right="227"/>
              <w:jc w:val="right"/>
              <w:rPr>
                <w:sz w:val="14"/>
                <w:szCs w:val="14"/>
              </w:rPr>
            </w:pPr>
            <w:r w:rsidRPr="00D96063">
              <w:rPr>
                <w:sz w:val="14"/>
                <w:szCs w:val="14"/>
              </w:rPr>
              <w:t>14</w:t>
            </w:r>
          </w:p>
        </w:tc>
        <w:tc>
          <w:tcPr>
            <w:tcW w:w="708" w:type="pct"/>
          </w:tcPr>
          <w:p w14:paraId="61715BCD"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198A838F" w14:textId="77777777" w:rsidTr="009874CF">
        <w:tc>
          <w:tcPr>
            <w:tcW w:w="2903" w:type="pct"/>
          </w:tcPr>
          <w:p w14:paraId="08806EF9" w14:textId="77777777" w:rsidR="00C15F2E" w:rsidRPr="00D96063" w:rsidRDefault="00C15F2E" w:rsidP="00F110D2">
            <w:pPr>
              <w:ind w:left="170" w:hanging="170"/>
              <w:rPr>
                <w:sz w:val="14"/>
                <w:szCs w:val="14"/>
              </w:rPr>
            </w:pPr>
            <w:r w:rsidRPr="00D96063">
              <w:rPr>
                <w:sz w:val="14"/>
                <w:szCs w:val="14"/>
              </w:rPr>
              <w:tab/>
              <w:t>Ghana Publishing Company Ltd.</w:t>
            </w:r>
          </w:p>
        </w:tc>
        <w:tc>
          <w:tcPr>
            <w:tcW w:w="689" w:type="pct"/>
          </w:tcPr>
          <w:p w14:paraId="422DED6C"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6FA0D17" w14:textId="77777777" w:rsidR="00C15F2E" w:rsidRPr="00D96063" w:rsidRDefault="00C15F2E" w:rsidP="00E67238">
            <w:pPr>
              <w:ind w:left="57" w:right="227"/>
              <w:jc w:val="right"/>
              <w:rPr>
                <w:sz w:val="14"/>
                <w:szCs w:val="14"/>
              </w:rPr>
            </w:pPr>
            <w:r w:rsidRPr="00D96063">
              <w:rPr>
                <w:sz w:val="14"/>
                <w:szCs w:val="14"/>
              </w:rPr>
              <w:t>3</w:t>
            </w:r>
          </w:p>
        </w:tc>
        <w:tc>
          <w:tcPr>
            <w:tcW w:w="708" w:type="pct"/>
          </w:tcPr>
          <w:p w14:paraId="71D528C8"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3C4DE49C"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71E5C503" w14:textId="77777777" w:rsidR="00C15F2E" w:rsidRPr="00D96063" w:rsidRDefault="00C15F2E" w:rsidP="00F110D2">
            <w:pPr>
              <w:ind w:left="170" w:hanging="170"/>
              <w:rPr>
                <w:sz w:val="14"/>
                <w:szCs w:val="14"/>
              </w:rPr>
            </w:pPr>
            <w:r w:rsidRPr="00D96063">
              <w:rPr>
                <w:sz w:val="14"/>
                <w:szCs w:val="14"/>
              </w:rPr>
              <w:tab/>
              <w:t>Ghana Broadcasting Corporation (GBC)</w:t>
            </w:r>
          </w:p>
        </w:tc>
        <w:tc>
          <w:tcPr>
            <w:tcW w:w="689" w:type="pct"/>
          </w:tcPr>
          <w:p w14:paraId="16C3E98C"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4E3513C" w14:textId="77777777" w:rsidR="00C15F2E" w:rsidRPr="00D96063" w:rsidRDefault="00C15F2E" w:rsidP="00E67238">
            <w:pPr>
              <w:ind w:left="57" w:right="227"/>
              <w:jc w:val="right"/>
              <w:rPr>
                <w:sz w:val="14"/>
                <w:szCs w:val="14"/>
              </w:rPr>
            </w:pPr>
            <w:r w:rsidRPr="00D96063">
              <w:rPr>
                <w:sz w:val="14"/>
                <w:szCs w:val="14"/>
              </w:rPr>
              <w:t>14</w:t>
            </w:r>
          </w:p>
        </w:tc>
        <w:tc>
          <w:tcPr>
            <w:tcW w:w="708" w:type="pct"/>
          </w:tcPr>
          <w:p w14:paraId="4FB05F89"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6363296D" w14:textId="77777777" w:rsidTr="009874CF">
        <w:tc>
          <w:tcPr>
            <w:tcW w:w="2903" w:type="pct"/>
          </w:tcPr>
          <w:p w14:paraId="13480659" w14:textId="77777777" w:rsidR="00C15F2E" w:rsidRPr="00D96063" w:rsidRDefault="00C15F2E" w:rsidP="00F110D2">
            <w:pPr>
              <w:ind w:left="170" w:hanging="170"/>
              <w:rPr>
                <w:sz w:val="14"/>
                <w:szCs w:val="14"/>
              </w:rPr>
            </w:pPr>
            <w:r w:rsidRPr="00D96063">
              <w:rPr>
                <w:sz w:val="14"/>
                <w:szCs w:val="14"/>
              </w:rPr>
              <w:tab/>
              <w:t>News Times Corporation</w:t>
            </w:r>
          </w:p>
        </w:tc>
        <w:tc>
          <w:tcPr>
            <w:tcW w:w="689" w:type="pct"/>
          </w:tcPr>
          <w:p w14:paraId="4D28375C"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1AE092A6" w14:textId="77777777" w:rsidR="00C15F2E" w:rsidRPr="00D96063" w:rsidRDefault="00C15F2E" w:rsidP="00E67238">
            <w:pPr>
              <w:ind w:left="57" w:right="227"/>
              <w:jc w:val="right"/>
              <w:rPr>
                <w:sz w:val="14"/>
                <w:szCs w:val="14"/>
              </w:rPr>
            </w:pPr>
            <w:r w:rsidRPr="00D96063">
              <w:rPr>
                <w:sz w:val="14"/>
                <w:szCs w:val="14"/>
              </w:rPr>
              <w:t>2</w:t>
            </w:r>
          </w:p>
        </w:tc>
        <w:tc>
          <w:tcPr>
            <w:tcW w:w="708" w:type="pct"/>
          </w:tcPr>
          <w:p w14:paraId="3466B60F"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493622F8"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6E391B7A" w14:textId="77777777" w:rsidR="00C15F2E" w:rsidRPr="00D96063" w:rsidRDefault="00C15F2E" w:rsidP="00F110D2">
            <w:pPr>
              <w:ind w:left="170" w:hanging="170"/>
              <w:rPr>
                <w:sz w:val="14"/>
                <w:szCs w:val="14"/>
              </w:rPr>
            </w:pPr>
            <w:r w:rsidRPr="00D96063">
              <w:rPr>
                <w:sz w:val="14"/>
                <w:szCs w:val="14"/>
              </w:rPr>
              <w:tab/>
              <w:t>Graphic Communications Group Limited</w:t>
            </w:r>
          </w:p>
        </w:tc>
        <w:tc>
          <w:tcPr>
            <w:tcW w:w="689" w:type="pct"/>
          </w:tcPr>
          <w:p w14:paraId="1FE01234"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2272A88" w14:textId="77777777" w:rsidR="00C15F2E" w:rsidRPr="00D96063" w:rsidRDefault="00C15F2E" w:rsidP="00E67238">
            <w:pPr>
              <w:ind w:left="57" w:right="227"/>
              <w:jc w:val="right"/>
              <w:rPr>
                <w:sz w:val="14"/>
                <w:szCs w:val="14"/>
              </w:rPr>
            </w:pPr>
            <w:r w:rsidRPr="00D96063">
              <w:rPr>
                <w:sz w:val="14"/>
                <w:szCs w:val="14"/>
              </w:rPr>
              <w:t>14</w:t>
            </w:r>
          </w:p>
        </w:tc>
        <w:tc>
          <w:tcPr>
            <w:tcW w:w="708" w:type="pct"/>
          </w:tcPr>
          <w:p w14:paraId="639794D9"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447169DD" w14:textId="77777777" w:rsidTr="009874CF">
        <w:tc>
          <w:tcPr>
            <w:tcW w:w="2903" w:type="pct"/>
          </w:tcPr>
          <w:p w14:paraId="3CE871A4" w14:textId="77777777" w:rsidR="00C15F2E" w:rsidRPr="00D96063" w:rsidRDefault="00C15F2E" w:rsidP="00F110D2">
            <w:pPr>
              <w:ind w:left="170" w:hanging="170"/>
              <w:rPr>
                <w:sz w:val="14"/>
                <w:szCs w:val="14"/>
              </w:rPr>
            </w:pPr>
            <w:r w:rsidRPr="00D96063">
              <w:rPr>
                <w:sz w:val="14"/>
                <w:szCs w:val="14"/>
              </w:rPr>
              <w:tab/>
              <w:t>Ghana News Agency (GNA)</w:t>
            </w:r>
          </w:p>
        </w:tc>
        <w:tc>
          <w:tcPr>
            <w:tcW w:w="689" w:type="pct"/>
          </w:tcPr>
          <w:p w14:paraId="3C5C697C"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04789C5" w14:textId="77777777" w:rsidR="00C15F2E" w:rsidRPr="00D96063" w:rsidRDefault="00C15F2E" w:rsidP="00E67238">
            <w:pPr>
              <w:ind w:left="57" w:right="227"/>
              <w:jc w:val="right"/>
              <w:rPr>
                <w:sz w:val="14"/>
                <w:szCs w:val="14"/>
              </w:rPr>
            </w:pPr>
            <w:r w:rsidRPr="00D96063">
              <w:rPr>
                <w:sz w:val="14"/>
                <w:szCs w:val="14"/>
              </w:rPr>
              <w:t>1</w:t>
            </w:r>
          </w:p>
        </w:tc>
        <w:tc>
          <w:tcPr>
            <w:tcW w:w="708" w:type="pct"/>
          </w:tcPr>
          <w:p w14:paraId="137D2E99"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6DAE2B68"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4DF72BA9" w14:textId="77777777" w:rsidR="00C15F2E" w:rsidRPr="00D96063" w:rsidRDefault="00C15F2E" w:rsidP="00F110D2">
            <w:pPr>
              <w:rPr>
                <w:b/>
                <w:bCs/>
                <w:sz w:val="14"/>
                <w:szCs w:val="14"/>
              </w:rPr>
            </w:pPr>
            <w:r w:rsidRPr="00D96063">
              <w:rPr>
                <w:b/>
                <w:bCs/>
                <w:sz w:val="14"/>
                <w:szCs w:val="14"/>
              </w:rPr>
              <w:t>3. Agriculture sector</w:t>
            </w:r>
          </w:p>
        </w:tc>
        <w:tc>
          <w:tcPr>
            <w:tcW w:w="689" w:type="pct"/>
          </w:tcPr>
          <w:p w14:paraId="1E52CD36" w14:textId="77777777" w:rsidR="00C15F2E" w:rsidRPr="00D96063" w:rsidRDefault="00C15F2E" w:rsidP="00E67238">
            <w:pPr>
              <w:ind w:left="57" w:right="227"/>
              <w:jc w:val="right"/>
              <w:rPr>
                <w:sz w:val="14"/>
                <w:szCs w:val="14"/>
              </w:rPr>
            </w:pPr>
          </w:p>
        </w:tc>
        <w:tc>
          <w:tcPr>
            <w:tcW w:w="700" w:type="pct"/>
          </w:tcPr>
          <w:p w14:paraId="699749C9" w14:textId="77777777" w:rsidR="00C15F2E" w:rsidRPr="00D96063" w:rsidRDefault="00C15F2E" w:rsidP="00E67238">
            <w:pPr>
              <w:ind w:left="57" w:right="227"/>
              <w:jc w:val="right"/>
              <w:rPr>
                <w:sz w:val="14"/>
                <w:szCs w:val="14"/>
              </w:rPr>
            </w:pPr>
          </w:p>
        </w:tc>
        <w:tc>
          <w:tcPr>
            <w:tcW w:w="708" w:type="pct"/>
          </w:tcPr>
          <w:p w14:paraId="6BF6948F" w14:textId="77777777" w:rsidR="00C15F2E" w:rsidRPr="00D96063" w:rsidRDefault="00C15F2E" w:rsidP="00E67238">
            <w:pPr>
              <w:ind w:left="57" w:right="227"/>
              <w:jc w:val="right"/>
              <w:rPr>
                <w:sz w:val="14"/>
                <w:szCs w:val="14"/>
              </w:rPr>
            </w:pPr>
          </w:p>
        </w:tc>
      </w:tr>
      <w:tr w:rsidR="00C15F2E" w:rsidRPr="00D96063" w14:paraId="67F0A91A" w14:textId="77777777" w:rsidTr="009874CF">
        <w:tc>
          <w:tcPr>
            <w:tcW w:w="2903" w:type="pct"/>
          </w:tcPr>
          <w:p w14:paraId="4DC41F8E" w14:textId="77777777" w:rsidR="00C15F2E" w:rsidRPr="00D96063" w:rsidRDefault="00C15F2E" w:rsidP="00F110D2">
            <w:pPr>
              <w:ind w:left="170" w:hanging="170"/>
              <w:rPr>
                <w:sz w:val="14"/>
                <w:szCs w:val="14"/>
              </w:rPr>
            </w:pPr>
            <w:r w:rsidRPr="00D96063">
              <w:rPr>
                <w:sz w:val="14"/>
                <w:szCs w:val="14"/>
              </w:rPr>
              <w:tab/>
              <w:t xml:space="preserve">COCOBOD  </w:t>
            </w:r>
          </w:p>
        </w:tc>
        <w:tc>
          <w:tcPr>
            <w:tcW w:w="689" w:type="pct"/>
          </w:tcPr>
          <w:p w14:paraId="77FB5E47"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015CC5E1" w14:textId="77777777" w:rsidR="00C15F2E" w:rsidRPr="00D96063" w:rsidRDefault="00C15F2E" w:rsidP="00E67238">
            <w:pPr>
              <w:ind w:left="57" w:right="227"/>
              <w:jc w:val="right"/>
              <w:rPr>
                <w:sz w:val="14"/>
                <w:szCs w:val="14"/>
              </w:rPr>
            </w:pPr>
            <w:r w:rsidRPr="00D96063">
              <w:rPr>
                <w:sz w:val="14"/>
                <w:szCs w:val="14"/>
              </w:rPr>
              <w:t>1,869</w:t>
            </w:r>
          </w:p>
        </w:tc>
        <w:tc>
          <w:tcPr>
            <w:tcW w:w="708" w:type="pct"/>
          </w:tcPr>
          <w:p w14:paraId="5F1FF46B" w14:textId="77777777" w:rsidR="00C15F2E" w:rsidRPr="00D96063" w:rsidRDefault="00C15F2E" w:rsidP="00E67238">
            <w:pPr>
              <w:ind w:left="57" w:right="227"/>
              <w:jc w:val="right"/>
              <w:rPr>
                <w:sz w:val="14"/>
                <w:szCs w:val="14"/>
              </w:rPr>
            </w:pPr>
            <w:r w:rsidRPr="00D96063">
              <w:rPr>
                <w:sz w:val="14"/>
                <w:szCs w:val="14"/>
              </w:rPr>
              <w:t>53</w:t>
            </w:r>
          </w:p>
        </w:tc>
      </w:tr>
      <w:tr w:rsidR="00C15F2E" w:rsidRPr="00D96063" w14:paraId="45250102"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169435E5" w14:textId="77777777" w:rsidR="00C15F2E" w:rsidRPr="00D96063" w:rsidRDefault="00C15F2E" w:rsidP="00F110D2">
            <w:pPr>
              <w:ind w:left="170" w:hanging="170"/>
              <w:rPr>
                <w:sz w:val="14"/>
                <w:szCs w:val="14"/>
              </w:rPr>
            </w:pPr>
            <w:r w:rsidRPr="00D96063">
              <w:rPr>
                <w:sz w:val="14"/>
                <w:szCs w:val="14"/>
              </w:rPr>
              <w:tab/>
              <w:t>PBC Ltd.</w:t>
            </w:r>
          </w:p>
        </w:tc>
        <w:tc>
          <w:tcPr>
            <w:tcW w:w="689" w:type="pct"/>
          </w:tcPr>
          <w:p w14:paraId="4EE457CD" w14:textId="77777777" w:rsidR="00C15F2E" w:rsidRPr="00D96063" w:rsidRDefault="00C15F2E" w:rsidP="00E67238">
            <w:pPr>
              <w:ind w:left="57" w:right="227"/>
              <w:jc w:val="right"/>
              <w:rPr>
                <w:sz w:val="14"/>
                <w:szCs w:val="14"/>
              </w:rPr>
            </w:pPr>
            <w:r w:rsidRPr="00D96063">
              <w:rPr>
                <w:sz w:val="14"/>
                <w:szCs w:val="14"/>
              </w:rPr>
              <w:t>37</w:t>
            </w:r>
          </w:p>
        </w:tc>
        <w:tc>
          <w:tcPr>
            <w:tcW w:w="700" w:type="pct"/>
          </w:tcPr>
          <w:p w14:paraId="2909237F" w14:textId="77777777" w:rsidR="00C15F2E" w:rsidRPr="00D96063" w:rsidRDefault="00C15F2E" w:rsidP="00E67238">
            <w:pPr>
              <w:ind w:left="57" w:right="227"/>
              <w:jc w:val="right"/>
              <w:rPr>
                <w:sz w:val="14"/>
                <w:szCs w:val="14"/>
              </w:rPr>
            </w:pPr>
            <w:r w:rsidRPr="00D96063">
              <w:rPr>
                <w:sz w:val="14"/>
                <w:szCs w:val="14"/>
              </w:rPr>
              <w:t>215</w:t>
            </w:r>
          </w:p>
        </w:tc>
        <w:tc>
          <w:tcPr>
            <w:tcW w:w="708" w:type="pct"/>
          </w:tcPr>
          <w:p w14:paraId="5EA398AD" w14:textId="77777777" w:rsidR="00C15F2E" w:rsidRPr="00D96063" w:rsidRDefault="00C15F2E" w:rsidP="00E67238">
            <w:pPr>
              <w:ind w:left="57" w:right="227"/>
              <w:jc w:val="right"/>
              <w:rPr>
                <w:sz w:val="14"/>
                <w:szCs w:val="14"/>
              </w:rPr>
            </w:pPr>
            <w:r w:rsidRPr="00D96063">
              <w:rPr>
                <w:sz w:val="14"/>
                <w:szCs w:val="14"/>
              </w:rPr>
              <w:t>-29</w:t>
            </w:r>
          </w:p>
        </w:tc>
      </w:tr>
      <w:tr w:rsidR="00C15F2E" w:rsidRPr="00D96063" w14:paraId="1BA7180B" w14:textId="77777777" w:rsidTr="009874CF">
        <w:tc>
          <w:tcPr>
            <w:tcW w:w="2903" w:type="pct"/>
          </w:tcPr>
          <w:p w14:paraId="37A4939A" w14:textId="77777777" w:rsidR="00C15F2E" w:rsidRPr="00D96063" w:rsidRDefault="00C15F2E" w:rsidP="00F110D2">
            <w:pPr>
              <w:ind w:left="170" w:hanging="170"/>
              <w:rPr>
                <w:sz w:val="14"/>
                <w:szCs w:val="14"/>
              </w:rPr>
            </w:pPr>
            <w:r w:rsidRPr="00D96063">
              <w:rPr>
                <w:sz w:val="14"/>
                <w:szCs w:val="14"/>
              </w:rPr>
              <w:tab/>
              <w:t>Cocoa Processing Company</w:t>
            </w:r>
          </w:p>
        </w:tc>
        <w:tc>
          <w:tcPr>
            <w:tcW w:w="689" w:type="pct"/>
          </w:tcPr>
          <w:p w14:paraId="3FBF47AC" w14:textId="77777777" w:rsidR="00C15F2E" w:rsidRPr="00D96063" w:rsidRDefault="00C15F2E" w:rsidP="00E67238">
            <w:pPr>
              <w:ind w:left="57" w:right="227"/>
              <w:jc w:val="right"/>
              <w:rPr>
                <w:sz w:val="14"/>
                <w:szCs w:val="14"/>
              </w:rPr>
            </w:pPr>
            <w:r w:rsidRPr="00D96063">
              <w:rPr>
                <w:sz w:val="14"/>
                <w:szCs w:val="14"/>
              </w:rPr>
              <w:t>58</w:t>
            </w:r>
          </w:p>
        </w:tc>
        <w:tc>
          <w:tcPr>
            <w:tcW w:w="700" w:type="pct"/>
          </w:tcPr>
          <w:p w14:paraId="282D6B53" w14:textId="77777777" w:rsidR="00C15F2E" w:rsidRPr="00D96063" w:rsidRDefault="00C15F2E" w:rsidP="00E67238">
            <w:pPr>
              <w:ind w:left="57" w:right="227"/>
              <w:jc w:val="right"/>
              <w:rPr>
                <w:sz w:val="14"/>
                <w:szCs w:val="14"/>
              </w:rPr>
            </w:pPr>
            <w:r w:rsidRPr="00D96063">
              <w:rPr>
                <w:sz w:val="14"/>
                <w:szCs w:val="14"/>
              </w:rPr>
              <w:t>32</w:t>
            </w:r>
          </w:p>
        </w:tc>
        <w:tc>
          <w:tcPr>
            <w:tcW w:w="708" w:type="pct"/>
          </w:tcPr>
          <w:p w14:paraId="717B20D2" w14:textId="77777777" w:rsidR="00C15F2E" w:rsidRPr="00D96063" w:rsidRDefault="00C15F2E" w:rsidP="00E67238">
            <w:pPr>
              <w:ind w:left="57" w:right="227"/>
              <w:jc w:val="right"/>
              <w:rPr>
                <w:sz w:val="14"/>
                <w:szCs w:val="14"/>
              </w:rPr>
            </w:pPr>
            <w:r w:rsidRPr="00D96063">
              <w:rPr>
                <w:sz w:val="14"/>
                <w:szCs w:val="14"/>
              </w:rPr>
              <w:t>-3</w:t>
            </w:r>
          </w:p>
        </w:tc>
      </w:tr>
      <w:tr w:rsidR="00C15F2E" w:rsidRPr="00D96063" w14:paraId="24E96F96"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74522C4B" w14:textId="77777777" w:rsidR="00C15F2E" w:rsidRPr="00D96063" w:rsidRDefault="00C15F2E" w:rsidP="00F110D2">
            <w:pPr>
              <w:ind w:left="170" w:hanging="170"/>
              <w:rPr>
                <w:sz w:val="14"/>
                <w:szCs w:val="14"/>
              </w:rPr>
            </w:pPr>
            <w:r w:rsidRPr="00D96063">
              <w:rPr>
                <w:sz w:val="14"/>
                <w:szCs w:val="14"/>
              </w:rPr>
              <w:tab/>
              <w:t>Ghana Irrigation Development Authority</w:t>
            </w:r>
          </w:p>
        </w:tc>
        <w:tc>
          <w:tcPr>
            <w:tcW w:w="689" w:type="pct"/>
          </w:tcPr>
          <w:p w14:paraId="0F7A3255"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5DE9AEBC" w14:textId="77777777" w:rsidR="00C15F2E" w:rsidRPr="00D96063" w:rsidRDefault="00C15F2E" w:rsidP="00E67238">
            <w:pPr>
              <w:ind w:left="57" w:right="227"/>
              <w:jc w:val="right"/>
              <w:rPr>
                <w:sz w:val="14"/>
                <w:szCs w:val="14"/>
              </w:rPr>
            </w:pPr>
            <w:r w:rsidRPr="00D96063">
              <w:rPr>
                <w:sz w:val="14"/>
                <w:szCs w:val="14"/>
              </w:rPr>
              <w:t>12</w:t>
            </w:r>
          </w:p>
        </w:tc>
        <w:tc>
          <w:tcPr>
            <w:tcW w:w="708" w:type="pct"/>
          </w:tcPr>
          <w:p w14:paraId="68E1438D"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25E3A6F5" w14:textId="77777777" w:rsidTr="009874CF">
        <w:tc>
          <w:tcPr>
            <w:tcW w:w="2903" w:type="pct"/>
          </w:tcPr>
          <w:p w14:paraId="2A6A8E88" w14:textId="77777777" w:rsidR="00C15F2E" w:rsidRPr="00D96063" w:rsidRDefault="00C15F2E" w:rsidP="00F110D2">
            <w:pPr>
              <w:ind w:left="170" w:hanging="170"/>
              <w:rPr>
                <w:sz w:val="14"/>
                <w:szCs w:val="14"/>
              </w:rPr>
            </w:pPr>
            <w:r w:rsidRPr="00D96063">
              <w:rPr>
                <w:sz w:val="14"/>
                <w:szCs w:val="14"/>
              </w:rPr>
              <w:tab/>
              <w:t>National Food Buffer Stock Company (NAFCO)</w:t>
            </w:r>
          </w:p>
        </w:tc>
        <w:tc>
          <w:tcPr>
            <w:tcW w:w="689" w:type="pct"/>
          </w:tcPr>
          <w:p w14:paraId="54EAC45B"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D7BC5CD" w14:textId="77777777" w:rsidR="00C15F2E" w:rsidRPr="00D96063" w:rsidRDefault="00C15F2E" w:rsidP="00E67238">
            <w:pPr>
              <w:ind w:left="57" w:right="227"/>
              <w:jc w:val="right"/>
              <w:rPr>
                <w:sz w:val="14"/>
                <w:szCs w:val="14"/>
              </w:rPr>
            </w:pPr>
            <w:r w:rsidRPr="00D96063">
              <w:rPr>
                <w:sz w:val="14"/>
                <w:szCs w:val="14"/>
              </w:rPr>
              <w:t>85</w:t>
            </w:r>
          </w:p>
        </w:tc>
        <w:tc>
          <w:tcPr>
            <w:tcW w:w="708" w:type="pct"/>
          </w:tcPr>
          <w:p w14:paraId="20603526"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77C4FFC3"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2988C8AA" w14:textId="77777777" w:rsidR="00C15F2E" w:rsidRPr="00D96063" w:rsidRDefault="00C15F2E" w:rsidP="00F110D2">
            <w:pPr>
              <w:ind w:left="170" w:hanging="170"/>
              <w:rPr>
                <w:sz w:val="14"/>
                <w:szCs w:val="14"/>
              </w:rPr>
            </w:pPr>
            <w:r w:rsidRPr="00D96063">
              <w:rPr>
                <w:sz w:val="14"/>
                <w:szCs w:val="14"/>
              </w:rPr>
              <w:tab/>
              <w:t>Irrigation Company of the Upper Regions</w:t>
            </w:r>
          </w:p>
        </w:tc>
        <w:tc>
          <w:tcPr>
            <w:tcW w:w="689" w:type="pct"/>
          </w:tcPr>
          <w:p w14:paraId="7F86FC6B"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88E8CD4" w14:textId="77777777" w:rsidR="00C15F2E" w:rsidRPr="00D96063" w:rsidRDefault="00C15F2E" w:rsidP="00E67238">
            <w:pPr>
              <w:ind w:left="57" w:right="227"/>
              <w:jc w:val="right"/>
              <w:rPr>
                <w:sz w:val="14"/>
                <w:szCs w:val="14"/>
              </w:rPr>
            </w:pPr>
            <w:r w:rsidRPr="00D96063">
              <w:rPr>
                <w:sz w:val="14"/>
                <w:szCs w:val="14"/>
              </w:rPr>
              <w:t>0</w:t>
            </w:r>
          </w:p>
        </w:tc>
        <w:tc>
          <w:tcPr>
            <w:tcW w:w="708" w:type="pct"/>
          </w:tcPr>
          <w:p w14:paraId="0FBD99E1"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54E7BA39" w14:textId="77777777" w:rsidTr="009874CF">
        <w:tc>
          <w:tcPr>
            <w:tcW w:w="2903" w:type="pct"/>
          </w:tcPr>
          <w:p w14:paraId="5B94D06D" w14:textId="77777777" w:rsidR="00C15F2E" w:rsidRPr="00D96063" w:rsidRDefault="00C15F2E" w:rsidP="00F110D2">
            <w:pPr>
              <w:ind w:left="170" w:hanging="170"/>
              <w:rPr>
                <w:sz w:val="14"/>
                <w:szCs w:val="14"/>
              </w:rPr>
            </w:pPr>
            <w:r w:rsidRPr="00D96063">
              <w:rPr>
                <w:sz w:val="14"/>
                <w:szCs w:val="14"/>
              </w:rPr>
              <w:tab/>
              <w:t>Grains and Legumes Development Board</w:t>
            </w:r>
          </w:p>
        </w:tc>
        <w:tc>
          <w:tcPr>
            <w:tcW w:w="689" w:type="pct"/>
          </w:tcPr>
          <w:p w14:paraId="770CD7B6"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2BC5375" w14:textId="77777777" w:rsidR="00C15F2E" w:rsidRPr="00D96063" w:rsidRDefault="00C15F2E" w:rsidP="00E67238">
            <w:pPr>
              <w:ind w:left="57" w:right="227"/>
              <w:jc w:val="right"/>
              <w:rPr>
                <w:sz w:val="14"/>
                <w:szCs w:val="14"/>
              </w:rPr>
            </w:pPr>
            <w:r w:rsidRPr="00D96063">
              <w:rPr>
                <w:sz w:val="14"/>
                <w:szCs w:val="14"/>
              </w:rPr>
              <w:t>0</w:t>
            </w:r>
          </w:p>
        </w:tc>
        <w:tc>
          <w:tcPr>
            <w:tcW w:w="708" w:type="pct"/>
          </w:tcPr>
          <w:p w14:paraId="4DDA9089"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784200AA"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58E01078" w14:textId="77777777" w:rsidR="00C15F2E" w:rsidRPr="00D96063" w:rsidRDefault="00C15F2E" w:rsidP="00F110D2">
            <w:pPr>
              <w:rPr>
                <w:b/>
                <w:bCs/>
                <w:sz w:val="14"/>
                <w:szCs w:val="14"/>
              </w:rPr>
            </w:pPr>
            <w:r w:rsidRPr="00D96063">
              <w:rPr>
                <w:b/>
                <w:bCs/>
                <w:sz w:val="14"/>
                <w:szCs w:val="14"/>
              </w:rPr>
              <w:t>4 Financial sector</w:t>
            </w:r>
          </w:p>
        </w:tc>
        <w:tc>
          <w:tcPr>
            <w:tcW w:w="689" w:type="pct"/>
          </w:tcPr>
          <w:p w14:paraId="26E4BDC9" w14:textId="77777777" w:rsidR="00C15F2E" w:rsidRPr="00D96063" w:rsidRDefault="00C15F2E" w:rsidP="00E67238">
            <w:pPr>
              <w:ind w:left="57" w:right="227"/>
              <w:jc w:val="right"/>
              <w:rPr>
                <w:sz w:val="14"/>
                <w:szCs w:val="14"/>
              </w:rPr>
            </w:pPr>
          </w:p>
        </w:tc>
        <w:tc>
          <w:tcPr>
            <w:tcW w:w="700" w:type="pct"/>
          </w:tcPr>
          <w:p w14:paraId="30519AF7" w14:textId="77777777" w:rsidR="00C15F2E" w:rsidRPr="00D96063" w:rsidRDefault="00C15F2E" w:rsidP="00E67238">
            <w:pPr>
              <w:ind w:left="57" w:right="227"/>
              <w:jc w:val="right"/>
              <w:rPr>
                <w:sz w:val="14"/>
                <w:szCs w:val="14"/>
              </w:rPr>
            </w:pPr>
          </w:p>
        </w:tc>
        <w:tc>
          <w:tcPr>
            <w:tcW w:w="708" w:type="pct"/>
          </w:tcPr>
          <w:p w14:paraId="45B2D27E" w14:textId="77777777" w:rsidR="00C15F2E" w:rsidRPr="00D96063" w:rsidRDefault="00C15F2E" w:rsidP="00E67238">
            <w:pPr>
              <w:ind w:left="57" w:right="227"/>
              <w:jc w:val="right"/>
              <w:rPr>
                <w:sz w:val="14"/>
                <w:szCs w:val="14"/>
              </w:rPr>
            </w:pPr>
          </w:p>
        </w:tc>
      </w:tr>
      <w:tr w:rsidR="00C15F2E" w:rsidRPr="00D96063" w14:paraId="31F33387" w14:textId="77777777" w:rsidTr="009874CF">
        <w:tc>
          <w:tcPr>
            <w:tcW w:w="2903" w:type="pct"/>
          </w:tcPr>
          <w:p w14:paraId="1720723F" w14:textId="77777777" w:rsidR="00C15F2E" w:rsidRPr="00D96063" w:rsidRDefault="00C15F2E" w:rsidP="00F110D2">
            <w:pPr>
              <w:ind w:left="170" w:hanging="170"/>
              <w:rPr>
                <w:sz w:val="14"/>
                <w:szCs w:val="14"/>
              </w:rPr>
            </w:pPr>
            <w:r w:rsidRPr="00D96063">
              <w:rPr>
                <w:sz w:val="14"/>
                <w:szCs w:val="14"/>
              </w:rPr>
              <w:tab/>
              <w:t>Consolidated Bank Ghana</w:t>
            </w:r>
          </w:p>
        </w:tc>
        <w:tc>
          <w:tcPr>
            <w:tcW w:w="689" w:type="pct"/>
          </w:tcPr>
          <w:p w14:paraId="52CB915C"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66945248" w14:textId="77777777" w:rsidR="00C15F2E" w:rsidRPr="00D96063" w:rsidRDefault="00C15F2E" w:rsidP="00E67238">
            <w:pPr>
              <w:ind w:left="57" w:right="227"/>
              <w:jc w:val="right"/>
              <w:rPr>
                <w:sz w:val="14"/>
                <w:szCs w:val="14"/>
              </w:rPr>
            </w:pPr>
            <w:r w:rsidRPr="00D96063">
              <w:rPr>
                <w:sz w:val="14"/>
                <w:szCs w:val="14"/>
              </w:rPr>
              <w:t>203</w:t>
            </w:r>
          </w:p>
        </w:tc>
        <w:tc>
          <w:tcPr>
            <w:tcW w:w="708" w:type="pct"/>
          </w:tcPr>
          <w:p w14:paraId="63258885" w14:textId="77777777" w:rsidR="00C15F2E" w:rsidRPr="00D96063" w:rsidRDefault="00C15F2E" w:rsidP="00E67238">
            <w:pPr>
              <w:ind w:left="57" w:right="227"/>
              <w:jc w:val="right"/>
              <w:rPr>
                <w:sz w:val="14"/>
                <w:szCs w:val="14"/>
              </w:rPr>
            </w:pPr>
            <w:r w:rsidRPr="00D96063">
              <w:rPr>
                <w:sz w:val="14"/>
                <w:szCs w:val="14"/>
              </w:rPr>
              <w:t>13</w:t>
            </w:r>
          </w:p>
        </w:tc>
      </w:tr>
      <w:tr w:rsidR="00C15F2E" w:rsidRPr="00D96063" w14:paraId="5006ACD3"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5A0C9A62" w14:textId="77777777" w:rsidR="00C15F2E" w:rsidRPr="00D96063" w:rsidRDefault="00C15F2E" w:rsidP="00F110D2">
            <w:pPr>
              <w:ind w:left="170" w:hanging="170"/>
              <w:rPr>
                <w:sz w:val="14"/>
                <w:szCs w:val="14"/>
              </w:rPr>
            </w:pPr>
            <w:r w:rsidRPr="00D96063">
              <w:rPr>
                <w:sz w:val="14"/>
                <w:szCs w:val="14"/>
              </w:rPr>
              <w:tab/>
              <w:t>Venture Capital Trust Fund</w:t>
            </w:r>
          </w:p>
        </w:tc>
        <w:tc>
          <w:tcPr>
            <w:tcW w:w="689" w:type="pct"/>
          </w:tcPr>
          <w:p w14:paraId="308B815C"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2EE8581" w14:textId="77777777" w:rsidR="00C15F2E" w:rsidRPr="00D96063" w:rsidRDefault="00C15F2E" w:rsidP="00E67238">
            <w:pPr>
              <w:ind w:left="57" w:right="227"/>
              <w:jc w:val="right"/>
              <w:rPr>
                <w:sz w:val="14"/>
                <w:szCs w:val="14"/>
              </w:rPr>
            </w:pPr>
            <w:r w:rsidRPr="00D96063">
              <w:rPr>
                <w:sz w:val="14"/>
                <w:szCs w:val="14"/>
              </w:rPr>
              <w:t>0</w:t>
            </w:r>
          </w:p>
        </w:tc>
        <w:tc>
          <w:tcPr>
            <w:tcW w:w="708" w:type="pct"/>
          </w:tcPr>
          <w:p w14:paraId="438492F5"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43DEA885" w14:textId="77777777" w:rsidTr="009874CF">
        <w:tc>
          <w:tcPr>
            <w:tcW w:w="2903" w:type="pct"/>
          </w:tcPr>
          <w:p w14:paraId="2B21031B" w14:textId="77777777" w:rsidR="00C15F2E" w:rsidRPr="00D96063" w:rsidRDefault="00C15F2E" w:rsidP="00F110D2">
            <w:pPr>
              <w:ind w:left="170" w:hanging="170"/>
              <w:rPr>
                <w:sz w:val="14"/>
                <w:szCs w:val="14"/>
              </w:rPr>
            </w:pPr>
            <w:r w:rsidRPr="00D96063">
              <w:rPr>
                <w:sz w:val="14"/>
                <w:szCs w:val="14"/>
              </w:rPr>
              <w:tab/>
              <w:t>SIC Life Company Limited</w:t>
            </w:r>
          </w:p>
        </w:tc>
        <w:tc>
          <w:tcPr>
            <w:tcW w:w="689" w:type="pct"/>
          </w:tcPr>
          <w:p w14:paraId="2C80DE3A" w14:textId="77777777" w:rsidR="00C15F2E" w:rsidRPr="00D96063" w:rsidRDefault="00C15F2E" w:rsidP="00E67238">
            <w:pPr>
              <w:ind w:left="57" w:right="227"/>
              <w:jc w:val="right"/>
              <w:rPr>
                <w:sz w:val="14"/>
                <w:szCs w:val="14"/>
              </w:rPr>
            </w:pPr>
            <w:r w:rsidRPr="00D96063">
              <w:rPr>
                <w:sz w:val="14"/>
                <w:szCs w:val="14"/>
              </w:rPr>
              <w:t>80</w:t>
            </w:r>
          </w:p>
        </w:tc>
        <w:tc>
          <w:tcPr>
            <w:tcW w:w="700" w:type="pct"/>
          </w:tcPr>
          <w:p w14:paraId="66DA327B" w14:textId="77777777" w:rsidR="00C15F2E" w:rsidRPr="00D96063" w:rsidRDefault="00C15F2E" w:rsidP="00E67238">
            <w:pPr>
              <w:ind w:left="57" w:right="227"/>
              <w:jc w:val="right"/>
              <w:rPr>
                <w:sz w:val="14"/>
                <w:szCs w:val="14"/>
              </w:rPr>
            </w:pPr>
            <w:r w:rsidRPr="00D96063">
              <w:rPr>
                <w:sz w:val="14"/>
                <w:szCs w:val="14"/>
              </w:rPr>
              <w:t xml:space="preserve">n.a. </w:t>
            </w:r>
          </w:p>
        </w:tc>
        <w:tc>
          <w:tcPr>
            <w:tcW w:w="708" w:type="pct"/>
          </w:tcPr>
          <w:p w14:paraId="5BCF8999" w14:textId="77777777" w:rsidR="00C15F2E" w:rsidRPr="00D96063" w:rsidRDefault="00C15F2E" w:rsidP="00E67238">
            <w:pPr>
              <w:ind w:left="57" w:right="227"/>
              <w:jc w:val="right"/>
              <w:rPr>
                <w:sz w:val="14"/>
                <w:szCs w:val="14"/>
              </w:rPr>
            </w:pPr>
            <w:r w:rsidRPr="00D96063">
              <w:rPr>
                <w:sz w:val="14"/>
                <w:szCs w:val="14"/>
              </w:rPr>
              <w:t>n.a.</w:t>
            </w:r>
          </w:p>
        </w:tc>
      </w:tr>
      <w:tr w:rsidR="00C15F2E" w:rsidRPr="00D96063" w14:paraId="0CB746E8"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4FF3CC69" w14:textId="77777777" w:rsidR="00C15F2E" w:rsidRPr="00D96063" w:rsidRDefault="00C15F2E" w:rsidP="00F110D2">
            <w:pPr>
              <w:ind w:left="170" w:hanging="170"/>
              <w:rPr>
                <w:sz w:val="14"/>
                <w:szCs w:val="14"/>
              </w:rPr>
            </w:pPr>
            <w:r w:rsidRPr="00D96063">
              <w:rPr>
                <w:sz w:val="14"/>
                <w:szCs w:val="14"/>
              </w:rPr>
              <w:tab/>
              <w:t>ESLA</w:t>
            </w:r>
          </w:p>
        </w:tc>
        <w:tc>
          <w:tcPr>
            <w:tcW w:w="689" w:type="pct"/>
          </w:tcPr>
          <w:p w14:paraId="56F5A6AB"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2907D5C0" w14:textId="77777777" w:rsidR="00C15F2E" w:rsidRPr="00D96063" w:rsidRDefault="00C15F2E" w:rsidP="00E67238">
            <w:pPr>
              <w:ind w:left="57" w:right="227"/>
              <w:jc w:val="right"/>
              <w:rPr>
                <w:sz w:val="14"/>
                <w:szCs w:val="14"/>
              </w:rPr>
            </w:pPr>
            <w:r w:rsidRPr="00D96063">
              <w:rPr>
                <w:sz w:val="14"/>
                <w:szCs w:val="14"/>
              </w:rPr>
              <w:t>215</w:t>
            </w:r>
          </w:p>
        </w:tc>
        <w:tc>
          <w:tcPr>
            <w:tcW w:w="708" w:type="pct"/>
          </w:tcPr>
          <w:p w14:paraId="2C9FE23F" w14:textId="77777777" w:rsidR="00C15F2E" w:rsidRPr="00D96063" w:rsidRDefault="00C15F2E" w:rsidP="00E67238">
            <w:pPr>
              <w:ind w:left="57" w:right="227"/>
              <w:jc w:val="right"/>
              <w:rPr>
                <w:sz w:val="14"/>
                <w:szCs w:val="14"/>
              </w:rPr>
            </w:pPr>
            <w:r w:rsidRPr="00D96063">
              <w:rPr>
                <w:sz w:val="14"/>
                <w:szCs w:val="14"/>
              </w:rPr>
              <w:t>3</w:t>
            </w:r>
          </w:p>
        </w:tc>
      </w:tr>
      <w:tr w:rsidR="00C15F2E" w:rsidRPr="00D96063" w14:paraId="60D3327A" w14:textId="77777777" w:rsidTr="009874CF">
        <w:tc>
          <w:tcPr>
            <w:tcW w:w="2903" w:type="pct"/>
          </w:tcPr>
          <w:p w14:paraId="6E27F8B6" w14:textId="77777777" w:rsidR="00C15F2E" w:rsidRPr="00D96063" w:rsidRDefault="00C15F2E" w:rsidP="00F110D2">
            <w:pPr>
              <w:ind w:left="170" w:hanging="170"/>
              <w:rPr>
                <w:sz w:val="14"/>
                <w:szCs w:val="14"/>
              </w:rPr>
            </w:pPr>
            <w:r w:rsidRPr="00D96063">
              <w:rPr>
                <w:sz w:val="14"/>
                <w:szCs w:val="14"/>
              </w:rPr>
              <w:tab/>
              <w:t>Ghana Amalgamated Trust (GAT)</w:t>
            </w:r>
          </w:p>
        </w:tc>
        <w:tc>
          <w:tcPr>
            <w:tcW w:w="689" w:type="pct"/>
          </w:tcPr>
          <w:p w14:paraId="0E7D546F"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91CD29B" w14:textId="77777777" w:rsidR="00C15F2E" w:rsidRPr="00D96063" w:rsidRDefault="00C15F2E" w:rsidP="00E67238">
            <w:pPr>
              <w:ind w:left="57" w:right="227"/>
              <w:jc w:val="right"/>
              <w:rPr>
                <w:sz w:val="14"/>
                <w:szCs w:val="14"/>
              </w:rPr>
            </w:pPr>
            <w:r w:rsidRPr="00D96063">
              <w:rPr>
                <w:sz w:val="14"/>
                <w:szCs w:val="14"/>
              </w:rPr>
              <w:t>5</w:t>
            </w:r>
          </w:p>
        </w:tc>
        <w:tc>
          <w:tcPr>
            <w:tcW w:w="708" w:type="pct"/>
          </w:tcPr>
          <w:p w14:paraId="61C86B8F"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56EFFB6B"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214450E2" w14:textId="77777777" w:rsidR="00C15F2E" w:rsidRPr="00D96063" w:rsidRDefault="00C15F2E" w:rsidP="00720AE7">
            <w:pPr>
              <w:ind w:left="170" w:hanging="170"/>
              <w:rPr>
                <w:sz w:val="14"/>
                <w:szCs w:val="14"/>
              </w:rPr>
            </w:pPr>
            <w:r w:rsidRPr="00D96063">
              <w:rPr>
                <w:sz w:val="14"/>
                <w:szCs w:val="14"/>
              </w:rPr>
              <w:tab/>
              <w:t>Ghana EXIM Bank</w:t>
            </w:r>
          </w:p>
        </w:tc>
        <w:tc>
          <w:tcPr>
            <w:tcW w:w="689" w:type="pct"/>
          </w:tcPr>
          <w:p w14:paraId="54DFAA6B"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2399AD2E" w14:textId="77777777" w:rsidR="00C15F2E" w:rsidRPr="00D96063" w:rsidRDefault="00C15F2E" w:rsidP="00E67238">
            <w:pPr>
              <w:ind w:left="57" w:right="227"/>
              <w:jc w:val="right"/>
              <w:rPr>
                <w:sz w:val="14"/>
                <w:szCs w:val="14"/>
              </w:rPr>
            </w:pPr>
            <w:r w:rsidRPr="00D96063">
              <w:rPr>
                <w:sz w:val="14"/>
                <w:szCs w:val="14"/>
              </w:rPr>
              <w:t>32</w:t>
            </w:r>
          </w:p>
        </w:tc>
        <w:tc>
          <w:tcPr>
            <w:tcW w:w="708" w:type="pct"/>
          </w:tcPr>
          <w:p w14:paraId="59957D2D" w14:textId="77777777" w:rsidR="00C15F2E" w:rsidRPr="00D96063" w:rsidRDefault="00C15F2E" w:rsidP="00E67238">
            <w:pPr>
              <w:ind w:left="57" w:right="227"/>
              <w:jc w:val="right"/>
              <w:rPr>
                <w:sz w:val="14"/>
                <w:szCs w:val="14"/>
              </w:rPr>
            </w:pPr>
            <w:r w:rsidRPr="00D96063">
              <w:rPr>
                <w:sz w:val="14"/>
                <w:szCs w:val="14"/>
              </w:rPr>
              <w:t>10</w:t>
            </w:r>
          </w:p>
        </w:tc>
      </w:tr>
      <w:tr w:rsidR="00C15F2E" w:rsidRPr="00D96063" w14:paraId="524D0E84" w14:textId="77777777" w:rsidTr="009874CF">
        <w:tc>
          <w:tcPr>
            <w:tcW w:w="2903" w:type="pct"/>
          </w:tcPr>
          <w:p w14:paraId="4F8D0A11" w14:textId="77777777" w:rsidR="00C15F2E" w:rsidRPr="00D96063" w:rsidRDefault="00C15F2E" w:rsidP="00F110D2">
            <w:pPr>
              <w:ind w:left="113" w:hanging="113"/>
              <w:rPr>
                <w:sz w:val="14"/>
                <w:szCs w:val="14"/>
              </w:rPr>
            </w:pPr>
            <w:r w:rsidRPr="00D96063">
              <w:rPr>
                <w:sz w:val="14"/>
                <w:szCs w:val="14"/>
              </w:rPr>
              <w:tab/>
              <w:t xml:space="preserve"> Ghana RE</w:t>
            </w:r>
          </w:p>
        </w:tc>
        <w:tc>
          <w:tcPr>
            <w:tcW w:w="689" w:type="pct"/>
          </w:tcPr>
          <w:p w14:paraId="70C811FA"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666A1ED" w14:textId="77777777" w:rsidR="00C15F2E" w:rsidRPr="00D96063" w:rsidRDefault="00C15F2E" w:rsidP="00E67238">
            <w:pPr>
              <w:ind w:left="57" w:right="227"/>
              <w:jc w:val="right"/>
              <w:rPr>
                <w:sz w:val="14"/>
                <w:szCs w:val="14"/>
              </w:rPr>
            </w:pPr>
            <w:r w:rsidRPr="00D96063">
              <w:rPr>
                <w:sz w:val="14"/>
                <w:szCs w:val="14"/>
              </w:rPr>
              <w:t>57</w:t>
            </w:r>
          </w:p>
        </w:tc>
        <w:tc>
          <w:tcPr>
            <w:tcW w:w="708" w:type="pct"/>
          </w:tcPr>
          <w:p w14:paraId="6A5ECF8C" w14:textId="77777777" w:rsidR="00C15F2E" w:rsidRPr="00D96063" w:rsidRDefault="00C15F2E" w:rsidP="00E67238">
            <w:pPr>
              <w:ind w:left="57" w:right="227"/>
              <w:jc w:val="right"/>
              <w:rPr>
                <w:sz w:val="14"/>
                <w:szCs w:val="14"/>
              </w:rPr>
            </w:pPr>
            <w:r w:rsidRPr="00D96063">
              <w:rPr>
                <w:sz w:val="14"/>
                <w:szCs w:val="14"/>
              </w:rPr>
              <w:t>8</w:t>
            </w:r>
          </w:p>
        </w:tc>
      </w:tr>
      <w:tr w:rsidR="00C15F2E" w:rsidRPr="00D96063" w14:paraId="0B575236"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7132C3EE" w14:textId="77777777" w:rsidR="00C15F2E" w:rsidRPr="00D96063" w:rsidRDefault="00C15F2E" w:rsidP="00F110D2">
            <w:pPr>
              <w:ind w:left="113" w:hanging="113"/>
              <w:rPr>
                <w:sz w:val="14"/>
                <w:szCs w:val="14"/>
              </w:rPr>
            </w:pPr>
            <w:r w:rsidRPr="00D96063">
              <w:rPr>
                <w:sz w:val="14"/>
                <w:szCs w:val="14"/>
              </w:rPr>
              <w:tab/>
              <w:t xml:space="preserve"> National Housing and Mortgage Fund </w:t>
            </w:r>
          </w:p>
        </w:tc>
        <w:tc>
          <w:tcPr>
            <w:tcW w:w="689" w:type="pct"/>
          </w:tcPr>
          <w:p w14:paraId="43936378"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085BBC8D" w14:textId="77777777" w:rsidR="00C15F2E" w:rsidRPr="00D96063" w:rsidRDefault="00C15F2E" w:rsidP="00E67238">
            <w:pPr>
              <w:ind w:left="57" w:right="227"/>
              <w:jc w:val="right"/>
              <w:rPr>
                <w:sz w:val="14"/>
                <w:szCs w:val="14"/>
              </w:rPr>
            </w:pPr>
            <w:r w:rsidRPr="00D96063">
              <w:rPr>
                <w:sz w:val="14"/>
                <w:szCs w:val="14"/>
              </w:rPr>
              <w:t>8</w:t>
            </w:r>
          </w:p>
        </w:tc>
        <w:tc>
          <w:tcPr>
            <w:tcW w:w="708" w:type="pct"/>
          </w:tcPr>
          <w:p w14:paraId="425D2B6A" w14:textId="77777777" w:rsidR="00C15F2E" w:rsidRPr="00D96063" w:rsidRDefault="00C15F2E" w:rsidP="00E67238">
            <w:pPr>
              <w:ind w:left="57" w:right="227"/>
              <w:jc w:val="right"/>
              <w:rPr>
                <w:sz w:val="14"/>
                <w:szCs w:val="14"/>
              </w:rPr>
            </w:pPr>
            <w:r w:rsidRPr="00D96063">
              <w:rPr>
                <w:sz w:val="14"/>
                <w:szCs w:val="14"/>
              </w:rPr>
              <w:t>8</w:t>
            </w:r>
          </w:p>
        </w:tc>
      </w:tr>
      <w:tr w:rsidR="00C15F2E" w:rsidRPr="00D96063" w14:paraId="3312FFD1" w14:textId="77777777" w:rsidTr="009874CF">
        <w:tc>
          <w:tcPr>
            <w:tcW w:w="2903" w:type="pct"/>
          </w:tcPr>
          <w:p w14:paraId="2FF986C8" w14:textId="77777777" w:rsidR="00C15F2E" w:rsidRPr="00D96063" w:rsidRDefault="00C15F2E" w:rsidP="00F110D2">
            <w:pPr>
              <w:ind w:left="170" w:hanging="170"/>
              <w:rPr>
                <w:sz w:val="14"/>
                <w:szCs w:val="14"/>
              </w:rPr>
            </w:pPr>
            <w:r w:rsidRPr="00D96063">
              <w:rPr>
                <w:sz w:val="14"/>
                <w:szCs w:val="14"/>
              </w:rPr>
              <w:tab/>
              <w:t>Integrated Rural Development Project-Social Investment Fund</w:t>
            </w:r>
          </w:p>
        </w:tc>
        <w:tc>
          <w:tcPr>
            <w:tcW w:w="689" w:type="pct"/>
          </w:tcPr>
          <w:p w14:paraId="12B48418"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323C539A" w14:textId="77777777" w:rsidR="00C15F2E" w:rsidRPr="00D96063" w:rsidRDefault="00C15F2E" w:rsidP="00E67238">
            <w:pPr>
              <w:ind w:left="57" w:right="227"/>
              <w:jc w:val="right"/>
              <w:rPr>
                <w:sz w:val="14"/>
                <w:szCs w:val="14"/>
              </w:rPr>
            </w:pPr>
            <w:r w:rsidRPr="00D96063">
              <w:rPr>
                <w:sz w:val="14"/>
                <w:szCs w:val="14"/>
              </w:rPr>
              <w:t>6</w:t>
            </w:r>
          </w:p>
        </w:tc>
        <w:tc>
          <w:tcPr>
            <w:tcW w:w="708" w:type="pct"/>
          </w:tcPr>
          <w:p w14:paraId="4F600E57"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7919A65F"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7AECB117" w14:textId="77777777" w:rsidR="00C15F2E" w:rsidRPr="00D96063" w:rsidRDefault="00C15F2E" w:rsidP="00F110D2">
            <w:pPr>
              <w:rPr>
                <w:b/>
                <w:bCs/>
                <w:sz w:val="14"/>
                <w:szCs w:val="14"/>
              </w:rPr>
            </w:pPr>
            <w:r w:rsidRPr="00D96063">
              <w:rPr>
                <w:b/>
                <w:bCs/>
                <w:sz w:val="14"/>
                <w:szCs w:val="14"/>
              </w:rPr>
              <w:t>5. Infrastructure sector</w:t>
            </w:r>
          </w:p>
        </w:tc>
        <w:tc>
          <w:tcPr>
            <w:tcW w:w="689" w:type="pct"/>
          </w:tcPr>
          <w:p w14:paraId="6552BA16" w14:textId="77777777" w:rsidR="00C15F2E" w:rsidRPr="00D96063" w:rsidRDefault="00C15F2E" w:rsidP="00E67238">
            <w:pPr>
              <w:ind w:left="57" w:right="227"/>
              <w:jc w:val="right"/>
              <w:rPr>
                <w:sz w:val="14"/>
                <w:szCs w:val="14"/>
              </w:rPr>
            </w:pPr>
          </w:p>
        </w:tc>
        <w:tc>
          <w:tcPr>
            <w:tcW w:w="700" w:type="pct"/>
          </w:tcPr>
          <w:p w14:paraId="31B9CC37" w14:textId="77777777" w:rsidR="00C15F2E" w:rsidRPr="00D96063" w:rsidRDefault="00C15F2E" w:rsidP="00E67238">
            <w:pPr>
              <w:ind w:left="57" w:right="227"/>
              <w:jc w:val="right"/>
              <w:rPr>
                <w:sz w:val="14"/>
                <w:szCs w:val="14"/>
              </w:rPr>
            </w:pPr>
          </w:p>
        </w:tc>
        <w:tc>
          <w:tcPr>
            <w:tcW w:w="708" w:type="pct"/>
          </w:tcPr>
          <w:p w14:paraId="3FDC14E0" w14:textId="77777777" w:rsidR="00C15F2E" w:rsidRPr="00D96063" w:rsidRDefault="00C15F2E" w:rsidP="00E67238">
            <w:pPr>
              <w:ind w:left="57" w:right="227"/>
              <w:jc w:val="right"/>
              <w:rPr>
                <w:sz w:val="14"/>
                <w:szCs w:val="14"/>
              </w:rPr>
            </w:pPr>
          </w:p>
        </w:tc>
      </w:tr>
      <w:tr w:rsidR="00C15F2E" w:rsidRPr="00D96063" w14:paraId="060EB7F7" w14:textId="77777777" w:rsidTr="009874CF">
        <w:tc>
          <w:tcPr>
            <w:tcW w:w="2903" w:type="pct"/>
          </w:tcPr>
          <w:p w14:paraId="681071E9" w14:textId="77777777" w:rsidR="00C15F2E" w:rsidRPr="00D96063" w:rsidRDefault="00C15F2E" w:rsidP="00F110D2">
            <w:pPr>
              <w:ind w:left="170" w:hanging="170"/>
              <w:rPr>
                <w:sz w:val="14"/>
                <w:szCs w:val="14"/>
              </w:rPr>
            </w:pPr>
            <w:r w:rsidRPr="00D96063">
              <w:rPr>
                <w:sz w:val="14"/>
                <w:szCs w:val="14"/>
              </w:rPr>
              <w:tab/>
              <w:t>Metro Mass Transit Limited</w:t>
            </w:r>
          </w:p>
        </w:tc>
        <w:tc>
          <w:tcPr>
            <w:tcW w:w="689" w:type="pct"/>
          </w:tcPr>
          <w:p w14:paraId="59EEEAF5" w14:textId="77777777" w:rsidR="00C15F2E" w:rsidRPr="00D96063" w:rsidRDefault="00C15F2E" w:rsidP="00E67238">
            <w:pPr>
              <w:ind w:left="57" w:right="227"/>
              <w:jc w:val="right"/>
              <w:rPr>
                <w:sz w:val="14"/>
                <w:szCs w:val="14"/>
              </w:rPr>
            </w:pPr>
            <w:r w:rsidRPr="00D96063">
              <w:rPr>
                <w:sz w:val="14"/>
                <w:szCs w:val="14"/>
              </w:rPr>
              <w:t>25</w:t>
            </w:r>
          </w:p>
        </w:tc>
        <w:tc>
          <w:tcPr>
            <w:tcW w:w="700" w:type="pct"/>
          </w:tcPr>
          <w:p w14:paraId="3DB8A7C0" w14:textId="77777777" w:rsidR="00C15F2E" w:rsidRPr="00D96063" w:rsidRDefault="00C15F2E" w:rsidP="00E67238">
            <w:pPr>
              <w:ind w:left="57" w:right="227"/>
              <w:jc w:val="right"/>
              <w:rPr>
                <w:sz w:val="14"/>
                <w:szCs w:val="14"/>
              </w:rPr>
            </w:pPr>
            <w:r w:rsidRPr="00D96063">
              <w:rPr>
                <w:sz w:val="14"/>
                <w:szCs w:val="14"/>
              </w:rPr>
              <w:t>22</w:t>
            </w:r>
          </w:p>
        </w:tc>
        <w:tc>
          <w:tcPr>
            <w:tcW w:w="708" w:type="pct"/>
          </w:tcPr>
          <w:p w14:paraId="7008360E" w14:textId="77777777" w:rsidR="00C15F2E" w:rsidRPr="00D96063" w:rsidRDefault="00C15F2E" w:rsidP="00E67238">
            <w:pPr>
              <w:ind w:left="57" w:right="227"/>
              <w:jc w:val="right"/>
              <w:rPr>
                <w:sz w:val="14"/>
                <w:szCs w:val="14"/>
              </w:rPr>
            </w:pPr>
            <w:r w:rsidRPr="00D96063">
              <w:rPr>
                <w:sz w:val="14"/>
                <w:szCs w:val="14"/>
              </w:rPr>
              <w:t>-6</w:t>
            </w:r>
          </w:p>
        </w:tc>
      </w:tr>
      <w:tr w:rsidR="00C15F2E" w:rsidRPr="00D96063" w14:paraId="0E072A75"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7DB44263" w14:textId="77777777" w:rsidR="00C15F2E" w:rsidRPr="00D96063" w:rsidRDefault="00C15F2E" w:rsidP="00F110D2">
            <w:pPr>
              <w:ind w:left="170" w:hanging="170"/>
              <w:rPr>
                <w:sz w:val="14"/>
                <w:szCs w:val="14"/>
              </w:rPr>
            </w:pPr>
            <w:r w:rsidRPr="00D96063">
              <w:rPr>
                <w:sz w:val="14"/>
                <w:szCs w:val="14"/>
              </w:rPr>
              <w:tab/>
              <w:t>National Theatre of Ghana</w:t>
            </w:r>
          </w:p>
        </w:tc>
        <w:tc>
          <w:tcPr>
            <w:tcW w:w="689" w:type="pct"/>
          </w:tcPr>
          <w:p w14:paraId="0763D0FF"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1B557206" w14:textId="77777777" w:rsidR="00C15F2E" w:rsidRPr="00D96063" w:rsidRDefault="00C15F2E" w:rsidP="00E67238">
            <w:pPr>
              <w:ind w:left="57" w:right="227"/>
              <w:jc w:val="right"/>
              <w:rPr>
                <w:sz w:val="14"/>
                <w:szCs w:val="14"/>
              </w:rPr>
            </w:pPr>
            <w:r w:rsidRPr="00D96063">
              <w:rPr>
                <w:sz w:val="14"/>
                <w:szCs w:val="14"/>
              </w:rPr>
              <w:t>1</w:t>
            </w:r>
          </w:p>
        </w:tc>
        <w:tc>
          <w:tcPr>
            <w:tcW w:w="708" w:type="pct"/>
          </w:tcPr>
          <w:p w14:paraId="38040A2D"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01853118" w14:textId="77777777" w:rsidTr="009874CF">
        <w:tc>
          <w:tcPr>
            <w:tcW w:w="2903" w:type="pct"/>
          </w:tcPr>
          <w:p w14:paraId="43F47045" w14:textId="77777777" w:rsidR="00C15F2E" w:rsidRPr="00D96063" w:rsidRDefault="00C15F2E" w:rsidP="00F110D2">
            <w:pPr>
              <w:ind w:left="170" w:hanging="170"/>
              <w:rPr>
                <w:sz w:val="14"/>
                <w:szCs w:val="14"/>
              </w:rPr>
            </w:pPr>
            <w:r w:rsidRPr="00D96063">
              <w:rPr>
                <w:sz w:val="14"/>
                <w:szCs w:val="14"/>
              </w:rPr>
              <w:tab/>
              <w:t>TDC Development Company Limited</w:t>
            </w:r>
          </w:p>
        </w:tc>
        <w:tc>
          <w:tcPr>
            <w:tcW w:w="689" w:type="pct"/>
          </w:tcPr>
          <w:p w14:paraId="1383CF86"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2BD13F5" w14:textId="77777777" w:rsidR="00C15F2E" w:rsidRPr="00D96063" w:rsidRDefault="00C15F2E" w:rsidP="00E67238">
            <w:pPr>
              <w:ind w:left="57" w:right="227"/>
              <w:jc w:val="right"/>
              <w:rPr>
                <w:sz w:val="14"/>
                <w:szCs w:val="14"/>
              </w:rPr>
            </w:pPr>
            <w:r w:rsidRPr="00D96063">
              <w:rPr>
                <w:sz w:val="14"/>
                <w:szCs w:val="14"/>
              </w:rPr>
              <w:t>15</w:t>
            </w:r>
          </w:p>
        </w:tc>
        <w:tc>
          <w:tcPr>
            <w:tcW w:w="708" w:type="pct"/>
          </w:tcPr>
          <w:p w14:paraId="6AB37465" w14:textId="77777777" w:rsidR="00C15F2E" w:rsidRPr="00D96063" w:rsidRDefault="00C15F2E" w:rsidP="00E67238">
            <w:pPr>
              <w:ind w:left="57" w:right="227"/>
              <w:jc w:val="right"/>
              <w:rPr>
                <w:sz w:val="14"/>
                <w:szCs w:val="14"/>
              </w:rPr>
            </w:pPr>
            <w:r w:rsidRPr="00D96063">
              <w:rPr>
                <w:sz w:val="14"/>
                <w:szCs w:val="14"/>
              </w:rPr>
              <w:t>5</w:t>
            </w:r>
          </w:p>
        </w:tc>
      </w:tr>
      <w:tr w:rsidR="00C15F2E" w:rsidRPr="00D96063" w14:paraId="04954845"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6DB9167F" w14:textId="77777777" w:rsidR="00C15F2E" w:rsidRPr="00D96063" w:rsidRDefault="00C15F2E" w:rsidP="00F110D2">
            <w:pPr>
              <w:ind w:left="170" w:hanging="170"/>
              <w:rPr>
                <w:sz w:val="14"/>
                <w:szCs w:val="14"/>
              </w:rPr>
            </w:pPr>
            <w:r w:rsidRPr="00D96063">
              <w:rPr>
                <w:sz w:val="14"/>
                <w:szCs w:val="14"/>
              </w:rPr>
              <w:tab/>
              <w:t>Ghana Civil Aviation Authority</w:t>
            </w:r>
          </w:p>
        </w:tc>
        <w:tc>
          <w:tcPr>
            <w:tcW w:w="689" w:type="pct"/>
          </w:tcPr>
          <w:p w14:paraId="70A0E97D"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682A669B" w14:textId="77777777" w:rsidR="00C15F2E" w:rsidRPr="00D96063" w:rsidRDefault="00C15F2E" w:rsidP="00E67238">
            <w:pPr>
              <w:ind w:left="57" w:right="227"/>
              <w:jc w:val="right"/>
              <w:rPr>
                <w:sz w:val="14"/>
                <w:szCs w:val="14"/>
              </w:rPr>
            </w:pPr>
            <w:r w:rsidRPr="00D96063">
              <w:rPr>
                <w:sz w:val="14"/>
                <w:szCs w:val="14"/>
              </w:rPr>
              <w:t>50</w:t>
            </w:r>
          </w:p>
        </w:tc>
        <w:tc>
          <w:tcPr>
            <w:tcW w:w="708" w:type="pct"/>
          </w:tcPr>
          <w:p w14:paraId="3DAF2E70"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5CB55749" w14:textId="77777777" w:rsidTr="009874CF">
        <w:tc>
          <w:tcPr>
            <w:tcW w:w="2903" w:type="pct"/>
          </w:tcPr>
          <w:p w14:paraId="6E0240C7" w14:textId="77777777" w:rsidR="00C15F2E" w:rsidRPr="00D96063" w:rsidRDefault="00C15F2E" w:rsidP="00F110D2">
            <w:pPr>
              <w:ind w:left="170" w:hanging="170"/>
              <w:rPr>
                <w:sz w:val="14"/>
                <w:szCs w:val="14"/>
              </w:rPr>
            </w:pPr>
            <w:r w:rsidRPr="00D96063">
              <w:rPr>
                <w:sz w:val="14"/>
                <w:szCs w:val="14"/>
              </w:rPr>
              <w:tab/>
              <w:t>Ghana Ports and Harbours Authority (GPHA)</w:t>
            </w:r>
          </w:p>
        </w:tc>
        <w:tc>
          <w:tcPr>
            <w:tcW w:w="689" w:type="pct"/>
          </w:tcPr>
          <w:p w14:paraId="677BF798"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19D6723D" w14:textId="77777777" w:rsidR="00C15F2E" w:rsidRPr="00D96063" w:rsidRDefault="00C15F2E" w:rsidP="00E67238">
            <w:pPr>
              <w:ind w:left="57" w:right="227"/>
              <w:jc w:val="right"/>
              <w:rPr>
                <w:sz w:val="14"/>
                <w:szCs w:val="14"/>
              </w:rPr>
            </w:pPr>
            <w:r w:rsidRPr="00D96063">
              <w:rPr>
                <w:sz w:val="14"/>
                <w:szCs w:val="14"/>
              </w:rPr>
              <w:t>261</w:t>
            </w:r>
          </w:p>
        </w:tc>
        <w:tc>
          <w:tcPr>
            <w:tcW w:w="708" w:type="pct"/>
          </w:tcPr>
          <w:p w14:paraId="52E956D7" w14:textId="77777777" w:rsidR="00C15F2E" w:rsidRPr="00D96063" w:rsidRDefault="00C15F2E" w:rsidP="00E67238">
            <w:pPr>
              <w:ind w:left="57" w:right="227"/>
              <w:jc w:val="right"/>
              <w:rPr>
                <w:sz w:val="14"/>
                <w:szCs w:val="14"/>
              </w:rPr>
            </w:pPr>
            <w:r w:rsidRPr="00D96063">
              <w:rPr>
                <w:sz w:val="14"/>
                <w:szCs w:val="14"/>
              </w:rPr>
              <w:t>-8</w:t>
            </w:r>
          </w:p>
        </w:tc>
      </w:tr>
      <w:tr w:rsidR="00C15F2E" w:rsidRPr="00D96063" w14:paraId="578E4CE0"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33E27BEA" w14:textId="77777777" w:rsidR="00C15F2E" w:rsidRPr="00D96063" w:rsidRDefault="00C15F2E" w:rsidP="00F110D2">
            <w:pPr>
              <w:ind w:left="170" w:hanging="170"/>
              <w:rPr>
                <w:sz w:val="14"/>
                <w:szCs w:val="14"/>
              </w:rPr>
            </w:pPr>
            <w:r w:rsidRPr="00D96063">
              <w:rPr>
                <w:sz w:val="14"/>
                <w:szCs w:val="14"/>
              </w:rPr>
              <w:tab/>
              <w:t>Architectural and Engineering Services Ltd.</w:t>
            </w:r>
          </w:p>
        </w:tc>
        <w:tc>
          <w:tcPr>
            <w:tcW w:w="689" w:type="pct"/>
          </w:tcPr>
          <w:p w14:paraId="12B8852B"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BD98F33" w14:textId="77777777" w:rsidR="00C15F2E" w:rsidRPr="00D96063" w:rsidRDefault="00C15F2E" w:rsidP="00E67238">
            <w:pPr>
              <w:ind w:left="57" w:right="227"/>
              <w:jc w:val="right"/>
              <w:rPr>
                <w:sz w:val="14"/>
                <w:szCs w:val="14"/>
              </w:rPr>
            </w:pPr>
            <w:r w:rsidRPr="00D96063">
              <w:rPr>
                <w:sz w:val="14"/>
                <w:szCs w:val="14"/>
              </w:rPr>
              <w:t>2</w:t>
            </w:r>
          </w:p>
        </w:tc>
        <w:tc>
          <w:tcPr>
            <w:tcW w:w="708" w:type="pct"/>
          </w:tcPr>
          <w:p w14:paraId="7457636D"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753BDDB1" w14:textId="77777777" w:rsidTr="009874CF">
        <w:tc>
          <w:tcPr>
            <w:tcW w:w="2903" w:type="pct"/>
          </w:tcPr>
          <w:p w14:paraId="09280605" w14:textId="77777777" w:rsidR="00C15F2E" w:rsidRPr="00D96063" w:rsidRDefault="00C15F2E" w:rsidP="00F110D2">
            <w:pPr>
              <w:ind w:left="170" w:hanging="170"/>
              <w:rPr>
                <w:sz w:val="14"/>
                <w:szCs w:val="14"/>
              </w:rPr>
            </w:pPr>
            <w:r w:rsidRPr="00D96063">
              <w:rPr>
                <w:sz w:val="14"/>
                <w:szCs w:val="14"/>
              </w:rPr>
              <w:tab/>
              <w:t>Ghana Airports Company Ltd. (GACL)</w:t>
            </w:r>
          </w:p>
        </w:tc>
        <w:tc>
          <w:tcPr>
            <w:tcW w:w="689" w:type="pct"/>
          </w:tcPr>
          <w:p w14:paraId="5F7B9CB8"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243833CF" w14:textId="77777777" w:rsidR="00C15F2E" w:rsidRPr="00D96063" w:rsidRDefault="00C15F2E" w:rsidP="00E67238">
            <w:pPr>
              <w:ind w:left="57" w:right="227"/>
              <w:jc w:val="right"/>
              <w:rPr>
                <w:sz w:val="14"/>
                <w:szCs w:val="14"/>
              </w:rPr>
            </w:pPr>
            <w:r w:rsidRPr="00D96063">
              <w:rPr>
                <w:sz w:val="14"/>
                <w:szCs w:val="14"/>
              </w:rPr>
              <w:t>150</w:t>
            </w:r>
          </w:p>
        </w:tc>
        <w:tc>
          <w:tcPr>
            <w:tcW w:w="708" w:type="pct"/>
          </w:tcPr>
          <w:p w14:paraId="1B28546F" w14:textId="77777777" w:rsidR="00C15F2E" w:rsidRPr="00D96063" w:rsidRDefault="00C15F2E" w:rsidP="00E67238">
            <w:pPr>
              <w:ind w:left="57" w:right="227"/>
              <w:jc w:val="right"/>
              <w:rPr>
                <w:sz w:val="14"/>
                <w:szCs w:val="14"/>
              </w:rPr>
            </w:pPr>
            <w:r w:rsidRPr="00D96063">
              <w:rPr>
                <w:sz w:val="14"/>
                <w:szCs w:val="14"/>
              </w:rPr>
              <w:t>-37</w:t>
            </w:r>
          </w:p>
        </w:tc>
      </w:tr>
      <w:tr w:rsidR="00C15F2E" w:rsidRPr="00D96063" w14:paraId="2B711B13"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14B4D86C" w14:textId="77777777" w:rsidR="00C15F2E" w:rsidRPr="00D96063" w:rsidRDefault="00C15F2E" w:rsidP="00F110D2">
            <w:pPr>
              <w:ind w:left="170" w:hanging="170"/>
              <w:rPr>
                <w:sz w:val="14"/>
                <w:szCs w:val="14"/>
              </w:rPr>
            </w:pPr>
            <w:r w:rsidRPr="00D96063">
              <w:rPr>
                <w:sz w:val="14"/>
                <w:szCs w:val="14"/>
              </w:rPr>
              <w:tab/>
              <w:t>PSC Tema Shipyard (PSCTS)</w:t>
            </w:r>
          </w:p>
        </w:tc>
        <w:tc>
          <w:tcPr>
            <w:tcW w:w="689" w:type="pct"/>
          </w:tcPr>
          <w:p w14:paraId="78DF6A4B"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2DFDAEE4" w14:textId="77777777" w:rsidR="00C15F2E" w:rsidRPr="00D96063" w:rsidRDefault="00C15F2E" w:rsidP="00E67238">
            <w:pPr>
              <w:ind w:left="57" w:right="227"/>
              <w:jc w:val="right"/>
              <w:rPr>
                <w:sz w:val="14"/>
                <w:szCs w:val="14"/>
              </w:rPr>
            </w:pPr>
            <w:r w:rsidRPr="00D96063">
              <w:rPr>
                <w:sz w:val="14"/>
                <w:szCs w:val="14"/>
              </w:rPr>
              <w:t>5</w:t>
            </w:r>
          </w:p>
        </w:tc>
        <w:tc>
          <w:tcPr>
            <w:tcW w:w="708" w:type="pct"/>
          </w:tcPr>
          <w:p w14:paraId="782B2D2D" w14:textId="77777777" w:rsidR="00C15F2E" w:rsidRPr="00D96063" w:rsidRDefault="00C15F2E" w:rsidP="00E67238">
            <w:pPr>
              <w:ind w:left="57" w:right="227"/>
              <w:jc w:val="right"/>
              <w:rPr>
                <w:sz w:val="14"/>
                <w:szCs w:val="14"/>
              </w:rPr>
            </w:pPr>
            <w:r w:rsidRPr="00D96063">
              <w:rPr>
                <w:sz w:val="14"/>
                <w:szCs w:val="14"/>
              </w:rPr>
              <w:t>-2</w:t>
            </w:r>
          </w:p>
        </w:tc>
      </w:tr>
      <w:tr w:rsidR="00C15F2E" w:rsidRPr="00D96063" w14:paraId="49385CE0" w14:textId="77777777" w:rsidTr="009874CF">
        <w:tc>
          <w:tcPr>
            <w:tcW w:w="2903" w:type="pct"/>
          </w:tcPr>
          <w:p w14:paraId="2D2867F8" w14:textId="77777777" w:rsidR="00C15F2E" w:rsidRPr="00D96063" w:rsidRDefault="00C15F2E" w:rsidP="00F110D2">
            <w:pPr>
              <w:ind w:left="170" w:hanging="170"/>
              <w:rPr>
                <w:sz w:val="14"/>
                <w:szCs w:val="14"/>
              </w:rPr>
            </w:pPr>
            <w:r w:rsidRPr="00D96063">
              <w:rPr>
                <w:sz w:val="14"/>
                <w:szCs w:val="14"/>
              </w:rPr>
              <w:tab/>
              <w:t>Volta Lake Transport Company Limited</w:t>
            </w:r>
          </w:p>
        </w:tc>
        <w:tc>
          <w:tcPr>
            <w:tcW w:w="689" w:type="pct"/>
          </w:tcPr>
          <w:p w14:paraId="02295430"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068F66AB" w14:textId="77777777" w:rsidR="00C15F2E" w:rsidRPr="00D96063" w:rsidRDefault="00C15F2E" w:rsidP="00E67238">
            <w:pPr>
              <w:ind w:left="57" w:right="227"/>
              <w:jc w:val="right"/>
              <w:rPr>
                <w:sz w:val="14"/>
                <w:szCs w:val="14"/>
              </w:rPr>
            </w:pPr>
            <w:r w:rsidRPr="00D96063">
              <w:rPr>
                <w:sz w:val="14"/>
                <w:szCs w:val="14"/>
              </w:rPr>
              <w:t>2</w:t>
            </w:r>
          </w:p>
        </w:tc>
        <w:tc>
          <w:tcPr>
            <w:tcW w:w="708" w:type="pct"/>
          </w:tcPr>
          <w:p w14:paraId="46626E90" w14:textId="77777777" w:rsidR="00C15F2E" w:rsidRPr="00D96063" w:rsidRDefault="00C15F2E" w:rsidP="00E67238">
            <w:pPr>
              <w:ind w:left="57" w:right="227"/>
              <w:jc w:val="right"/>
              <w:rPr>
                <w:sz w:val="14"/>
                <w:szCs w:val="14"/>
              </w:rPr>
            </w:pPr>
            <w:r w:rsidRPr="00D96063">
              <w:rPr>
                <w:sz w:val="14"/>
                <w:szCs w:val="14"/>
              </w:rPr>
              <w:t>-2</w:t>
            </w:r>
          </w:p>
        </w:tc>
      </w:tr>
      <w:tr w:rsidR="00C15F2E" w:rsidRPr="00D96063" w14:paraId="4F56DE35"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124FCE60" w14:textId="77777777" w:rsidR="00C15F2E" w:rsidRPr="00D96063" w:rsidRDefault="00C15F2E" w:rsidP="00F110D2">
            <w:pPr>
              <w:ind w:left="170" w:hanging="170"/>
              <w:rPr>
                <w:sz w:val="14"/>
                <w:szCs w:val="14"/>
              </w:rPr>
            </w:pPr>
            <w:r w:rsidRPr="00D96063">
              <w:rPr>
                <w:sz w:val="14"/>
                <w:szCs w:val="14"/>
              </w:rPr>
              <w:tab/>
              <w:t>Community Water and Sanitation Agency (CWSA)</w:t>
            </w:r>
          </w:p>
        </w:tc>
        <w:tc>
          <w:tcPr>
            <w:tcW w:w="689" w:type="pct"/>
          </w:tcPr>
          <w:p w14:paraId="1AACF9EA"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8FC52F5" w14:textId="77777777" w:rsidR="00C15F2E" w:rsidRPr="00D96063" w:rsidRDefault="00C15F2E" w:rsidP="00E67238">
            <w:pPr>
              <w:ind w:left="57" w:right="227"/>
              <w:jc w:val="right"/>
              <w:rPr>
                <w:sz w:val="14"/>
                <w:szCs w:val="14"/>
              </w:rPr>
            </w:pPr>
            <w:r w:rsidRPr="00D96063">
              <w:rPr>
                <w:sz w:val="14"/>
                <w:szCs w:val="14"/>
              </w:rPr>
              <w:t>38</w:t>
            </w:r>
          </w:p>
        </w:tc>
        <w:tc>
          <w:tcPr>
            <w:tcW w:w="708" w:type="pct"/>
          </w:tcPr>
          <w:p w14:paraId="03076FC1" w14:textId="77777777" w:rsidR="00C15F2E" w:rsidRPr="00D96063" w:rsidRDefault="00C15F2E" w:rsidP="00E67238">
            <w:pPr>
              <w:ind w:left="57" w:right="227"/>
              <w:jc w:val="right"/>
              <w:rPr>
                <w:sz w:val="14"/>
                <w:szCs w:val="14"/>
              </w:rPr>
            </w:pPr>
            <w:r w:rsidRPr="00D96063">
              <w:rPr>
                <w:sz w:val="14"/>
                <w:szCs w:val="14"/>
              </w:rPr>
              <w:t>23</w:t>
            </w:r>
          </w:p>
        </w:tc>
      </w:tr>
      <w:tr w:rsidR="00C15F2E" w:rsidRPr="00D96063" w14:paraId="6C80867E" w14:textId="77777777" w:rsidTr="009874CF">
        <w:tc>
          <w:tcPr>
            <w:tcW w:w="2903" w:type="pct"/>
          </w:tcPr>
          <w:p w14:paraId="52977FB5" w14:textId="77777777" w:rsidR="00C15F2E" w:rsidRPr="00D96063" w:rsidRDefault="00C15F2E" w:rsidP="00F110D2">
            <w:pPr>
              <w:ind w:left="170" w:hanging="170"/>
              <w:rPr>
                <w:sz w:val="14"/>
                <w:szCs w:val="14"/>
              </w:rPr>
            </w:pPr>
            <w:r w:rsidRPr="00D96063">
              <w:rPr>
                <w:sz w:val="14"/>
                <w:szCs w:val="14"/>
              </w:rPr>
              <w:tab/>
              <w:t>Intercity STC Coaches Ltd.</w:t>
            </w:r>
          </w:p>
        </w:tc>
        <w:tc>
          <w:tcPr>
            <w:tcW w:w="689" w:type="pct"/>
          </w:tcPr>
          <w:p w14:paraId="190B152D" w14:textId="77777777" w:rsidR="00C15F2E" w:rsidRPr="00D96063" w:rsidRDefault="00C15F2E" w:rsidP="00E67238">
            <w:pPr>
              <w:ind w:left="57" w:right="227"/>
              <w:jc w:val="right"/>
              <w:rPr>
                <w:sz w:val="14"/>
                <w:szCs w:val="14"/>
              </w:rPr>
            </w:pPr>
            <w:r w:rsidRPr="00D96063">
              <w:rPr>
                <w:sz w:val="14"/>
                <w:szCs w:val="14"/>
              </w:rPr>
              <w:t>20</w:t>
            </w:r>
          </w:p>
        </w:tc>
        <w:tc>
          <w:tcPr>
            <w:tcW w:w="700" w:type="pct"/>
          </w:tcPr>
          <w:p w14:paraId="593831B1" w14:textId="77777777" w:rsidR="00C15F2E" w:rsidRPr="00D96063" w:rsidRDefault="00C15F2E" w:rsidP="00E67238">
            <w:pPr>
              <w:ind w:left="57" w:right="227"/>
              <w:jc w:val="right"/>
              <w:rPr>
                <w:sz w:val="14"/>
                <w:szCs w:val="14"/>
              </w:rPr>
            </w:pPr>
            <w:r w:rsidRPr="00D96063">
              <w:rPr>
                <w:sz w:val="14"/>
                <w:szCs w:val="14"/>
              </w:rPr>
              <w:t>13</w:t>
            </w:r>
          </w:p>
        </w:tc>
        <w:tc>
          <w:tcPr>
            <w:tcW w:w="708" w:type="pct"/>
          </w:tcPr>
          <w:p w14:paraId="5BD7450A" w14:textId="77777777" w:rsidR="00C15F2E" w:rsidRPr="00D96063" w:rsidRDefault="00C15F2E" w:rsidP="00E67238">
            <w:pPr>
              <w:ind w:left="57" w:right="227"/>
              <w:jc w:val="right"/>
              <w:rPr>
                <w:sz w:val="14"/>
                <w:szCs w:val="14"/>
              </w:rPr>
            </w:pPr>
            <w:r w:rsidRPr="00D96063">
              <w:rPr>
                <w:sz w:val="14"/>
                <w:szCs w:val="14"/>
              </w:rPr>
              <w:t>-3</w:t>
            </w:r>
          </w:p>
        </w:tc>
      </w:tr>
      <w:tr w:rsidR="00C15F2E" w:rsidRPr="00D96063" w14:paraId="7B132208"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19B48543" w14:textId="77777777" w:rsidR="00C15F2E" w:rsidRPr="00D96063" w:rsidRDefault="00C15F2E" w:rsidP="00F110D2">
            <w:pPr>
              <w:ind w:left="170" w:hanging="170"/>
              <w:rPr>
                <w:sz w:val="14"/>
                <w:szCs w:val="14"/>
              </w:rPr>
            </w:pPr>
            <w:r w:rsidRPr="00D96063">
              <w:rPr>
                <w:sz w:val="14"/>
                <w:szCs w:val="14"/>
              </w:rPr>
              <w:tab/>
              <w:t>Ghana Highway Authority</w:t>
            </w:r>
          </w:p>
        </w:tc>
        <w:tc>
          <w:tcPr>
            <w:tcW w:w="689" w:type="pct"/>
          </w:tcPr>
          <w:p w14:paraId="3D692DFC"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071603CD" w14:textId="77777777" w:rsidR="00C15F2E" w:rsidRPr="00D96063" w:rsidRDefault="00C15F2E" w:rsidP="00E67238">
            <w:pPr>
              <w:ind w:left="57" w:right="227"/>
              <w:jc w:val="right"/>
              <w:rPr>
                <w:sz w:val="14"/>
                <w:szCs w:val="14"/>
              </w:rPr>
            </w:pPr>
            <w:r w:rsidRPr="00D96063">
              <w:rPr>
                <w:sz w:val="14"/>
                <w:szCs w:val="14"/>
              </w:rPr>
              <w:t>337</w:t>
            </w:r>
          </w:p>
        </w:tc>
        <w:tc>
          <w:tcPr>
            <w:tcW w:w="708" w:type="pct"/>
          </w:tcPr>
          <w:p w14:paraId="729C8E7C"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418829F7" w14:textId="77777777" w:rsidTr="009874CF">
        <w:tc>
          <w:tcPr>
            <w:tcW w:w="2903" w:type="pct"/>
          </w:tcPr>
          <w:p w14:paraId="280D77D5" w14:textId="77777777" w:rsidR="00C15F2E" w:rsidRPr="00D96063" w:rsidRDefault="00C15F2E" w:rsidP="00F110D2">
            <w:pPr>
              <w:ind w:left="170" w:hanging="170"/>
              <w:rPr>
                <w:sz w:val="14"/>
                <w:szCs w:val="14"/>
              </w:rPr>
            </w:pPr>
            <w:r w:rsidRPr="00D96063">
              <w:rPr>
                <w:sz w:val="14"/>
                <w:szCs w:val="14"/>
              </w:rPr>
              <w:tab/>
              <w:t>State Housing Company Ltd. (SHCL)</w:t>
            </w:r>
          </w:p>
        </w:tc>
        <w:tc>
          <w:tcPr>
            <w:tcW w:w="689" w:type="pct"/>
          </w:tcPr>
          <w:p w14:paraId="27BAE1A6"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76F6AC8" w14:textId="77777777" w:rsidR="00C15F2E" w:rsidRPr="00D96063" w:rsidRDefault="00C15F2E" w:rsidP="00E67238">
            <w:pPr>
              <w:ind w:left="57" w:right="227"/>
              <w:jc w:val="right"/>
              <w:rPr>
                <w:sz w:val="14"/>
                <w:szCs w:val="14"/>
              </w:rPr>
            </w:pPr>
            <w:r w:rsidRPr="00D96063">
              <w:rPr>
                <w:sz w:val="14"/>
                <w:szCs w:val="14"/>
              </w:rPr>
              <w:t>7</w:t>
            </w:r>
          </w:p>
        </w:tc>
        <w:tc>
          <w:tcPr>
            <w:tcW w:w="708" w:type="pct"/>
          </w:tcPr>
          <w:p w14:paraId="18604D74" w14:textId="77777777" w:rsidR="00C15F2E" w:rsidRPr="00D96063" w:rsidRDefault="00C15F2E" w:rsidP="00E67238">
            <w:pPr>
              <w:ind w:left="57" w:right="227"/>
              <w:jc w:val="right"/>
              <w:rPr>
                <w:sz w:val="14"/>
                <w:szCs w:val="14"/>
              </w:rPr>
            </w:pPr>
            <w:r w:rsidRPr="00D96063">
              <w:rPr>
                <w:sz w:val="14"/>
                <w:szCs w:val="14"/>
              </w:rPr>
              <w:t>2</w:t>
            </w:r>
          </w:p>
        </w:tc>
      </w:tr>
      <w:tr w:rsidR="00C15F2E" w:rsidRPr="00D96063" w14:paraId="3A41CA00"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1FBEC5DE" w14:textId="77777777" w:rsidR="00C15F2E" w:rsidRPr="00D96063" w:rsidRDefault="00C15F2E" w:rsidP="00F110D2">
            <w:pPr>
              <w:ind w:left="170" w:hanging="170"/>
              <w:rPr>
                <w:sz w:val="14"/>
                <w:szCs w:val="14"/>
              </w:rPr>
            </w:pPr>
            <w:r w:rsidRPr="00D96063">
              <w:rPr>
                <w:sz w:val="14"/>
                <w:szCs w:val="14"/>
              </w:rPr>
              <w:tab/>
              <w:t>Ghana Housing Authority (GSA)</w:t>
            </w:r>
          </w:p>
        </w:tc>
        <w:tc>
          <w:tcPr>
            <w:tcW w:w="689" w:type="pct"/>
          </w:tcPr>
          <w:p w14:paraId="74B9A705"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11494EB3" w14:textId="77777777" w:rsidR="00C15F2E" w:rsidRPr="00D96063" w:rsidRDefault="00C15F2E" w:rsidP="00E67238">
            <w:pPr>
              <w:ind w:left="57" w:right="227"/>
              <w:jc w:val="right"/>
              <w:rPr>
                <w:sz w:val="14"/>
                <w:szCs w:val="14"/>
              </w:rPr>
            </w:pPr>
            <w:r w:rsidRPr="00D96063">
              <w:rPr>
                <w:sz w:val="14"/>
                <w:szCs w:val="14"/>
              </w:rPr>
              <w:t>337</w:t>
            </w:r>
          </w:p>
        </w:tc>
        <w:tc>
          <w:tcPr>
            <w:tcW w:w="708" w:type="pct"/>
          </w:tcPr>
          <w:p w14:paraId="445CE173"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626BEB09" w14:textId="77777777" w:rsidTr="009874CF">
        <w:tc>
          <w:tcPr>
            <w:tcW w:w="2903" w:type="pct"/>
          </w:tcPr>
          <w:p w14:paraId="08EF37F2" w14:textId="77777777" w:rsidR="00C15F2E" w:rsidRPr="00D96063" w:rsidRDefault="00C15F2E" w:rsidP="00F110D2">
            <w:pPr>
              <w:ind w:left="170" w:hanging="170"/>
              <w:rPr>
                <w:sz w:val="14"/>
                <w:szCs w:val="14"/>
              </w:rPr>
            </w:pPr>
            <w:r w:rsidRPr="00D96063">
              <w:rPr>
                <w:sz w:val="14"/>
                <w:szCs w:val="14"/>
              </w:rPr>
              <w:tab/>
              <w:t>Ghana Railway Company Limited</w:t>
            </w:r>
          </w:p>
        </w:tc>
        <w:tc>
          <w:tcPr>
            <w:tcW w:w="689" w:type="pct"/>
          </w:tcPr>
          <w:p w14:paraId="5C41FF80"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6AF3C15E" w14:textId="77777777" w:rsidR="00C15F2E" w:rsidRPr="00D96063" w:rsidRDefault="00C15F2E" w:rsidP="00E67238">
            <w:pPr>
              <w:ind w:left="57" w:right="227"/>
              <w:jc w:val="right"/>
              <w:rPr>
                <w:sz w:val="14"/>
                <w:szCs w:val="14"/>
              </w:rPr>
            </w:pPr>
            <w:r w:rsidRPr="00D96063">
              <w:rPr>
                <w:sz w:val="14"/>
                <w:szCs w:val="14"/>
              </w:rPr>
              <w:t>0</w:t>
            </w:r>
          </w:p>
        </w:tc>
        <w:tc>
          <w:tcPr>
            <w:tcW w:w="708" w:type="pct"/>
          </w:tcPr>
          <w:p w14:paraId="244E1442"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204DABF0"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6124A7E9" w14:textId="77777777" w:rsidR="00C15F2E" w:rsidRPr="00D96063" w:rsidRDefault="00C15F2E" w:rsidP="00F110D2">
            <w:pPr>
              <w:rPr>
                <w:b/>
                <w:bCs/>
                <w:sz w:val="14"/>
                <w:szCs w:val="14"/>
              </w:rPr>
            </w:pPr>
            <w:r w:rsidRPr="00D96063">
              <w:rPr>
                <w:b/>
                <w:bCs/>
                <w:sz w:val="14"/>
                <w:szCs w:val="14"/>
              </w:rPr>
              <w:t>6. Manufacturing sector</w:t>
            </w:r>
          </w:p>
        </w:tc>
        <w:tc>
          <w:tcPr>
            <w:tcW w:w="689" w:type="pct"/>
          </w:tcPr>
          <w:p w14:paraId="564A8835" w14:textId="77777777" w:rsidR="00C15F2E" w:rsidRPr="00D96063" w:rsidRDefault="00C15F2E" w:rsidP="00E67238">
            <w:pPr>
              <w:ind w:left="57" w:right="227"/>
              <w:jc w:val="right"/>
              <w:rPr>
                <w:sz w:val="14"/>
                <w:szCs w:val="14"/>
              </w:rPr>
            </w:pPr>
          </w:p>
        </w:tc>
        <w:tc>
          <w:tcPr>
            <w:tcW w:w="700" w:type="pct"/>
          </w:tcPr>
          <w:p w14:paraId="04584F0C" w14:textId="77777777" w:rsidR="00C15F2E" w:rsidRPr="00D96063" w:rsidRDefault="00C15F2E" w:rsidP="00E67238">
            <w:pPr>
              <w:ind w:left="57" w:right="227"/>
              <w:jc w:val="right"/>
              <w:rPr>
                <w:sz w:val="14"/>
                <w:szCs w:val="14"/>
              </w:rPr>
            </w:pPr>
          </w:p>
        </w:tc>
        <w:tc>
          <w:tcPr>
            <w:tcW w:w="708" w:type="pct"/>
          </w:tcPr>
          <w:p w14:paraId="4ADD2127" w14:textId="77777777" w:rsidR="00C15F2E" w:rsidRPr="00D96063" w:rsidRDefault="00C15F2E" w:rsidP="00E67238">
            <w:pPr>
              <w:ind w:left="57" w:right="227"/>
              <w:jc w:val="right"/>
              <w:rPr>
                <w:sz w:val="14"/>
                <w:szCs w:val="14"/>
              </w:rPr>
            </w:pPr>
          </w:p>
        </w:tc>
      </w:tr>
      <w:tr w:rsidR="00C15F2E" w:rsidRPr="00D96063" w14:paraId="2EC7C914" w14:textId="77777777" w:rsidTr="009874CF">
        <w:tc>
          <w:tcPr>
            <w:tcW w:w="2903" w:type="pct"/>
          </w:tcPr>
          <w:p w14:paraId="5EC9D6B3" w14:textId="77777777" w:rsidR="00C15F2E" w:rsidRPr="00D96063" w:rsidRDefault="00C15F2E" w:rsidP="00F110D2">
            <w:pPr>
              <w:ind w:left="170" w:hanging="170"/>
              <w:rPr>
                <w:sz w:val="14"/>
                <w:szCs w:val="14"/>
              </w:rPr>
            </w:pPr>
            <w:r w:rsidRPr="00D96063">
              <w:rPr>
                <w:sz w:val="14"/>
                <w:szCs w:val="14"/>
              </w:rPr>
              <w:tab/>
              <w:t xml:space="preserve">Ghana Supply Company Limited (GSCL) </w:t>
            </w:r>
          </w:p>
        </w:tc>
        <w:tc>
          <w:tcPr>
            <w:tcW w:w="689" w:type="pct"/>
          </w:tcPr>
          <w:p w14:paraId="003E79EE"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7D85E53" w14:textId="77777777" w:rsidR="00C15F2E" w:rsidRPr="00D96063" w:rsidRDefault="00C15F2E" w:rsidP="00E67238">
            <w:pPr>
              <w:ind w:left="57" w:right="227"/>
              <w:jc w:val="right"/>
              <w:rPr>
                <w:sz w:val="14"/>
                <w:szCs w:val="14"/>
              </w:rPr>
            </w:pPr>
            <w:r w:rsidRPr="00D96063">
              <w:rPr>
                <w:sz w:val="14"/>
                <w:szCs w:val="14"/>
              </w:rPr>
              <w:t>0</w:t>
            </w:r>
          </w:p>
        </w:tc>
        <w:tc>
          <w:tcPr>
            <w:tcW w:w="708" w:type="pct"/>
          </w:tcPr>
          <w:p w14:paraId="42A77F34"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364DA542"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4179E047" w14:textId="77777777" w:rsidR="00C15F2E" w:rsidRPr="00D96063" w:rsidRDefault="00C15F2E" w:rsidP="00F110D2">
            <w:pPr>
              <w:ind w:left="170" w:hanging="170"/>
              <w:rPr>
                <w:sz w:val="14"/>
                <w:szCs w:val="14"/>
              </w:rPr>
            </w:pPr>
            <w:r w:rsidRPr="00D96063">
              <w:rPr>
                <w:sz w:val="14"/>
                <w:szCs w:val="14"/>
              </w:rPr>
              <w:tab/>
              <w:t>Ghana Trade Fair Company Ltd (GTFC)</w:t>
            </w:r>
          </w:p>
        </w:tc>
        <w:tc>
          <w:tcPr>
            <w:tcW w:w="689" w:type="pct"/>
          </w:tcPr>
          <w:p w14:paraId="7B9DDFBA"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29CDDE6" w14:textId="77777777" w:rsidR="00C15F2E" w:rsidRPr="00D96063" w:rsidRDefault="00C15F2E" w:rsidP="00E67238">
            <w:pPr>
              <w:ind w:left="57" w:right="227"/>
              <w:jc w:val="right"/>
              <w:rPr>
                <w:sz w:val="14"/>
                <w:szCs w:val="14"/>
              </w:rPr>
            </w:pPr>
            <w:r w:rsidRPr="00D96063">
              <w:rPr>
                <w:sz w:val="14"/>
                <w:szCs w:val="14"/>
              </w:rPr>
              <w:t>1</w:t>
            </w:r>
          </w:p>
        </w:tc>
        <w:tc>
          <w:tcPr>
            <w:tcW w:w="708" w:type="pct"/>
          </w:tcPr>
          <w:p w14:paraId="06F9C029"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735EBCDC" w14:textId="77777777" w:rsidTr="009874CF">
        <w:tc>
          <w:tcPr>
            <w:tcW w:w="2903" w:type="pct"/>
          </w:tcPr>
          <w:p w14:paraId="5BC9AFF0" w14:textId="77777777" w:rsidR="00C15F2E" w:rsidRPr="00D96063" w:rsidRDefault="00C15F2E" w:rsidP="00F110D2">
            <w:pPr>
              <w:ind w:left="170" w:hanging="170"/>
              <w:rPr>
                <w:sz w:val="14"/>
                <w:szCs w:val="14"/>
              </w:rPr>
            </w:pPr>
            <w:r w:rsidRPr="00D96063">
              <w:rPr>
                <w:sz w:val="14"/>
                <w:szCs w:val="14"/>
              </w:rPr>
              <w:tab/>
              <w:t>GIHOC Distilleries Company Limited</w:t>
            </w:r>
          </w:p>
        </w:tc>
        <w:tc>
          <w:tcPr>
            <w:tcW w:w="689" w:type="pct"/>
          </w:tcPr>
          <w:p w14:paraId="636F77A8"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64E5055" w14:textId="77777777" w:rsidR="00C15F2E" w:rsidRPr="00D96063" w:rsidRDefault="00C15F2E" w:rsidP="00E67238">
            <w:pPr>
              <w:ind w:left="57" w:right="227"/>
              <w:jc w:val="right"/>
              <w:rPr>
                <w:sz w:val="14"/>
                <w:szCs w:val="14"/>
              </w:rPr>
            </w:pPr>
            <w:r w:rsidRPr="00D96063">
              <w:rPr>
                <w:sz w:val="14"/>
                <w:szCs w:val="14"/>
              </w:rPr>
              <w:t>13</w:t>
            </w:r>
          </w:p>
        </w:tc>
        <w:tc>
          <w:tcPr>
            <w:tcW w:w="708" w:type="pct"/>
          </w:tcPr>
          <w:p w14:paraId="456CA0B9" w14:textId="77777777" w:rsidR="00C15F2E" w:rsidRPr="00D96063" w:rsidRDefault="00C15F2E" w:rsidP="00E67238">
            <w:pPr>
              <w:ind w:left="57" w:right="227"/>
              <w:jc w:val="right"/>
              <w:rPr>
                <w:sz w:val="14"/>
                <w:szCs w:val="14"/>
              </w:rPr>
            </w:pPr>
            <w:r w:rsidRPr="00D96063">
              <w:rPr>
                <w:sz w:val="14"/>
                <w:szCs w:val="14"/>
              </w:rPr>
              <w:t>0</w:t>
            </w:r>
          </w:p>
        </w:tc>
      </w:tr>
      <w:tr w:rsidR="00C15F2E" w:rsidRPr="00D96063" w14:paraId="054D1410"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14803418" w14:textId="77777777" w:rsidR="00C15F2E" w:rsidRPr="00D96063" w:rsidRDefault="00C15F2E" w:rsidP="00F110D2">
            <w:pPr>
              <w:ind w:left="170" w:hanging="170"/>
              <w:rPr>
                <w:sz w:val="14"/>
                <w:szCs w:val="14"/>
              </w:rPr>
            </w:pPr>
            <w:r w:rsidRPr="00D96063">
              <w:rPr>
                <w:sz w:val="14"/>
                <w:szCs w:val="14"/>
              </w:rPr>
              <w:tab/>
              <w:t>Precious Minerals Marketing Company (PMMC)</w:t>
            </w:r>
          </w:p>
        </w:tc>
        <w:tc>
          <w:tcPr>
            <w:tcW w:w="689" w:type="pct"/>
          </w:tcPr>
          <w:p w14:paraId="155B2D0D"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65DC0544" w14:textId="77777777" w:rsidR="00C15F2E" w:rsidRPr="00D96063" w:rsidRDefault="00C15F2E" w:rsidP="00E67238">
            <w:pPr>
              <w:ind w:left="57" w:right="227"/>
              <w:jc w:val="right"/>
              <w:rPr>
                <w:sz w:val="14"/>
                <w:szCs w:val="14"/>
              </w:rPr>
            </w:pPr>
            <w:r w:rsidRPr="00D96063">
              <w:rPr>
                <w:sz w:val="14"/>
                <w:szCs w:val="14"/>
              </w:rPr>
              <w:t>5</w:t>
            </w:r>
          </w:p>
        </w:tc>
        <w:tc>
          <w:tcPr>
            <w:tcW w:w="708" w:type="pct"/>
          </w:tcPr>
          <w:p w14:paraId="44C2EEB9"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1D32905D" w14:textId="77777777" w:rsidTr="009874CF">
        <w:tc>
          <w:tcPr>
            <w:tcW w:w="2903" w:type="pct"/>
          </w:tcPr>
          <w:p w14:paraId="79077004" w14:textId="77777777" w:rsidR="00C15F2E" w:rsidRPr="00D96063" w:rsidRDefault="00C15F2E" w:rsidP="00F110D2">
            <w:pPr>
              <w:ind w:left="170" w:hanging="170"/>
              <w:rPr>
                <w:sz w:val="14"/>
                <w:szCs w:val="14"/>
              </w:rPr>
            </w:pPr>
            <w:r w:rsidRPr="00D96063">
              <w:rPr>
                <w:sz w:val="14"/>
                <w:szCs w:val="14"/>
              </w:rPr>
              <w:tab/>
              <w:t>Volta Aluminium Company Ltd. (VALCO)</w:t>
            </w:r>
          </w:p>
        </w:tc>
        <w:tc>
          <w:tcPr>
            <w:tcW w:w="689" w:type="pct"/>
          </w:tcPr>
          <w:p w14:paraId="2D61513A"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0975D6A5" w14:textId="77777777" w:rsidR="00C15F2E" w:rsidRPr="00D96063" w:rsidRDefault="00C15F2E" w:rsidP="00E67238">
            <w:pPr>
              <w:ind w:left="57" w:right="227"/>
              <w:jc w:val="right"/>
              <w:rPr>
                <w:sz w:val="14"/>
                <w:szCs w:val="14"/>
              </w:rPr>
            </w:pPr>
            <w:r w:rsidRPr="00D96063">
              <w:rPr>
                <w:sz w:val="14"/>
                <w:szCs w:val="14"/>
              </w:rPr>
              <w:t>90</w:t>
            </w:r>
          </w:p>
        </w:tc>
        <w:tc>
          <w:tcPr>
            <w:tcW w:w="708" w:type="pct"/>
          </w:tcPr>
          <w:p w14:paraId="08B830BE" w14:textId="77777777" w:rsidR="00C15F2E" w:rsidRPr="00D96063" w:rsidRDefault="00C15F2E" w:rsidP="00E67238">
            <w:pPr>
              <w:ind w:left="57" w:right="227"/>
              <w:jc w:val="right"/>
              <w:rPr>
                <w:sz w:val="14"/>
                <w:szCs w:val="14"/>
              </w:rPr>
            </w:pPr>
            <w:r w:rsidRPr="00D96063">
              <w:rPr>
                <w:sz w:val="14"/>
                <w:szCs w:val="14"/>
              </w:rPr>
              <w:t>-46</w:t>
            </w:r>
          </w:p>
        </w:tc>
      </w:tr>
      <w:tr w:rsidR="00C15F2E" w:rsidRPr="00D96063" w14:paraId="1E6E80AA"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37D90120" w14:textId="77777777" w:rsidR="00C15F2E" w:rsidRPr="00D96063" w:rsidRDefault="00C15F2E" w:rsidP="00F110D2">
            <w:pPr>
              <w:ind w:left="170" w:hanging="170"/>
              <w:rPr>
                <w:sz w:val="14"/>
                <w:szCs w:val="14"/>
              </w:rPr>
            </w:pPr>
            <w:r w:rsidRPr="00D96063">
              <w:rPr>
                <w:sz w:val="14"/>
                <w:szCs w:val="14"/>
              </w:rPr>
              <w:tab/>
              <w:t>GIADEC</w:t>
            </w:r>
          </w:p>
        </w:tc>
        <w:tc>
          <w:tcPr>
            <w:tcW w:w="689" w:type="pct"/>
          </w:tcPr>
          <w:p w14:paraId="1B0CEB17"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59A38940" w14:textId="77777777" w:rsidR="00C15F2E" w:rsidRPr="00D96063" w:rsidRDefault="00C15F2E" w:rsidP="00E67238">
            <w:pPr>
              <w:ind w:left="57" w:right="227"/>
              <w:jc w:val="right"/>
              <w:rPr>
                <w:sz w:val="14"/>
                <w:szCs w:val="14"/>
              </w:rPr>
            </w:pPr>
            <w:r w:rsidRPr="00D96063">
              <w:rPr>
                <w:sz w:val="14"/>
                <w:szCs w:val="14"/>
              </w:rPr>
              <w:t>5</w:t>
            </w:r>
          </w:p>
        </w:tc>
        <w:tc>
          <w:tcPr>
            <w:tcW w:w="708" w:type="pct"/>
          </w:tcPr>
          <w:p w14:paraId="71D5496B" w14:textId="77777777" w:rsidR="00C15F2E" w:rsidRPr="00D96063" w:rsidRDefault="00C15F2E" w:rsidP="00E67238">
            <w:pPr>
              <w:ind w:left="57" w:right="227"/>
              <w:jc w:val="right"/>
              <w:rPr>
                <w:sz w:val="14"/>
                <w:szCs w:val="14"/>
              </w:rPr>
            </w:pPr>
            <w:r w:rsidRPr="00D96063">
              <w:rPr>
                <w:sz w:val="14"/>
                <w:szCs w:val="14"/>
              </w:rPr>
              <w:t>2</w:t>
            </w:r>
          </w:p>
        </w:tc>
      </w:tr>
      <w:tr w:rsidR="00C15F2E" w:rsidRPr="00D96063" w14:paraId="7E74A857" w14:textId="77777777" w:rsidTr="009874CF">
        <w:tc>
          <w:tcPr>
            <w:tcW w:w="2903" w:type="pct"/>
          </w:tcPr>
          <w:p w14:paraId="104AB7BA" w14:textId="77777777" w:rsidR="00C15F2E" w:rsidRPr="00D96063" w:rsidRDefault="00C15F2E" w:rsidP="00F110D2">
            <w:pPr>
              <w:ind w:left="170" w:hanging="170"/>
              <w:rPr>
                <w:sz w:val="14"/>
                <w:szCs w:val="14"/>
              </w:rPr>
            </w:pPr>
            <w:r w:rsidRPr="00D96063">
              <w:rPr>
                <w:sz w:val="14"/>
                <w:szCs w:val="14"/>
              </w:rPr>
              <w:tab/>
              <w:t>Ghana Cylinder Manufacturing Company (GCMC)</w:t>
            </w:r>
          </w:p>
        </w:tc>
        <w:tc>
          <w:tcPr>
            <w:tcW w:w="689" w:type="pct"/>
          </w:tcPr>
          <w:p w14:paraId="1D77165E"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7CA1C5AC" w14:textId="77777777" w:rsidR="00C15F2E" w:rsidRPr="00D96063" w:rsidRDefault="00C15F2E" w:rsidP="00E67238">
            <w:pPr>
              <w:ind w:left="57" w:right="227"/>
              <w:jc w:val="right"/>
              <w:rPr>
                <w:sz w:val="14"/>
                <w:szCs w:val="14"/>
              </w:rPr>
            </w:pPr>
            <w:r w:rsidRPr="00D96063">
              <w:rPr>
                <w:sz w:val="14"/>
                <w:szCs w:val="14"/>
              </w:rPr>
              <w:t>1</w:t>
            </w:r>
          </w:p>
        </w:tc>
        <w:tc>
          <w:tcPr>
            <w:tcW w:w="708" w:type="pct"/>
          </w:tcPr>
          <w:p w14:paraId="65295A28"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56D0FDF0"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5C6AFC74" w14:textId="77777777" w:rsidR="00C15F2E" w:rsidRPr="00D96063" w:rsidRDefault="00C15F2E" w:rsidP="00F110D2">
            <w:pPr>
              <w:ind w:left="170" w:hanging="170"/>
              <w:rPr>
                <w:sz w:val="14"/>
                <w:szCs w:val="14"/>
              </w:rPr>
            </w:pPr>
            <w:r w:rsidRPr="00D96063">
              <w:rPr>
                <w:sz w:val="14"/>
                <w:szCs w:val="14"/>
              </w:rPr>
              <w:tab/>
              <w:t>Ghana Heavy Equipment Ltd.</w:t>
            </w:r>
          </w:p>
        </w:tc>
        <w:tc>
          <w:tcPr>
            <w:tcW w:w="689" w:type="pct"/>
          </w:tcPr>
          <w:p w14:paraId="0F63C8E2"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021E384F" w14:textId="77777777" w:rsidR="00C15F2E" w:rsidRPr="00D96063" w:rsidRDefault="00C15F2E" w:rsidP="00E67238">
            <w:pPr>
              <w:ind w:left="57" w:right="227"/>
              <w:jc w:val="right"/>
              <w:rPr>
                <w:sz w:val="14"/>
                <w:szCs w:val="14"/>
              </w:rPr>
            </w:pPr>
            <w:r w:rsidRPr="00D96063">
              <w:rPr>
                <w:sz w:val="14"/>
                <w:szCs w:val="14"/>
              </w:rPr>
              <w:t xml:space="preserve">n.a. </w:t>
            </w:r>
          </w:p>
        </w:tc>
        <w:tc>
          <w:tcPr>
            <w:tcW w:w="708" w:type="pct"/>
          </w:tcPr>
          <w:p w14:paraId="5C62D6A2" w14:textId="77777777" w:rsidR="00C15F2E" w:rsidRPr="00D96063" w:rsidRDefault="00C15F2E" w:rsidP="00E67238">
            <w:pPr>
              <w:ind w:left="57" w:right="227"/>
              <w:jc w:val="right"/>
              <w:rPr>
                <w:sz w:val="14"/>
                <w:szCs w:val="14"/>
              </w:rPr>
            </w:pPr>
            <w:r w:rsidRPr="00D96063">
              <w:rPr>
                <w:sz w:val="14"/>
                <w:szCs w:val="14"/>
              </w:rPr>
              <w:t xml:space="preserve">n.a. </w:t>
            </w:r>
          </w:p>
        </w:tc>
      </w:tr>
      <w:tr w:rsidR="00C15F2E" w:rsidRPr="00D96063" w14:paraId="4F075D23" w14:textId="77777777" w:rsidTr="009874CF">
        <w:tc>
          <w:tcPr>
            <w:tcW w:w="2903" w:type="pct"/>
          </w:tcPr>
          <w:p w14:paraId="2AAABF0C" w14:textId="77777777" w:rsidR="00C15F2E" w:rsidRPr="00D96063" w:rsidRDefault="00C15F2E" w:rsidP="00F110D2">
            <w:pPr>
              <w:ind w:left="170" w:hanging="170"/>
              <w:rPr>
                <w:sz w:val="14"/>
                <w:szCs w:val="14"/>
              </w:rPr>
            </w:pPr>
            <w:r w:rsidRPr="00D96063">
              <w:rPr>
                <w:sz w:val="14"/>
                <w:szCs w:val="14"/>
              </w:rPr>
              <w:tab/>
              <w:t>GNPA Ltd.</w:t>
            </w:r>
          </w:p>
        </w:tc>
        <w:tc>
          <w:tcPr>
            <w:tcW w:w="689" w:type="pct"/>
          </w:tcPr>
          <w:p w14:paraId="7370078C" w14:textId="77777777" w:rsidR="00C15F2E" w:rsidRPr="00E67238" w:rsidRDefault="00C15F2E" w:rsidP="00E67238">
            <w:pPr>
              <w:ind w:left="57" w:right="227"/>
              <w:jc w:val="right"/>
              <w:rPr>
                <w:sz w:val="14"/>
                <w:szCs w:val="14"/>
              </w:rPr>
            </w:pPr>
            <w:r w:rsidRPr="00D96063">
              <w:rPr>
                <w:sz w:val="14"/>
                <w:szCs w:val="14"/>
              </w:rPr>
              <w:t>100</w:t>
            </w:r>
          </w:p>
        </w:tc>
        <w:tc>
          <w:tcPr>
            <w:tcW w:w="700" w:type="pct"/>
          </w:tcPr>
          <w:p w14:paraId="2BDE7E0C" w14:textId="77777777" w:rsidR="00C15F2E" w:rsidRPr="00D96063" w:rsidRDefault="00C15F2E" w:rsidP="00E67238">
            <w:pPr>
              <w:ind w:left="57" w:right="227"/>
              <w:jc w:val="right"/>
              <w:rPr>
                <w:sz w:val="14"/>
                <w:szCs w:val="14"/>
              </w:rPr>
            </w:pPr>
            <w:r w:rsidRPr="00D96063">
              <w:rPr>
                <w:sz w:val="14"/>
                <w:szCs w:val="14"/>
              </w:rPr>
              <w:t xml:space="preserve"> n.a.</w:t>
            </w:r>
          </w:p>
        </w:tc>
        <w:tc>
          <w:tcPr>
            <w:tcW w:w="708" w:type="pct"/>
          </w:tcPr>
          <w:p w14:paraId="11965353" w14:textId="77777777" w:rsidR="00C15F2E" w:rsidRPr="00D96063" w:rsidRDefault="00C15F2E" w:rsidP="00E67238">
            <w:pPr>
              <w:ind w:left="57" w:right="227"/>
              <w:jc w:val="right"/>
              <w:rPr>
                <w:sz w:val="14"/>
                <w:szCs w:val="14"/>
              </w:rPr>
            </w:pPr>
            <w:r w:rsidRPr="00D96063">
              <w:rPr>
                <w:sz w:val="14"/>
                <w:szCs w:val="14"/>
              </w:rPr>
              <w:t>n.a.</w:t>
            </w:r>
          </w:p>
        </w:tc>
      </w:tr>
      <w:tr w:rsidR="00C15F2E" w:rsidRPr="00D96063" w14:paraId="5705B5D1"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688CD437" w14:textId="77777777" w:rsidR="00C15F2E" w:rsidRPr="00D96063" w:rsidRDefault="00C15F2E" w:rsidP="00F110D2">
            <w:pPr>
              <w:ind w:left="170" w:hanging="170"/>
              <w:rPr>
                <w:sz w:val="14"/>
                <w:szCs w:val="14"/>
              </w:rPr>
            </w:pPr>
            <w:r w:rsidRPr="00D96063">
              <w:rPr>
                <w:sz w:val="14"/>
                <w:szCs w:val="14"/>
              </w:rPr>
              <w:lastRenderedPageBreak/>
              <w:tab/>
              <w:t>Ghana National Procurement Authority (GNPA)</w:t>
            </w:r>
          </w:p>
        </w:tc>
        <w:tc>
          <w:tcPr>
            <w:tcW w:w="689" w:type="pct"/>
          </w:tcPr>
          <w:p w14:paraId="7DB62D46"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50F3DAD4" w14:textId="77777777" w:rsidR="00C15F2E" w:rsidRPr="00D96063" w:rsidRDefault="00C15F2E" w:rsidP="00E67238">
            <w:pPr>
              <w:ind w:left="57" w:right="227"/>
              <w:jc w:val="right"/>
              <w:rPr>
                <w:sz w:val="14"/>
                <w:szCs w:val="14"/>
              </w:rPr>
            </w:pPr>
            <w:r w:rsidRPr="00D96063">
              <w:rPr>
                <w:sz w:val="14"/>
                <w:szCs w:val="14"/>
              </w:rPr>
              <w:t>0</w:t>
            </w:r>
          </w:p>
        </w:tc>
        <w:tc>
          <w:tcPr>
            <w:tcW w:w="708" w:type="pct"/>
          </w:tcPr>
          <w:p w14:paraId="361ECF5B"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66AF5A8B" w14:textId="77777777" w:rsidTr="009874CF">
        <w:tc>
          <w:tcPr>
            <w:tcW w:w="2903" w:type="pct"/>
          </w:tcPr>
          <w:p w14:paraId="111CF203" w14:textId="77777777" w:rsidR="00C15F2E" w:rsidRPr="00D96063" w:rsidRDefault="00C15F2E" w:rsidP="00F110D2">
            <w:pPr>
              <w:ind w:left="170" w:hanging="170"/>
              <w:rPr>
                <w:sz w:val="14"/>
                <w:szCs w:val="14"/>
              </w:rPr>
            </w:pPr>
            <w:r w:rsidRPr="00D96063">
              <w:rPr>
                <w:sz w:val="14"/>
                <w:szCs w:val="14"/>
              </w:rPr>
              <w:tab/>
              <w:t>Ghana Commodity Exchange (GCX)</w:t>
            </w:r>
          </w:p>
        </w:tc>
        <w:tc>
          <w:tcPr>
            <w:tcW w:w="689" w:type="pct"/>
          </w:tcPr>
          <w:p w14:paraId="1E7D23D3" w14:textId="77777777" w:rsidR="00C15F2E" w:rsidRPr="00D96063" w:rsidRDefault="00C15F2E" w:rsidP="00E67238">
            <w:pPr>
              <w:ind w:left="57" w:right="227"/>
              <w:jc w:val="right"/>
              <w:rPr>
                <w:sz w:val="14"/>
                <w:szCs w:val="14"/>
              </w:rPr>
            </w:pPr>
            <w:r w:rsidRPr="00D96063">
              <w:rPr>
                <w:sz w:val="14"/>
                <w:szCs w:val="14"/>
              </w:rPr>
              <w:t>100</w:t>
            </w:r>
          </w:p>
        </w:tc>
        <w:tc>
          <w:tcPr>
            <w:tcW w:w="700" w:type="pct"/>
          </w:tcPr>
          <w:p w14:paraId="41D41B1C" w14:textId="77777777" w:rsidR="00C15F2E" w:rsidRPr="00D96063" w:rsidRDefault="00C15F2E" w:rsidP="00E67238">
            <w:pPr>
              <w:ind w:left="57" w:right="227"/>
              <w:jc w:val="right"/>
              <w:rPr>
                <w:sz w:val="14"/>
                <w:szCs w:val="14"/>
              </w:rPr>
            </w:pPr>
            <w:r w:rsidRPr="00D96063">
              <w:rPr>
                <w:sz w:val="14"/>
                <w:szCs w:val="14"/>
              </w:rPr>
              <w:t>0</w:t>
            </w:r>
          </w:p>
        </w:tc>
        <w:tc>
          <w:tcPr>
            <w:tcW w:w="708" w:type="pct"/>
          </w:tcPr>
          <w:p w14:paraId="0120E9A0" w14:textId="77777777" w:rsidR="00C15F2E" w:rsidRPr="00D96063" w:rsidRDefault="00C15F2E" w:rsidP="00E67238">
            <w:pPr>
              <w:ind w:left="57" w:right="227"/>
              <w:jc w:val="right"/>
              <w:rPr>
                <w:sz w:val="14"/>
                <w:szCs w:val="14"/>
              </w:rPr>
            </w:pPr>
            <w:r w:rsidRPr="00D96063">
              <w:rPr>
                <w:sz w:val="14"/>
                <w:szCs w:val="14"/>
              </w:rPr>
              <w:t>-1</w:t>
            </w:r>
          </w:p>
        </w:tc>
      </w:tr>
      <w:tr w:rsidR="00C15F2E" w:rsidRPr="00D96063" w14:paraId="5FF428D4" w14:textId="77777777" w:rsidTr="009874CF">
        <w:trPr>
          <w:cnfStyle w:val="000000010000" w:firstRow="0" w:lastRow="0" w:firstColumn="0" w:lastColumn="0" w:oddVBand="0" w:evenVBand="0" w:oddHBand="0" w:evenHBand="1" w:firstRowFirstColumn="0" w:firstRowLastColumn="0" w:lastRowFirstColumn="0" w:lastRowLastColumn="0"/>
        </w:trPr>
        <w:tc>
          <w:tcPr>
            <w:tcW w:w="2903" w:type="pct"/>
          </w:tcPr>
          <w:p w14:paraId="703161E8" w14:textId="77777777" w:rsidR="00C15F2E" w:rsidRPr="00D96063" w:rsidRDefault="00C15F2E" w:rsidP="00F110D2">
            <w:pPr>
              <w:ind w:left="170" w:hanging="170"/>
              <w:rPr>
                <w:b/>
                <w:bCs/>
                <w:sz w:val="14"/>
                <w:szCs w:val="14"/>
              </w:rPr>
            </w:pPr>
            <w:r w:rsidRPr="00D96063">
              <w:rPr>
                <w:b/>
                <w:bCs/>
                <w:sz w:val="14"/>
                <w:szCs w:val="14"/>
              </w:rPr>
              <w:t>Total</w:t>
            </w:r>
          </w:p>
        </w:tc>
        <w:tc>
          <w:tcPr>
            <w:tcW w:w="689" w:type="pct"/>
          </w:tcPr>
          <w:p w14:paraId="3185FDAA" w14:textId="77777777" w:rsidR="00C15F2E" w:rsidRPr="00D96063" w:rsidRDefault="00C15F2E" w:rsidP="00E67238">
            <w:pPr>
              <w:ind w:left="57" w:right="227"/>
              <w:jc w:val="right"/>
              <w:rPr>
                <w:sz w:val="14"/>
                <w:szCs w:val="14"/>
              </w:rPr>
            </w:pPr>
            <w:r w:rsidRPr="00D96063">
              <w:rPr>
                <w:sz w:val="14"/>
                <w:szCs w:val="14"/>
              </w:rPr>
              <w:t>n.a.</w:t>
            </w:r>
          </w:p>
        </w:tc>
        <w:tc>
          <w:tcPr>
            <w:tcW w:w="700" w:type="pct"/>
          </w:tcPr>
          <w:p w14:paraId="7C612A50" w14:textId="77777777" w:rsidR="00C15F2E" w:rsidRPr="00D96063" w:rsidRDefault="00C15F2E" w:rsidP="00E67238">
            <w:pPr>
              <w:ind w:left="57" w:right="227"/>
              <w:jc w:val="right"/>
              <w:rPr>
                <w:sz w:val="14"/>
                <w:szCs w:val="14"/>
              </w:rPr>
            </w:pPr>
            <w:r w:rsidRPr="00D96063">
              <w:rPr>
                <w:sz w:val="14"/>
                <w:szCs w:val="14"/>
              </w:rPr>
              <w:t>5,538</w:t>
            </w:r>
          </w:p>
        </w:tc>
        <w:tc>
          <w:tcPr>
            <w:tcW w:w="708" w:type="pct"/>
          </w:tcPr>
          <w:p w14:paraId="36A12ACF" w14:textId="77777777" w:rsidR="00C15F2E" w:rsidRPr="00D96063" w:rsidRDefault="00C15F2E" w:rsidP="00E67238">
            <w:pPr>
              <w:ind w:left="57" w:right="227"/>
              <w:jc w:val="right"/>
              <w:rPr>
                <w:sz w:val="14"/>
                <w:szCs w:val="14"/>
              </w:rPr>
            </w:pPr>
            <w:r w:rsidRPr="00D96063">
              <w:rPr>
                <w:sz w:val="14"/>
                <w:szCs w:val="14"/>
              </w:rPr>
              <w:t>-346</w:t>
            </w:r>
          </w:p>
        </w:tc>
      </w:tr>
    </w:tbl>
    <w:p w14:paraId="34CF40DB" w14:textId="77777777" w:rsidR="00C15F2E" w:rsidRPr="00D96063" w:rsidRDefault="00C15F2E" w:rsidP="005340F9">
      <w:pPr>
        <w:pStyle w:val="NoteText"/>
        <w:spacing w:before="120" w:after="120"/>
      </w:pPr>
      <w:r w:rsidRPr="00D96063">
        <w:t>n.a.</w:t>
      </w:r>
      <w:r w:rsidRPr="00D96063">
        <w:tab/>
        <w:t>Not applicable.</w:t>
      </w:r>
    </w:p>
    <w:p w14:paraId="0DF7E45C" w14:textId="69882E7C" w:rsidR="00C15F2E" w:rsidRPr="00D96063" w:rsidRDefault="00C15F2E" w:rsidP="005340F9">
      <w:pPr>
        <w:pStyle w:val="NoteText"/>
        <w:spacing w:before="120" w:after="120"/>
      </w:pPr>
      <w:r w:rsidRPr="00D96063">
        <w:t xml:space="preserve">a </w:t>
      </w:r>
      <w:r w:rsidRPr="00D96063">
        <w:tab/>
        <w:t>Estimates using an exchange rate for 2019 of GHS 5.2 per USD dollar (see Table 1.1).</w:t>
      </w:r>
    </w:p>
    <w:p w14:paraId="7A0045E1" w14:textId="77777777" w:rsidR="00C15F2E" w:rsidRPr="00D96063" w:rsidRDefault="00C15F2E" w:rsidP="005340F9">
      <w:pPr>
        <w:pStyle w:val="NoteText"/>
        <w:spacing w:before="120" w:after="240"/>
      </w:pPr>
      <w:r w:rsidRPr="00D96063">
        <w:t>Source:</w:t>
      </w:r>
      <w:r w:rsidRPr="00D96063">
        <w:tab/>
        <w:t>WTO Secretariat, based on information provided by SIGA.</w:t>
      </w:r>
    </w:p>
    <w:p w14:paraId="7785CC3C" w14:textId="77777777" w:rsidR="00C15F2E" w:rsidRPr="00D96063" w:rsidRDefault="00C15F2E" w:rsidP="00856701">
      <w:pPr>
        <w:pStyle w:val="Heading3"/>
      </w:pPr>
      <w:bookmarkStart w:id="166" w:name="_Toc103607702"/>
      <w:r w:rsidRPr="00D96063">
        <w:t>Government procurement</w:t>
      </w:r>
      <w:bookmarkEnd w:id="166"/>
    </w:p>
    <w:p w14:paraId="62F9119B" w14:textId="286C3D50" w:rsidR="00C15F2E" w:rsidRPr="00D96063" w:rsidRDefault="00C15F2E" w:rsidP="003758E5">
      <w:pPr>
        <w:numPr>
          <w:ilvl w:val="6"/>
          <w:numId w:val="25"/>
        </w:numPr>
        <w:spacing w:after="240"/>
        <w:rPr>
          <w:rFonts w:cs="Tahoma"/>
          <w:lang w:eastAsia="fr-CH"/>
        </w:rPr>
      </w:pPr>
      <w:r w:rsidRPr="00D96063">
        <w:rPr>
          <w:lang w:eastAsia="fr-CH"/>
        </w:rPr>
        <w:t xml:space="preserve">Ghana is neither a signatory nor an observer to the WTO plurilateral Agreement on Government Procurement. </w:t>
      </w:r>
      <w:r w:rsidRPr="00D96063">
        <w:rPr>
          <w:rFonts w:cs="Tahoma"/>
        </w:rPr>
        <w:t>Ghana's Electronic Procurement System (GHANEPS) was launched in April 2019.</w:t>
      </w:r>
      <w:r w:rsidRPr="00D96063">
        <w:rPr>
          <w:rFonts w:cs="Tahoma"/>
          <w:vertAlign w:val="superscript"/>
        </w:rPr>
        <w:footnoteReference w:id="104"/>
      </w:r>
      <w:r w:rsidRPr="00D96063">
        <w:rPr>
          <w:rFonts w:cs="Tahoma"/>
        </w:rPr>
        <w:t xml:space="preserve"> </w:t>
      </w:r>
      <w:r w:rsidRPr="00D96063">
        <w:rPr>
          <w:lang w:eastAsia="fr-CH"/>
        </w:rPr>
        <w:t>The country's public purchases increased substantially over the 2014-19 period (Table 3.13), in line with its efforts to modernize and develop its infrastructure.</w:t>
      </w:r>
    </w:p>
    <w:p w14:paraId="0825523C" w14:textId="5AD7A0A8" w:rsidR="00C15F2E" w:rsidRPr="00D96063" w:rsidRDefault="00C15F2E" w:rsidP="0043001E">
      <w:pPr>
        <w:pStyle w:val="Caption"/>
      </w:pPr>
      <w:bookmarkStart w:id="167" w:name="_Toc103607894"/>
      <w:r w:rsidRPr="00D96063">
        <w:t xml:space="preserve">Table </w:t>
      </w:r>
      <w:fldSimple w:instr=" STYLEREF 1 \s ">
        <w:r w:rsidR="004B63B1">
          <w:rPr>
            <w:noProof/>
          </w:rPr>
          <w:t>3</w:t>
        </w:r>
      </w:fldSimple>
      <w:r w:rsidR="00BF3184">
        <w:t>.</w:t>
      </w:r>
      <w:fldSimple w:instr=" SEQ Table \* ARABIC \s 1 ">
        <w:r w:rsidR="004B63B1">
          <w:rPr>
            <w:noProof/>
          </w:rPr>
          <w:t>13</w:t>
        </w:r>
      </w:fldSimple>
      <w:r w:rsidRPr="00D96063">
        <w:t xml:space="preserve"> Government procurement by type of procurement method, 2011-19</w:t>
      </w:r>
      <w:bookmarkEnd w:id="167"/>
    </w:p>
    <w:p w14:paraId="1AD082FE" w14:textId="77777777" w:rsidR="00C15F2E" w:rsidRPr="00D96063" w:rsidRDefault="00C15F2E" w:rsidP="0043001E">
      <w:pPr>
        <w:keepNext/>
        <w:keepLines/>
        <w:rPr>
          <w:sz w:val="16"/>
          <w:szCs w:val="20"/>
          <w:lang w:eastAsia="en-GB"/>
        </w:rPr>
      </w:pPr>
      <w:r w:rsidRPr="00D96063">
        <w:rPr>
          <w:sz w:val="16"/>
          <w:szCs w:val="20"/>
          <w:lang w:eastAsia="en-GB"/>
        </w:rPr>
        <w:t>(GHS million and %)</w:t>
      </w:r>
    </w:p>
    <w:tbl>
      <w:tblPr>
        <w:tblStyle w:val="WTOTable1"/>
        <w:tblW w:w="5000" w:type="pct"/>
        <w:tblLayout w:type="fixed"/>
        <w:tblLook w:val="04A0" w:firstRow="1" w:lastRow="0" w:firstColumn="1" w:lastColumn="0" w:noHBand="0" w:noVBand="1"/>
      </w:tblPr>
      <w:tblGrid>
        <w:gridCol w:w="1777"/>
        <w:gridCol w:w="805"/>
        <w:gridCol w:w="805"/>
        <w:gridCol w:w="805"/>
        <w:gridCol w:w="804"/>
        <w:gridCol w:w="804"/>
        <w:gridCol w:w="804"/>
        <w:gridCol w:w="804"/>
        <w:gridCol w:w="804"/>
        <w:gridCol w:w="804"/>
      </w:tblGrid>
      <w:tr w:rsidR="00C15F2E" w:rsidRPr="00D96063" w14:paraId="4C4B1D31" w14:textId="77777777" w:rsidTr="0043001E">
        <w:trPr>
          <w:cnfStyle w:val="100000000000" w:firstRow="1" w:lastRow="0" w:firstColumn="0" w:lastColumn="0" w:oddVBand="0" w:evenVBand="0" w:oddHBand="0" w:evenHBand="0" w:firstRowFirstColumn="0" w:firstRowLastColumn="0" w:lastRowFirstColumn="0" w:lastRowLastColumn="0"/>
          <w:cantSplit/>
          <w:tblHeader/>
        </w:trPr>
        <w:tc>
          <w:tcPr>
            <w:tcW w:w="985" w:type="pct"/>
            <w:tcBorders>
              <w:top w:val="single" w:sz="4" w:space="0" w:color="auto"/>
              <w:left w:val="single" w:sz="4" w:space="0" w:color="auto"/>
              <w:bottom w:val="nil"/>
              <w:right w:val="single" w:sz="4" w:space="0" w:color="auto"/>
            </w:tcBorders>
          </w:tcPr>
          <w:p w14:paraId="4C3E10C8" w14:textId="77777777" w:rsidR="00C15F2E" w:rsidRPr="00D96063" w:rsidRDefault="00C15F2E">
            <w:pPr>
              <w:keepNext/>
              <w:keepLines/>
              <w:rPr>
                <w:color w:val="FFFFFF" w:themeColor="background1"/>
                <w:sz w:val="16"/>
                <w:szCs w:val="16"/>
              </w:rPr>
            </w:pPr>
          </w:p>
        </w:tc>
        <w:tc>
          <w:tcPr>
            <w:tcW w:w="446" w:type="pct"/>
            <w:tcBorders>
              <w:top w:val="single" w:sz="4" w:space="0" w:color="auto"/>
              <w:left w:val="single" w:sz="4" w:space="0" w:color="auto"/>
              <w:bottom w:val="nil"/>
              <w:right w:val="single" w:sz="4" w:space="0" w:color="auto"/>
            </w:tcBorders>
            <w:hideMark/>
          </w:tcPr>
          <w:p w14:paraId="04169F94" w14:textId="77777777" w:rsidR="00C15F2E" w:rsidRPr="00D96063" w:rsidRDefault="00C15F2E">
            <w:pPr>
              <w:keepNext/>
              <w:keepLines/>
              <w:jc w:val="center"/>
              <w:rPr>
                <w:color w:val="FFFFFF" w:themeColor="background1"/>
                <w:sz w:val="16"/>
                <w:szCs w:val="16"/>
              </w:rPr>
            </w:pPr>
            <w:r w:rsidRPr="00D96063">
              <w:rPr>
                <w:color w:val="FFFFFF" w:themeColor="background1"/>
                <w:sz w:val="16"/>
                <w:szCs w:val="16"/>
              </w:rPr>
              <w:t>2011</w:t>
            </w:r>
          </w:p>
        </w:tc>
        <w:tc>
          <w:tcPr>
            <w:tcW w:w="446" w:type="pct"/>
            <w:tcBorders>
              <w:top w:val="single" w:sz="4" w:space="0" w:color="auto"/>
              <w:left w:val="single" w:sz="4" w:space="0" w:color="auto"/>
              <w:bottom w:val="nil"/>
              <w:right w:val="single" w:sz="4" w:space="0" w:color="auto"/>
            </w:tcBorders>
            <w:hideMark/>
          </w:tcPr>
          <w:p w14:paraId="72F498D9" w14:textId="77777777" w:rsidR="00C15F2E" w:rsidRPr="00D96063" w:rsidRDefault="00C15F2E">
            <w:pPr>
              <w:keepNext/>
              <w:keepLines/>
              <w:jc w:val="center"/>
              <w:rPr>
                <w:color w:val="FFFFFF" w:themeColor="background1"/>
                <w:sz w:val="16"/>
                <w:szCs w:val="16"/>
              </w:rPr>
            </w:pPr>
            <w:r w:rsidRPr="00D96063">
              <w:rPr>
                <w:color w:val="FFFFFF" w:themeColor="background1"/>
                <w:sz w:val="16"/>
                <w:szCs w:val="16"/>
              </w:rPr>
              <w:t>2012</w:t>
            </w:r>
          </w:p>
        </w:tc>
        <w:tc>
          <w:tcPr>
            <w:tcW w:w="446" w:type="pct"/>
            <w:tcBorders>
              <w:top w:val="single" w:sz="4" w:space="0" w:color="auto"/>
              <w:left w:val="single" w:sz="4" w:space="0" w:color="auto"/>
              <w:bottom w:val="nil"/>
              <w:right w:val="single" w:sz="4" w:space="0" w:color="auto"/>
            </w:tcBorders>
            <w:hideMark/>
          </w:tcPr>
          <w:p w14:paraId="2C98C3DB" w14:textId="77777777" w:rsidR="00C15F2E" w:rsidRPr="00D96063" w:rsidRDefault="00C15F2E">
            <w:pPr>
              <w:keepNext/>
              <w:keepLines/>
              <w:jc w:val="center"/>
              <w:rPr>
                <w:color w:val="FFFFFF" w:themeColor="background1"/>
                <w:sz w:val="16"/>
                <w:szCs w:val="16"/>
              </w:rPr>
            </w:pPr>
            <w:r w:rsidRPr="00D96063">
              <w:rPr>
                <w:color w:val="FFFFFF" w:themeColor="background1"/>
                <w:sz w:val="16"/>
                <w:szCs w:val="16"/>
              </w:rPr>
              <w:t>2013</w:t>
            </w:r>
          </w:p>
        </w:tc>
        <w:tc>
          <w:tcPr>
            <w:tcW w:w="446" w:type="pct"/>
            <w:tcBorders>
              <w:top w:val="single" w:sz="4" w:space="0" w:color="auto"/>
              <w:left w:val="single" w:sz="4" w:space="0" w:color="auto"/>
              <w:bottom w:val="nil"/>
              <w:right w:val="single" w:sz="4" w:space="0" w:color="auto"/>
            </w:tcBorders>
            <w:hideMark/>
          </w:tcPr>
          <w:p w14:paraId="7B9E6852" w14:textId="77777777" w:rsidR="00C15F2E" w:rsidRPr="00D96063" w:rsidRDefault="00C15F2E">
            <w:pPr>
              <w:keepNext/>
              <w:keepLines/>
              <w:jc w:val="center"/>
              <w:rPr>
                <w:color w:val="FFFFFF" w:themeColor="background1"/>
                <w:sz w:val="16"/>
                <w:szCs w:val="16"/>
              </w:rPr>
            </w:pPr>
            <w:r w:rsidRPr="00D96063">
              <w:rPr>
                <w:color w:val="FFFFFF" w:themeColor="background1"/>
                <w:sz w:val="16"/>
                <w:szCs w:val="16"/>
              </w:rPr>
              <w:t>2014</w:t>
            </w:r>
          </w:p>
        </w:tc>
        <w:tc>
          <w:tcPr>
            <w:tcW w:w="446" w:type="pct"/>
            <w:tcBorders>
              <w:top w:val="single" w:sz="4" w:space="0" w:color="auto"/>
              <w:left w:val="single" w:sz="4" w:space="0" w:color="auto"/>
              <w:bottom w:val="nil"/>
              <w:right w:val="single" w:sz="4" w:space="0" w:color="auto"/>
            </w:tcBorders>
            <w:hideMark/>
          </w:tcPr>
          <w:p w14:paraId="071501BC" w14:textId="77777777" w:rsidR="00C15F2E" w:rsidRPr="00D96063" w:rsidRDefault="00C15F2E">
            <w:pPr>
              <w:keepNext/>
              <w:keepLines/>
              <w:jc w:val="center"/>
              <w:rPr>
                <w:color w:val="FFFFFF" w:themeColor="background1"/>
                <w:sz w:val="16"/>
                <w:szCs w:val="16"/>
              </w:rPr>
            </w:pPr>
            <w:r w:rsidRPr="00D96063">
              <w:rPr>
                <w:color w:val="FFFFFF" w:themeColor="background1"/>
                <w:sz w:val="16"/>
                <w:szCs w:val="16"/>
              </w:rPr>
              <w:t>2015</w:t>
            </w:r>
          </w:p>
        </w:tc>
        <w:tc>
          <w:tcPr>
            <w:tcW w:w="446" w:type="pct"/>
            <w:tcBorders>
              <w:top w:val="single" w:sz="4" w:space="0" w:color="auto"/>
              <w:left w:val="single" w:sz="4" w:space="0" w:color="auto"/>
              <w:bottom w:val="nil"/>
              <w:right w:val="single" w:sz="4" w:space="0" w:color="auto"/>
            </w:tcBorders>
            <w:hideMark/>
          </w:tcPr>
          <w:p w14:paraId="4BF04B29" w14:textId="77777777" w:rsidR="00C15F2E" w:rsidRPr="00D96063" w:rsidRDefault="00C15F2E">
            <w:pPr>
              <w:keepNext/>
              <w:keepLines/>
              <w:jc w:val="center"/>
              <w:rPr>
                <w:color w:val="FFFFFF" w:themeColor="background1"/>
                <w:sz w:val="16"/>
                <w:szCs w:val="16"/>
              </w:rPr>
            </w:pPr>
            <w:r w:rsidRPr="00D96063">
              <w:rPr>
                <w:color w:val="FFFFFF" w:themeColor="background1"/>
                <w:sz w:val="16"/>
                <w:szCs w:val="16"/>
              </w:rPr>
              <w:t>2016</w:t>
            </w:r>
          </w:p>
        </w:tc>
        <w:tc>
          <w:tcPr>
            <w:tcW w:w="446" w:type="pct"/>
            <w:tcBorders>
              <w:top w:val="single" w:sz="4" w:space="0" w:color="auto"/>
              <w:left w:val="single" w:sz="4" w:space="0" w:color="auto"/>
              <w:bottom w:val="nil"/>
              <w:right w:val="single" w:sz="4" w:space="0" w:color="auto"/>
            </w:tcBorders>
            <w:hideMark/>
          </w:tcPr>
          <w:p w14:paraId="5C8030C5" w14:textId="77777777" w:rsidR="00C15F2E" w:rsidRPr="00D96063" w:rsidRDefault="00C15F2E">
            <w:pPr>
              <w:keepNext/>
              <w:keepLines/>
              <w:jc w:val="center"/>
              <w:rPr>
                <w:color w:val="FFFFFF" w:themeColor="background1"/>
                <w:sz w:val="16"/>
                <w:szCs w:val="16"/>
              </w:rPr>
            </w:pPr>
            <w:r w:rsidRPr="00D96063">
              <w:rPr>
                <w:color w:val="FFFFFF" w:themeColor="background1"/>
                <w:sz w:val="16"/>
                <w:szCs w:val="16"/>
              </w:rPr>
              <w:t>2017</w:t>
            </w:r>
          </w:p>
        </w:tc>
        <w:tc>
          <w:tcPr>
            <w:tcW w:w="446" w:type="pct"/>
            <w:tcBorders>
              <w:top w:val="single" w:sz="4" w:space="0" w:color="auto"/>
              <w:left w:val="single" w:sz="4" w:space="0" w:color="auto"/>
              <w:bottom w:val="nil"/>
              <w:right w:val="single" w:sz="4" w:space="0" w:color="auto"/>
            </w:tcBorders>
            <w:hideMark/>
          </w:tcPr>
          <w:p w14:paraId="3CDBDD58" w14:textId="77777777" w:rsidR="00C15F2E" w:rsidRPr="00D96063" w:rsidRDefault="00C15F2E">
            <w:pPr>
              <w:keepNext/>
              <w:keepLines/>
              <w:jc w:val="right"/>
              <w:rPr>
                <w:color w:val="FFFFFF" w:themeColor="background1"/>
                <w:sz w:val="16"/>
                <w:szCs w:val="16"/>
              </w:rPr>
            </w:pPr>
            <w:r w:rsidRPr="00D96063">
              <w:rPr>
                <w:color w:val="FFFFFF" w:themeColor="background1"/>
                <w:sz w:val="16"/>
                <w:szCs w:val="16"/>
              </w:rPr>
              <w:t>2018</w:t>
            </w:r>
          </w:p>
        </w:tc>
        <w:tc>
          <w:tcPr>
            <w:tcW w:w="446" w:type="pct"/>
            <w:tcBorders>
              <w:top w:val="single" w:sz="4" w:space="0" w:color="auto"/>
              <w:left w:val="single" w:sz="4" w:space="0" w:color="auto"/>
              <w:bottom w:val="nil"/>
              <w:right w:val="single" w:sz="4" w:space="0" w:color="auto"/>
            </w:tcBorders>
            <w:hideMark/>
          </w:tcPr>
          <w:p w14:paraId="59C74266" w14:textId="77777777" w:rsidR="00C15F2E" w:rsidRPr="00D96063" w:rsidRDefault="00C15F2E">
            <w:pPr>
              <w:keepNext/>
              <w:keepLines/>
              <w:jc w:val="center"/>
              <w:rPr>
                <w:color w:val="FFFFFF" w:themeColor="background1"/>
                <w:sz w:val="16"/>
                <w:szCs w:val="16"/>
              </w:rPr>
            </w:pPr>
            <w:r w:rsidRPr="00D96063">
              <w:rPr>
                <w:color w:val="FFFFFF" w:themeColor="background1"/>
                <w:sz w:val="16"/>
                <w:szCs w:val="16"/>
              </w:rPr>
              <w:t>2019</w:t>
            </w:r>
          </w:p>
        </w:tc>
      </w:tr>
      <w:tr w:rsidR="00C15F2E" w:rsidRPr="00D96063" w14:paraId="512835C2" w14:textId="77777777" w:rsidTr="0043001E">
        <w:trPr>
          <w:cantSplit/>
          <w:trHeight w:val="258"/>
        </w:trPr>
        <w:tc>
          <w:tcPr>
            <w:tcW w:w="985" w:type="pct"/>
            <w:tcBorders>
              <w:top w:val="nil"/>
              <w:left w:val="single" w:sz="4" w:space="0" w:color="auto"/>
              <w:bottom w:val="nil"/>
              <w:right w:val="single" w:sz="4" w:space="0" w:color="auto"/>
            </w:tcBorders>
            <w:hideMark/>
          </w:tcPr>
          <w:p w14:paraId="78ABCE58" w14:textId="77777777" w:rsidR="00C15F2E" w:rsidRPr="00D96063" w:rsidRDefault="00C15F2E">
            <w:pPr>
              <w:keepNext/>
              <w:keepLines/>
              <w:jc w:val="left"/>
              <w:rPr>
                <w:sz w:val="16"/>
                <w:szCs w:val="16"/>
              </w:rPr>
            </w:pPr>
            <w:r w:rsidRPr="00D96063">
              <w:rPr>
                <w:sz w:val="16"/>
                <w:szCs w:val="16"/>
              </w:rPr>
              <w:t>Total government procurement</w:t>
            </w:r>
            <w:r w:rsidRPr="00D96063">
              <w:rPr>
                <w:sz w:val="16"/>
                <w:szCs w:val="16"/>
                <w:vertAlign w:val="superscript"/>
              </w:rPr>
              <w:t>a</w:t>
            </w:r>
          </w:p>
        </w:tc>
        <w:tc>
          <w:tcPr>
            <w:tcW w:w="446" w:type="pct"/>
            <w:tcBorders>
              <w:top w:val="nil"/>
              <w:left w:val="single" w:sz="4" w:space="0" w:color="auto"/>
              <w:bottom w:val="nil"/>
              <w:right w:val="single" w:sz="4" w:space="0" w:color="auto"/>
            </w:tcBorders>
          </w:tcPr>
          <w:p w14:paraId="7217F53C" w14:textId="77777777" w:rsidR="00C15F2E" w:rsidRPr="00D96063" w:rsidRDefault="00C15F2E" w:rsidP="0043001E">
            <w:pPr>
              <w:ind w:left="-57" w:right="-57"/>
              <w:jc w:val="right"/>
              <w:rPr>
                <w:sz w:val="16"/>
                <w:szCs w:val="16"/>
              </w:rPr>
            </w:pPr>
            <w:r w:rsidRPr="00D96063">
              <w:rPr>
                <w:sz w:val="16"/>
                <w:szCs w:val="16"/>
              </w:rPr>
              <w:t>1,308.5</w:t>
            </w:r>
          </w:p>
        </w:tc>
        <w:tc>
          <w:tcPr>
            <w:tcW w:w="446" w:type="pct"/>
            <w:tcBorders>
              <w:top w:val="nil"/>
              <w:left w:val="single" w:sz="4" w:space="0" w:color="auto"/>
              <w:bottom w:val="nil"/>
              <w:right w:val="single" w:sz="4" w:space="0" w:color="auto"/>
            </w:tcBorders>
            <w:hideMark/>
          </w:tcPr>
          <w:p w14:paraId="1C27F4F6" w14:textId="77777777" w:rsidR="00C15F2E" w:rsidRPr="00D96063" w:rsidRDefault="00C15F2E" w:rsidP="0043001E">
            <w:pPr>
              <w:ind w:left="-57" w:right="-57"/>
              <w:jc w:val="right"/>
              <w:rPr>
                <w:sz w:val="16"/>
                <w:szCs w:val="16"/>
              </w:rPr>
            </w:pPr>
            <w:r w:rsidRPr="00D96063">
              <w:rPr>
                <w:sz w:val="16"/>
                <w:szCs w:val="16"/>
              </w:rPr>
              <w:t>926.3</w:t>
            </w:r>
          </w:p>
        </w:tc>
        <w:tc>
          <w:tcPr>
            <w:tcW w:w="446" w:type="pct"/>
            <w:tcBorders>
              <w:top w:val="nil"/>
              <w:left w:val="single" w:sz="4" w:space="0" w:color="auto"/>
              <w:bottom w:val="nil"/>
              <w:right w:val="single" w:sz="4" w:space="0" w:color="auto"/>
            </w:tcBorders>
            <w:hideMark/>
          </w:tcPr>
          <w:p w14:paraId="43ED4614" w14:textId="77777777" w:rsidR="00C15F2E" w:rsidRPr="00D96063" w:rsidRDefault="00C15F2E" w:rsidP="0043001E">
            <w:pPr>
              <w:ind w:left="-57" w:right="-57"/>
              <w:jc w:val="right"/>
              <w:rPr>
                <w:sz w:val="16"/>
                <w:szCs w:val="16"/>
              </w:rPr>
            </w:pPr>
            <w:r w:rsidRPr="00D96063">
              <w:rPr>
                <w:sz w:val="16"/>
                <w:szCs w:val="16"/>
              </w:rPr>
              <w:t>996.8</w:t>
            </w:r>
          </w:p>
        </w:tc>
        <w:tc>
          <w:tcPr>
            <w:tcW w:w="446" w:type="pct"/>
            <w:tcBorders>
              <w:top w:val="nil"/>
              <w:left w:val="single" w:sz="4" w:space="0" w:color="auto"/>
              <w:bottom w:val="nil"/>
              <w:right w:val="single" w:sz="4" w:space="0" w:color="auto"/>
            </w:tcBorders>
            <w:hideMark/>
          </w:tcPr>
          <w:p w14:paraId="00A63666" w14:textId="77777777" w:rsidR="00C15F2E" w:rsidRPr="00D96063" w:rsidRDefault="00C15F2E" w:rsidP="0043001E">
            <w:pPr>
              <w:ind w:left="-57" w:right="-57"/>
              <w:jc w:val="right"/>
              <w:rPr>
                <w:sz w:val="16"/>
                <w:szCs w:val="16"/>
              </w:rPr>
            </w:pPr>
            <w:r w:rsidRPr="00D96063">
              <w:rPr>
                <w:sz w:val="16"/>
                <w:szCs w:val="16"/>
              </w:rPr>
              <w:t>2,451.7</w:t>
            </w:r>
          </w:p>
        </w:tc>
        <w:tc>
          <w:tcPr>
            <w:tcW w:w="446" w:type="pct"/>
            <w:tcBorders>
              <w:top w:val="nil"/>
              <w:left w:val="single" w:sz="4" w:space="0" w:color="auto"/>
              <w:bottom w:val="nil"/>
              <w:right w:val="single" w:sz="4" w:space="0" w:color="auto"/>
            </w:tcBorders>
            <w:hideMark/>
          </w:tcPr>
          <w:p w14:paraId="0381A553" w14:textId="77777777" w:rsidR="00C15F2E" w:rsidRPr="00D96063" w:rsidRDefault="00C15F2E" w:rsidP="0043001E">
            <w:pPr>
              <w:ind w:left="-57" w:right="-57"/>
              <w:jc w:val="right"/>
              <w:rPr>
                <w:sz w:val="16"/>
                <w:szCs w:val="16"/>
              </w:rPr>
            </w:pPr>
            <w:r w:rsidRPr="00D96063">
              <w:rPr>
                <w:sz w:val="16"/>
                <w:szCs w:val="16"/>
              </w:rPr>
              <w:t>4,779.7</w:t>
            </w:r>
          </w:p>
        </w:tc>
        <w:tc>
          <w:tcPr>
            <w:tcW w:w="446" w:type="pct"/>
            <w:tcBorders>
              <w:top w:val="nil"/>
              <w:left w:val="single" w:sz="4" w:space="0" w:color="auto"/>
              <w:bottom w:val="nil"/>
              <w:right w:val="single" w:sz="4" w:space="0" w:color="auto"/>
            </w:tcBorders>
            <w:hideMark/>
          </w:tcPr>
          <w:p w14:paraId="1FB01275" w14:textId="77777777" w:rsidR="00C15F2E" w:rsidRPr="00D96063" w:rsidRDefault="00C15F2E" w:rsidP="0043001E">
            <w:pPr>
              <w:ind w:left="-57" w:right="-57"/>
              <w:jc w:val="right"/>
              <w:rPr>
                <w:sz w:val="16"/>
                <w:szCs w:val="16"/>
              </w:rPr>
            </w:pPr>
            <w:r w:rsidRPr="00D96063">
              <w:rPr>
                <w:sz w:val="16"/>
                <w:szCs w:val="16"/>
              </w:rPr>
              <w:t>2,029.5</w:t>
            </w:r>
          </w:p>
        </w:tc>
        <w:tc>
          <w:tcPr>
            <w:tcW w:w="446" w:type="pct"/>
            <w:tcBorders>
              <w:top w:val="nil"/>
              <w:left w:val="single" w:sz="4" w:space="0" w:color="auto"/>
              <w:bottom w:val="nil"/>
              <w:right w:val="single" w:sz="4" w:space="0" w:color="auto"/>
            </w:tcBorders>
            <w:hideMark/>
          </w:tcPr>
          <w:p w14:paraId="40C0E568" w14:textId="77777777" w:rsidR="00C15F2E" w:rsidRPr="00D96063" w:rsidRDefault="00C15F2E" w:rsidP="0043001E">
            <w:pPr>
              <w:ind w:left="-57" w:right="-57"/>
              <w:jc w:val="right"/>
              <w:rPr>
                <w:sz w:val="16"/>
                <w:szCs w:val="16"/>
              </w:rPr>
            </w:pPr>
            <w:r w:rsidRPr="00D96063">
              <w:rPr>
                <w:sz w:val="16"/>
                <w:szCs w:val="16"/>
              </w:rPr>
              <w:t>800.4</w:t>
            </w:r>
          </w:p>
        </w:tc>
        <w:tc>
          <w:tcPr>
            <w:tcW w:w="446" w:type="pct"/>
            <w:tcBorders>
              <w:top w:val="nil"/>
              <w:left w:val="single" w:sz="4" w:space="0" w:color="auto"/>
              <w:bottom w:val="nil"/>
              <w:right w:val="single" w:sz="4" w:space="0" w:color="auto"/>
            </w:tcBorders>
            <w:hideMark/>
          </w:tcPr>
          <w:p w14:paraId="432DAB99" w14:textId="77777777" w:rsidR="00C15F2E" w:rsidRPr="00D96063" w:rsidRDefault="00C15F2E" w:rsidP="0043001E">
            <w:pPr>
              <w:ind w:left="-57" w:right="-57"/>
              <w:jc w:val="right"/>
              <w:rPr>
                <w:sz w:val="16"/>
                <w:szCs w:val="16"/>
              </w:rPr>
            </w:pPr>
            <w:r w:rsidRPr="00D96063">
              <w:rPr>
                <w:sz w:val="16"/>
                <w:szCs w:val="16"/>
              </w:rPr>
              <w:t>2,356.6</w:t>
            </w:r>
          </w:p>
        </w:tc>
        <w:tc>
          <w:tcPr>
            <w:tcW w:w="446" w:type="pct"/>
            <w:tcBorders>
              <w:top w:val="nil"/>
              <w:left w:val="single" w:sz="4" w:space="0" w:color="auto"/>
              <w:bottom w:val="nil"/>
              <w:right w:val="single" w:sz="4" w:space="0" w:color="auto"/>
            </w:tcBorders>
            <w:hideMark/>
          </w:tcPr>
          <w:p w14:paraId="4A1CE273" w14:textId="77777777" w:rsidR="00C15F2E" w:rsidRPr="00D96063" w:rsidRDefault="00C15F2E" w:rsidP="0043001E">
            <w:pPr>
              <w:ind w:left="-57" w:right="-57"/>
              <w:jc w:val="right"/>
              <w:rPr>
                <w:sz w:val="16"/>
                <w:szCs w:val="16"/>
              </w:rPr>
            </w:pPr>
            <w:r w:rsidRPr="00D96063">
              <w:rPr>
                <w:sz w:val="16"/>
                <w:szCs w:val="16"/>
              </w:rPr>
              <w:t>3,472.0</w:t>
            </w:r>
          </w:p>
        </w:tc>
      </w:tr>
      <w:tr w:rsidR="00C15F2E" w:rsidRPr="00D96063" w14:paraId="01AD1B35" w14:textId="77777777" w:rsidTr="0043001E">
        <w:trPr>
          <w:cnfStyle w:val="000000010000" w:firstRow="0" w:lastRow="0" w:firstColumn="0" w:lastColumn="0" w:oddVBand="0" w:evenVBand="0" w:oddHBand="0" w:evenHBand="1" w:firstRowFirstColumn="0" w:firstRowLastColumn="0" w:lastRowFirstColumn="0" w:lastRowLastColumn="0"/>
          <w:cantSplit/>
        </w:trPr>
        <w:tc>
          <w:tcPr>
            <w:tcW w:w="985" w:type="pct"/>
            <w:tcBorders>
              <w:top w:val="nil"/>
              <w:left w:val="single" w:sz="4" w:space="0" w:color="auto"/>
              <w:bottom w:val="nil"/>
              <w:right w:val="single" w:sz="4" w:space="0" w:color="auto"/>
            </w:tcBorders>
            <w:hideMark/>
          </w:tcPr>
          <w:p w14:paraId="0EA34778" w14:textId="77777777" w:rsidR="00C15F2E" w:rsidRPr="00D96063" w:rsidRDefault="00C15F2E">
            <w:pPr>
              <w:jc w:val="left"/>
              <w:rPr>
                <w:sz w:val="16"/>
                <w:szCs w:val="16"/>
              </w:rPr>
            </w:pPr>
            <w:r w:rsidRPr="00D96063">
              <w:rPr>
                <w:sz w:val="16"/>
                <w:szCs w:val="16"/>
              </w:rPr>
              <w:t>International competitive tender</w:t>
            </w:r>
          </w:p>
        </w:tc>
        <w:tc>
          <w:tcPr>
            <w:tcW w:w="446" w:type="pct"/>
            <w:tcBorders>
              <w:top w:val="nil"/>
              <w:left w:val="single" w:sz="4" w:space="0" w:color="auto"/>
              <w:bottom w:val="nil"/>
              <w:right w:val="single" w:sz="4" w:space="0" w:color="auto"/>
            </w:tcBorders>
            <w:vAlign w:val="center"/>
            <w:hideMark/>
          </w:tcPr>
          <w:p w14:paraId="28F980F7" w14:textId="77777777" w:rsidR="00C15F2E" w:rsidRPr="00D96063" w:rsidRDefault="00C15F2E">
            <w:pPr>
              <w:ind w:right="57"/>
              <w:jc w:val="right"/>
              <w:rPr>
                <w:bCs/>
                <w:sz w:val="16"/>
                <w:szCs w:val="16"/>
              </w:rPr>
            </w:pPr>
            <w:r w:rsidRPr="00D96063">
              <w:rPr>
                <w:bCs/>
                <w:sz w:val="16"/>
                <w:szCs w:val="16"/>
              </w:rPr>
              <w:t>3.0</w:t>
            </w:r>
          </w:p>
        </w:tc>
        <w:tc>
          <w:tcPr>
            <w:tcW w:w="446" w:type="pct"/>
            <w:tcBorders>
              <w:top w:val="nil"/>
              <w:left w:val="single" w:sz="4" w:space="0" w:color="auto"/>
              <w:bottom w:val="nil"/>
              <w:right w:val="single" w:sz="4" w:space="0" w:color="auto"/>
            </w:tcBorders>
            <w:vAlign w:val="center"/>
            <w:hideMark/>
          </w:tcPr>
          <w:p w14:paraId="06D54A51" w14:textId="77777777" w:rsidR="00C15F2E" w:rsidRPr="00D96063" w:rsidRDefault="00C15F2E">
            <w:pPr>
              <w:ind w:right="57"/>
              <w:jc w:val="right"/>
              <w:rPr>
                <w:bCs/>
                <w:sz w:val="16"/>
                <w:szCs w:val="16"/>
              </w:rPr>
            </w:pPr>
            <w:r w:rsidRPr="00D96063">
              <w:rPr>
                <w:bCs/>
                <w:sz w:val="16"/>
                <w:szCs w:val="16"/>
              </w:rPr>
              <w:t>10.3</w:t>
            </w:r>
          </w:p>
        </w:tc>
        <w:tc>
          <w:tcPr>
            <w:tcW w:w="446" w:type="pct"/>
            <w:tcBorders>
              <w:top w:val="nil"/>
              <w:left w:val="single" w:sz="4" w:space="0" w:color="auto"/>
              <w:bottom w:val="nil"/>
              <w:right w:val="single" w:sz="4" w:space="0" w:color="auto"/>
            </w:tcBorders>
            <w:vAlign w:val="center"/>
            <w:hideMark/>
          </w:tcPr>
          <w:p w14:paraId="3F90BCF3" w14:textId="77777777" w:rsidR="00C15F2E" w:rsidRPr="00D96063" w:rsidRDefault="00C15F2E">
            <w:pPr>
              <w:ind w:right="57"/>
              <w:jc w:val="right"/>
              <w:rPr>
                <w:bCs/>
                <w:sz w:val="16"/>
                <w:szCs w:val="16"/>
              </w:rPr>
            </w:pPr>
            <w:r w:rsidRPr="00D96063">
              <w:rPr>
                <w:bCs/>
                <w:sz w:val="16"/>
                <w:szCs w:val="16"/>
              </w:rPr>
              <w:t>0.3</w:t>
            </w:r>
          </w:p>
        </w:tc>
        <w:tc>
          <w:tcPr>
            <w:tcW w:w="446" w:type="pct"/>
            <w:tcBorders>
              <w:top w:val="nil"/>
              <w:left w:val="single" w:sz="4" w:space="0" w:color="auto"/>
              <w:bottom w:val="nil"/>
              <w:right w:val="single" w:sz="4" w:space="0" w:color="auto"/>
            </w:tcBorders>
            <w:vAlign w:val="center"/>
            <w:hideMark/>
          </w:tcPr>
          <w:p w14:paraId="2EAD809C" w14:textId="77777777" w:rsidR="00C15F2E" w:rsidRPr="00D96063" w:rsidRDefault="00C15F2E">
            <w:pPr>
              <w:ind w:right="57"/>
              <w:jc w:val="right"/>
              <w:rPr>
                <w:bCs/>
                <w:sz w:val="16"/>
                <w:szCs w:val="16"/>
              </w:rPr>
            </w:pPr>
            <w:r w:rsidRPr="00D96063">
              <w:rPr>
                <w:bCs/>
                <w:sz w:val="16"/>
                <w:szCs w:val="16"/>
              </w:rPr>
              <w:t>0.9</w:t>
            </w:r>
          </w:p>
        </w:tc>
        <w:tc>
          <w:tcPr>
            <w:tcW w:w="446" w:type="pct"/>
            <w:tcBorders>
              <w:top w:val="nil"/>
              <w:left w:val="single" w:sz="4" w:space="0" w:color="auto"/>
              <w:bottom w:val="nil"/>
              <w:right w:val="single" w:sz="4" w:space="0" w:color="auto"/>
            </w:tcBorders>
            <w:vAlign w:val="center"/>
            <w:hideMark/>
          </w:tcPr>
          <w:p w14:paraId="512B9B57" w14:textId="77777777" w:rsidR="00C15F2E" w:rsidRPr="00D96063" w:rsidRDefault="00C15F2E">
            <w:pPr>
              <w:ind w:right="57"/>
              <w:jc w:val="right"/>
              <w:rPr>
                <w:bCs/>
                <w:sz w:val="16"/>
                <w:szCs w:val="16"/>
              </w:rPr>
            </w:pPr>
            <w:r w:rsidRPr="00D96063">
              <w:rPr>
                <w:bCs/>
                <w:sz w:val="16"/>
                <w:szCs w:val="16"/>
              </w:rPr>
              <w:t>0.1</w:t>
            </w:r>
          </w:p>
        </w:tc>
        <w:tc>
          <w:tcPr>
            <w:tcW w:w="446" w:type="pct"/>
            <w:tcBorders>
              <w:top w:val="nil"/>
              <w:left w:val="single" w:sz="4" w:space="0" w:color="auto"/>
              <w:bottom w:val="nil"/>
              <w:right w:val="single" w:sz="4" w:space="0" w:color="auto"/>
            </w:tcBorders>
            <w:vAlign w:val="center"/>
            <w:hideMark/>
          </w:tcPr>
          <w:p w14:paraId="10F33B10" w14:textId="77777777" w:rsidR="00C15F2E" w:rsidRPr="00D96063" w:rsidRDefault="00C15F2E">
            <w:pPr>
              <w:ind w:right="57"/>
              <w:jc w:val="right"/>
              <w:rPr>
                <w:bCs/>
                <w:sz w:val="16"/>
                <w:szCs w:val="16"/>
              </w:rPr>
            </w:pPr>
            <w:r w:rsidRPr="00D96063">
              <w:rPr>
                <w:bCs/>
                <w:sz w:val="16"/>
                <w:szCs w:val="16"/>
              </w:rPr>
              <w:t>0.0</w:t>
            </w:r>
          </w:p>
        </w:tc>
        <w:tc>
          <w:tcPr>
            <w:tcW w:w="446" w:type="pct"/>
            <w:tcBorders>
              <w:top w:val="nil"/>
              <w:left w:val="single" w:sz="4" w:space="0" w:color="auto"/>
              <w:bottom w:val="nil"/>
              <w:right w:val="single" w:sz="4" w:space="0" w:color="auto"/>
            </w:tcBorders>
            <w:vAlign w:val="center"/>
            <w:hideMark/>
          </w:tcPr>
          <w:p w14:paraId="5E2DA236" w14:textId="77777777" w:rsidR="00C15F2E" w:rsidRPr="00D96063" w:rsidRDefault="00C15F2E">
            <w:pPr>
              <w:ind w:right="57"/>
              <w:jc w:val="right"/>
              <w:rPr>
                <w:bCs/>
                <w:sz w:val="16"/>
                <w:szCs w:val="16"/>
              </w:rPr>
            </w:pPr>
            <w:r w:rsidRPr="00D96063">
              <w:rPr>
                <w:bCs/>
                <w:sz w:val="16"/>
                <w:szCs w:val="16"/>
              </w:rPr>
              <w:t>0.0</w:t>
            </w:r>
          </w:p>
        </w:tc>
        <w:tc>
          <w:tcPr>
            <w:tcW w:w="446" w:type="pct"/>
            <w:tcBorders>
              <w:top w:val="nil"/>
              <w:left w:val="single" w:sz="4" w:space="0" w:color="auto"/>
              <w:bottom w:val="nil"/>
              <w:right w:val="single" w:sz="4" w:space="0" w:color="auto"/>
            </w:tcBorders>
            <w:vAlign w:val="center"/>
            <w:hideMark/>
          </w:tcPr>
          <w:p w14:paraId="17B4E3D0" w14:textId="77777777" w:rsidR="00C15F2E" w:rsidRPr="00D96063" w:rsidRDefault="00C15F2E">
            <w:pPr>
              <w:ind w:right="57"/>
              <w:jc w:val="right"/>
              <w:rPr>
                <w:bCs/>
                <w:sz w:val="16"/>
                <w:szCs w:val="16"/>
              </w:rPr>
            </w:pPr>
            <w:r w:rsidRPr="00D96063">
              <w:rPr>
                <w:bCs/>
                <w:sz w:val="16"/>
                <w:szCs w:val="16"/>
              </w:rPr>
              <w:t>0.5</w:t>
            </w:r>
          </w:p>
        </w:tc>
        <w:tc>
          <w:tcPr>
            <w:tcW w:w="446" w:type="pct"/>
            <w:tcBorders>
              <w:top w:val="nil"/>
              <w:left w:val="single" w:sz="4" w:space="0" w:color="auto"/>
              <w:bottom w:val="nil"/>
              <w:right w:val="single" w:sz="4" w:space="0" w:color="auto"/>
            </w:tcBorders>
            <w:vAlign w:val="center"/>
            <w:hideMark/>
          </w:tcPr>
          <w:p w14:paraId="11944F26" w14:textId="77777777" w:rsidR="00C15F2E" w:rsidRPr="00D96063" w:rsidRDefault="00C15F2E">
            <w:pPr>
              <w:ind w:right="57"/>
              <w:jc w:val="right"/>
              <w:rPr>
                <w:bCs/>
                <w:sz w:val="16"/>
                <w:szCs w:val="16"/>
              </w:rPr>
            </w:pPr>
            <w:r w:rsidRPr="00D96063">
              <w:rPr>
                <w:bCs/>
                <w:sz w:val="16"/>
                <w:szCs w:val="16"/>
              </w:rPr>
              <w:t>1.0</w:t>
            </w:r>
          </w:p>
        </w:tc>
      </w:tr>
      <w:tr w:rsidR="00C15F2E" w:rsidRPr="00D96063" w14:paraId="2F15A538" w14:textId="77777777" w:rsidTr="0043001E">
        <w:trPr>
          <w:cantSplit/>
        </w:trPr>
        <w:tc>
          <w:tcPr>
            <w:tcW w:w="985" w:type="pct"/>
            <w:tcBorders>
              <w:top w:val="nil"/>
              <w:left w:val="single" w:sz="4" w:space="0" w:color="auto"/>
              <w:bottom w:val="nil"/>
              <w:right w:val="single" w:sz="4" w:space="0" w:color="auto"/>
            </w:tcBorders>
            <w:hideMark/>
          </w:tcPr>
          <w:p w14:paraId="68F96EC8" w14:textId="77777777" w:rsidR="00C15F2E" w:rsidRPr="00D96063" w:rsidRDefault="00C15F2E">
            <w:pPr>
              <w:jc w:val="left"/>
              <w:rPr>
                <w:sz w:val="16"/>
                <w:szCs w:val="16"/>
              </w:rPr>
            </w:pPr>
            <w:r w:rsidRPr="00D96063">
              <w:rPr>
                <w:sz w:val="16"/>
                <w:szCs w:val="16"/>
              </w:rPr>
              <w:t>Restricted tendering</w:t>
            </w:r>
          </w:p>
        </w:tc>
        <w:tc>
          <w:tcPr>
            <w:tcW w:w="446" w:type="pct"/>
            <w:tcBorders>
              <w:top w:val="nil"/>
              <w:left w:val="single" w:sz="4" w:space="0" w:color="auto"/>
              <w:bottom w:val="nil"/>
              <w:right w:val="single" w:sz="4" w:space="0" w:color="auto"/>
            </w:tcBorders>
            <w:vAlign w:val="center"/>
            <w:hideMark/>
          </w:tcPr>
          <w:p w14:paraId="441BE725" w14:textId="77777777" w:rsidR="00C15F2E" w:rsidRPr="00D96063" w:rsidRDefault="00C15F2E">
            <w:pPr>
              <w:ind w:right="57"/>
              <w:jc w:val="right"/>
              <w:rPr>
                <w:bCs/>
                <w:sz w:val="16"/>
                <w:szCs w:val="16"/>
              </w:rPr>
            </w:pPr>
            <w:r w:rsidRPr="00D96063">
              <w:rPr>
                <w:bCs/>
                <w:sz w:val="16"/>
                <w:szCs w:val="16"/>
              </w:rPr>
              <w:t>31.4</w:t>
            </w:r>
          </w:p>
        </w:tc>
        <w:tc>
          <w:tcPr>
            <w:tcW w:w="446" w:type="pct"/>
            <w:tcBorders>
              <w:top w:val="nil"/>
              <w:left w:val="single" w:sz="4" w:space="0" w:color="auto"/>
              <w:bottom w:val="nil"/>
              <w:right w:val="single" w:sz="4" w:space="0" w:color="auto"/>
            </w:tcBorders>
            <w:vAlign w:val="center"/>
            <w:hideMark/>
          </w:tcPr>
          <w:p w14:paraId="7D7F43EA" w14:textId="77777777" w:rsidR="00C15F2E" w:rsidRPr="00D96063" w:rsidRDefault="00C15F2E">
            <w:pPr>
              <w:ind w:right="57"/>
              <w:jc w:val="right"/>
              <w:rPr>
                <w:bCs/>
                <w:sz w:val="16"/>
                <w:szCs w:val="16"/>
              </w:rPr>
            </w:pPr>
            <w:r w:rsidRPr="00D96063">
              <w:rPr>
                <w:bCs/>
                <w:sz w:val="16"/>
                <w:szCs w:val="16"/>
              </w:rPr>
              <w:t>47.6</w:t>
            </w:r>
          </w:p>
        </w:tc>
        <w:tc>
          <w:tcPr>
            <w:tcW w:w="446" w:type="pct"/>
            <w:tcBorders>
              <w:top w:val="nil"/>
              <w:left w:val="single" w:sz="4" w:space="0" w:color="auto"/>
              <w:bottom w:val="nil"/>
              <w:right w:val="single" w:sz="4" w:space="0" w:color="auto"/>
            </w:tcBorders>
            <w:vAlign w:val="center"/>
            <w:hideMark/>
          </w:tcPr>
          <w:p w14:paraId="165D612B" w14:textId="77777777" w:rsidR="00C15F2E" w:rsidRPr="00D96063" w:rsidRDefault="00C15F2E">
            <w:pPr>
              <w:ind w:right="57"/>
              <w:jc w:val="right"/>
              <w:rPr>
                <w:bCs/>
                <w:sz w:val="16"/>
                <w:szCs w:val="16"/>
              </w:rPr>
            </w:pPr>
            <w:r w:rsidRPr="00D96063">
              <w:rPr>
                <w:bCs/>
                <w:sz w:val="16"/>
                <w:szCs w:val="16"/>
              </w:rPr>
              <w:t>19.6</w:t>
            </w:r>
          </w:p>
        </w:tc>
        <w:tc>
          <w:tcPr>
            <w:tcW w:w="446" w:type="pct"/>
            <w:tcBorders>
              <w:top w:val="nil"/>
              <w:left w:val="single" w:sz="4" w:space="0" w:color="auto"/>
              <w:bottom w:val="nil"/>
              <w:right w:val="single" w:sz="4" w:space="0" w:color="auto"/>
            </w:tcBorders>
            <w:vAlign w:val="center"/>
            <w:hideMark/>
          </w:tcPr>
          <w:p w14:paraId="17657D86" w14:textId="77777777" w:rsidR="00C15F2E" w:rsidRPr="00D96063" w:rsidRDefault="00C15F2E">
            <w:pPr>
              <w:ind w:right="57"/>
              <w:jc w:val="right"/>
              <w:rPr>
                <w:bCs/>
                <w:sz w:val="16"/>
                <w:szCs w:val="16"/>
              </w:rPr>
            </w:pPr>
            <w:r w:rsidRPr="00D96063">
              <w:rPr>
                <w:bCs/>
                <w:sz w:val="16"/>
                <w:szCs w:val="16"/>
              </w:rPr>
              <w:t>31.1</w:t>
            </w:r>
          </w:p>
        </w:tc>
        <w:tc>
          <w:tcPr>
            <w:tcW w:w="446" w:type="pct"/>
            <w:tcBorders>
              <w:top w:val="nil"/>
              <w:left w:val="single" w:sz="4" w:space="0" w:color="auto"/>
              <w:bottom w:val="nil"/>
              <w:right w:val="single" w:sz="4" w:space="0" w:color="auto"/>
            </w:tcBorders>
            <w:vAlign w:val="center"/>
            <w:hideMark/>
          </w:tcPr>
          <w:p w14:paraId="2B8D3B6C" w14:textId="77777777" w:rsidR="00C15F2E" w:rsidRPr="00D96063" w:rsidRDefault="00C15F2E">
            <w:pPr>
              <w:ind w:right="57"/>
              <w:jc w:val="right"/>
              <w:rPr>
                <w:bCs/>
                <w:sz w:val="16"/>
                <w:szCs w:val="16"/>
              </w:rPr>
            </w:pPr>
            <w:r w:rsidRPr="00D96063">
              <w:rPr>
                <w:bCs/>
                <w:sz w:val="16"/>
                <w:szCs w:val="16"/>
              </w:rPr>
              <w:t>9.2</w:t>
            </w:r>
          </w:p>
        </w:tc>
        <w:tc>
          <w:tcPr>
            <w:tcW w:w="446" w:type="pct"/>
            <w:tcBorders>
              <w:top w:val="nil"/>
              <w:left w:val="single" w:sz="4" w:space="0" w:color="auto"/>
              <w:bottom w:val="nil"/>
              <w:right w:val="single" w:sz="4" w:space="0" w:color="auto"/>
            </w:tcBorders>
            <w:vAlign w:val="center"/>
            <w:hideMark/>
          </w:tcPr>
          <w:p w14:paraId="642D6B7C" w14:textId="77777777" w:rsidR="00C15F2E" w:rsidRPr="00D96063" w:rsidRDefault="00C15F2E">
            <w:pPr>
              <w:ind w:right="57"/>
              <w:jc w:val="right"/>
              <w:rPr>
                <w:bCs/>
                <w:sz w:val="16"/>
                <w:szCs w:val="16"/>
              </w:rPr>
            </w:pPr>
            <w:r w:rsidRPr="00D96063">
              <w:rPr>
                <w:bCs/>
                <w:sz w:val="16"/>
                <w:szCs w:val="16"/>
              </w:rPr>
              <w:t>46.1</w:t>
            </w:r>
          </w:p>
        </w:tc>
        <w:tc>
          <w:tcPr>
            <w:tcW w:w="446" w:type="pct"/>
            <w:tcBorders>
              <w:top w:val="nil"/>
              <w:left w:val="single" w:sz="4" w:space="0" w:color="auto"/>
              <w:bottom w:val="nil"/>
              <w:right w:val="single" w:sz="4" w:space="0" w:color="auto"/>
            </w:tcBorders>
            <w:vAlign w:val="center"/>
            <w:hideMark/>
          </w:tcPr>
          <w:p w14:paraId="3D81584D" w14:textId="77777777" w:rsidR="00C15F2E" w:rsidRPr="00D96063" w:rsidRDefault="00C15F2E">
            <w:pPr>
              <w:ind w:right="57"/>
              <w:jc w:val="right"/>
              <w:rPr>
                <w:bCs/>
                <w:sz w:val="16"/>
                <w:szCs w:val="16"/>
              </w:rPr>
            </w:pPr>
            <w:r w:rsidRPr="00D96063">
              <w:rPr>
                <w:bCs/>
                <w:sz w:val="16"/>
                <w:szCs w:val="16"/>
              </w:rPr>
              <w:t>27.5</w:t>
            </w:r>
          </w:p>
        </w:tc>
        <w:tc>
          <w:tcPr>
            <w:tcW w:w="446" w:type="pct"/>
            <w:tcBorders>
              <w:top w:val="nil"/>
              <w:left w:val="single" w:sz="4" w:space="0" w:color="auto"/>
              <w:bottom w:val="nil"/>
              <w:right w:val="single" w:sz="4" w:space="0" w:color="auto"/>
            </w:tcBorders>
            <w:vAlign w:val="center"/>
            <w:hideMark/>
          </w:tcPr>
          <w:p w14:paraId="26255D2A" w14:textId="77777777" w:rsidR="00C15F2E" w:rsidRPr="00D96063" w:rsidRDefault="00C15F2E">
            <w:pPr>
              <w:ind w:right="57"/>
              <w:jc w:val="right"/>
              <w:rPr>
                <w:bCs/>
                <w:sz w:val="16"/>
                <w:szCs w:val="16"/>
              </w:rPr>
            </w:pPr>
            <w:r w:rsidRPr="00D96063">
              <w:rPr>
                <w:bCs/>
                <w:sz w:val="16"/>
                <w:szCs w:val="16"/>
              </w:rPr>
              <w:t>30.3</w:t>
            </w:r>
          </w:p>
        </w:tc>
        <w:tc>
          <w:tcPr>
            <w:tcW w:w="446" w:type="pct"/>
            <w:tcBorders>
              <w:top w:val="nil"/>
              <w:left w:val="single" w:sz="4" w:space="0" w:color="auto"/>
              <w:bottom w:val="nil"/>
              <w:right w:val="single" w:sz="4" w:space="0" w:color="auto"/>
            </w:tcBorders>
            <w:vAlign w:val="center"/>
            <w:hideMark/>
          </w:tcPr>
          <w:p w14:paraId="0273C9E9" w14:textId="77777777" w:rsidR="00C15F2E" w:rsidRPr="00D96063" w:rsidRDefault="00C15F2E">
            <w:pPr>
              <w:ind w:right="57"/>
              <w:jc w:val="right"/>
              <w:rPr>
                <w:bCs/>
                <w:sz w:val="16"/>
                <w:szCs w:val="16"/>
              </w:rPr>
            </w:pPr>
            <w:r w:rsidRPr="00D96063">
              <w:rPr>
                <w:bCs/>
                <w:sz w:val="16"/>
                <w:szCs w:val="16"/>
              </w:rPr>
              <w:t>51.6</w:t>
            </w:r>
          </w:p>
        </w:tc>
      </w:tr>
      <w:tr w:rsidR="00C15F2E" w:rsidRPr="00D96063" w14:paraId="00500DB8" w14:textId="77777777" w:rsidTr="0043001E">
        <w:trPr>
          <w:cnfStyle w:val="000000010000" w:firstRow="0" w:lastRow="0" w:firstColumn="0" w:lastColumn="0" w:oddVBand="0" w:evenVBand="0" w:oddHBand="0" w:evenHBand="1" w:firstRowFirstColumn="0" w:firstRowLastColumn="0" w:lastRowFirstColumn="0" w:lastRowLastColumn="0"/>
          <w:cantSplit/>
        </w:trPr>
        <w:tc>
          <w:tcPr>
            <w:tcW w:w="985" w:type="pct"/>
            <w:tcBorders>
              <w:top w:val="nil"/>
              <w:left w:val="single" w:sz="4" w:space="0" w:color="auto"/>
              <w:bottom w:val="nil"/>
              <w:right w:val="single" w:sz="4" w:space="0" w:color="auto"/>
            </w:tcBorders>
            <w:hideMark/>
          </w:tcPr>
          <w:p w14:paraId="6C702A50" w14:textId="77777777" w:rsidR="00C15F2E" w:rsidRPr="00D96063" w:rsidRDefault="00C15F2E">
            <w:pPr>
              <w:jc w:val="left"/>
              <w:rPr>
                <w:rFonts w:cs="Calibri"/>
                <w:b/>
                <w:bCs/>
                <w:sz w:val="16"/>
                <w:szCs w:val="16"/>
              </w:rPr>
            </w:pPr>
            <w:r w:rsidRPr="00D96063">
              <w:rPr>
                <w:sz w:val="16"/>
                <w:szCs w:val="16"/>
              </w:rPr>
              <w:t>Single source</w:t>
            </w:r>
          </w:p>
        </w:tc>
        <w:tc>
          <w:tcPr>
            <w:tcW w:w="446" w:type="pct"/>
            <w:tcBorders>
              <w:top w:val="nil"/>
              <w:left w:val="single" w:sz="4" w:space="0" w:color="auto"/>
              <w:bottom w:val="nil"/>
              <w:right w:val="single" w:sz="4" w:space="0" w:color="auto"/>
            </w:tcBorders>
            <w:vAlign w:val="center"/>
            <w:hideMark/>
          </w:tcPr>
          <w:p w14:paraId="26142F28" w14:textId="77777777" w:rsidR="00C15F2E" w:rsidRPr="00D96063" w:rsidRDefault="00C15F2E">
            <w:pPr>
              <w:ind w:right="57"/>
              <w:jc w:val="right"/>
              <w:rPr>
                <w:bCs/>
                <w:sz w:val="16"/>
                <w:szCs w:val="16"/>
              </w:rPr>
            </w:pPr>
            <w:r w:rsidRPr="00D96063">
              <w:rPr>
                <w:bCs/>
                <w:sz w:val="16"/>
                <w:szCs w:val="16"/>
              </w:rPr>
              <w:t>6.1</w:t>
            </w:r>
          </w:p>
        </w:tc>
        <w:tc>
          <w:tcPr>
            <w:tcW w:w="446" w:type="pct"/>
            <w:tcBorders>
              <w:top w:val="nil"/>
              <w:left w:val="single" w:sz="4" w:space="0" w:color="auto"/>
              <w:bottom w:val="nil"/>
              <w:right w:val="single" w:sz="4" w:space="0" w:color="auto"/>
            </w:tcBorders>
            <w:vAlign w:val="center"/>
            <w:hideMark/>
          </w:tcPr>
          <w:p w14:paraId="6F61E12D" w14:textId="77777777" w:rsidR="00C15F2E" w:rsidRPr="00D96063" w:rsidRDefault="00C15F2E">
            <w:pPr>
              <w:ind w:right="57"/>
              <w:jc w:val="right"/>
              <w:rPr>
                <w:bCs/>
                <w:sz w:val="16"/>
                <w:szCs w:val="16"/>
              </w:rPr>
            </w:pPr>
            <w:r w:rsidRPr="00D96063">
              <w:rPr>
                <w:bCs/>
                <w:sz w:val="16"/>
                <w:szCs w:val="16"/>
              </w:rPr>
              <w:t>4.4</w:t>
            </w:r>
          </w:p>
        </w:tc>
        <w:tc>
          <w:tcPr>
            <w:tcW w:w="446" w:type="pct"/>
            <w:tcBorders>
              <w:top w:val="nil"/>
              <w:left w:val="single" w:sz="4" w:space="0" w:color="auto"/>
              <w:bottom w:val="nil"/>
              <w:right w:val="single" w:sz="4" w:space="0" w:color="auto"/>
            </w:tcBorders>
            <w:vAlign w:val="center"/>
            <w:hideMark/>
          </w:tcPr>
          <w:p w14:paraId="19087EC6" w14:textId="77777777" w:rsidR="00C15F2E" w:rsidRPr="00D96063" w:rsidRDefault="00C15F2E">
            <w:pPr>
              <w:ind w:right="57"/>
              <w:jc w:val="right"/>
              <w:rPr>
                <w:bCs/>
                <w:sz w:val="16"/>
                <w:szCs w:val="16"/>
              </w:rPr>
            </w:pPr>
            <w:r w:rsidRPr="00D96063">
              <w:rPr>
                <w:bCs/>
                <w:sz w:val="16"/>
                <w:szCs w:val="16"/>
              </w:rPr>
              <w:t>40</w:t>
            </w:r>
          </w:p>
        </w:tc>
        <w:tc>
          <w:tcPr>
            <w:tcW w:w="446" w:type="pct"/>
            <w:tcBorders>
              <w:top w:val="nil"/>
              <w:left w:val="single" w:sz="4" w:space="0" w:color="auto"/>
              <w:bottom w:val="nil"/>
              <w:right w:val="single" w:sz="4" w:space="0" w:color="auto"/>
            </w:tcBorders>
            <w:vAlign w:val="center"/>
            <w:hideMark/>
          </w:tcPr>
          <w:p w14:paraId="75F43C7B" w14:textId="77777777" w:rsidR="00C15F2E" w:rsidRPr="00D96063" w:rsidRDefault="00C15F2E">
            <w:pPr>
              <w:ind w:right="57"/>
              <w:jc w:val="right"/>
              <w:rPr>
                <w:bCs/>
                <w:sz w:val="16"/>
                <w:szCs w:val="16"/>
              </w:rPr>
            </w:pPr>
            <w:r w:rsidRPr="00D96063">
              <w:rPr>
                <w:bCs/>
                <w:sz w:val="16"/>
                <w:szCs w:val="16"/>
              </w:rPr>
              <w:t>19.9</w:t>
            </w:r>
          </w:p>
        </w:tc>
        <w:tc>
          <w:tcPr>
            <w:tcW w:w="446" w:type="pct"/>
            <w:tcBorders>
              <w:top w:val="nil"/>
              <w:left w:val="single" w:sz="4" w:space="0" w:color="auto"/>
              <w:bottom w:val="nil"/>
              <w:right w:val="single" w:sz="4" w:space="0" w:color="auto"/>
            </w:tcBorders>
            <w:vAlign w:val="center"/>
            <w:hideMark/>
          </w:tcPr>
          <w:p w14:paraId="35C1309F" w14:textId="77777777" w:rsidR="00C15F2E" w:rsidRPr="00D96063" w:rsidRDefault="00C15F2E">
            <w:pPr>
              <w:ind w:right="57"/>
              <w:jc w:val="right"/>
              <w:rPr>
                <w:bCs/>
                <w:sz w:val="16"/>
                <w:szCs w:val="16"/>
              </w:rPr>
            </w:pPr>
            <w:r w:rsidRPr="00D96063">
              <w:rPr>
                <w:bCs/>
                <w:sz w:val="16"/>
                <w:szCs w:val="16"/>
              </w:rPr>
              <w:t>10.4</w:t>
            </w:r>
          </w:p>
        </w:tc>
        <w:tc>
          <w:tcPr>
            <w:tcW w:w="446" w:type="pct"/>
            <w:tcBorders>
              <w:top w:val="nil"/>
              <w:left w:val="single" w:sz="4" w:space="0" w:color="auto"/>
              <w:bottom w:val="nil"/>
              <w:right w:val="single" w:sz="4" w:space="0" w:color="auto"/>
            </w:tcBorders>
            <w:vAlign w:val="center"/>
            <w:hideMark/>
          </w:tcPr>
          <w:p w14:paraId="4F731A01" w14:textId="77777777" w:rsidR="00C15F2E" w:rsidRPr="00D96063" w:rsidRDefault="00C15F2E">
            <w:pPr>
              <w:ind w:right="57"/>
              <w:jc w:val="right"/>
              <w:rPr>
                <w:bCs/>
                <w:sz w:val="16"/>
                <w:szCs w:val="16"/>
              </w:rPr>
            </w:pPr>
            <w:r w:rsidRPr="00D96063">
              <w:rPr>
                <w:bCs/>
                <w:sz w:val="16"/>
                <w:szCs w:val="16"/>
              </w:rPr>
              <w:t>6.5</w:t>
            </w:r>
          </w:p>
        </w:tc>
        <w:tc>
          <w:tcPr>
            <w:tcW w:w="446" w:type="pct"/>
            <w:tcBorders>
              <w:top w:val="nil"/>
              <w:left w:val="single" w:sz="4" w:space="0" w:color="auto"/>
              <w:bottom w:val="nil"/>
              <w:right w:val="single" w:sz="4" w:space="0" w:color="auto"/>
            </w:tcBorders>
            <w:vAlign w:val="center"/>
            <w:hideMark/>
          </w:tcPr>
          <w:p w14:paraId="0DB974D4" w14:textId="77777777" w:rsidR="00C15F2E" w:rsidRPr="00D96063" w:rsidRDefault="00C15F2E">
            <w:pPr>
              <w:ind w:right="57"/>
              <w:jc w:val="right"/>
              <w:rPr>
                <w:bCs/>
                <w:sz w:val="16"/>
                <w:szCs w:val="16"/>
              </w:rPr>
            </w:pPr>
            <w:r w:rsidRPr="00D96063">
              <w:rPr>
                <w:bCs/>
                <w:sz w:val="16"/>
                <w:szCs w:val="16"/>
              </w:rPr>
              <w:t>3.8</w:t>
            </w:r>
          </w:p>
        </w:tc>
        <w:tc>
          <w:tcPr>
            <w:tcW w:w="446" w:type="pct"/>
            <w:tcBorders>
              <w:top w:val="nil"/>
              <w:left w:val="single" w:sz="4" w:space="0" w:color="auto"/>
              <w:bottom w:val="nil"/>
              <w:right w:val="single" w:sz="4" w:space="0" w:color="auto"/>
            </w:tcBorders>
            <w:vAlign w:val="center"/>
            <w:hideMark/>
          </w:tcPr>
          <w:p w14:paraId="1EC3A20A" w14:textId="77777777" w:rsidR="00C15F2E" w:rsidRPr="00D96063" w:rsidRDefault="00C15F2E">
            <w:pPr>
              <w:ind w:right="57"/>
              <w:jc w:val="right"/>
              <w:rPr>
                <w:bCs/>
                <w:sz w:val="16"/>
                <w:szCs w:val="16"/>
              </w:rPr>
            </w:pPr>
            <w:r w:rsidRPr="00D96063">
              <w:rPr>
                <w:bCs/>
                <w:sz w:val="16"/>
                <w:szCs w:val="16"/>
              </w:rPr>
              <w:t>19.6</w:t>
            </w:r>
          </w:p>
        </w:tc>
        <w:tc>
          <w:tcPr>
            <w:tcW w:w="446" w:type="pct"/>
            <w:tcBorders>
              <w:top w:val="nil"/>
              <w:left w:val="single" w:sz="4" w:space="0" w:color="auto"/>
              <w:bottom w:val="nil"/>
              <w:right w:val="single" w:sz="4" w:space="0" w:color="auto"/>
            </w:tcBorders>
            <w:vAlign w:val="center"/>
            <w:hideMark/>
          </w:tcPr>
          <w:p w14:paraId="522C15E0" w14:textId="77777777" w:rsidR="00C15F2E" w:rsidRPr="00D96063" w:rsidRDefault="00C15F2E">
            <w:pPr>
              <w:ind w:right="57"/>
              <w:jc w:val="right"/>
              <w:rPr>
                <w:bCs/>
                <w:sz w:val="16"/>
                <w:szCs w:val="16"/>
              </w:rPr>
            </w:pPr>
            <w:r w:rsidRPr="00D96063">
              <w:rPr>
                <w:bCs/>
                <w:sz w:val="16"/>
                <w:szCs w:val="16"/>
              </w:rPr>
              <w:t>8.1</w:t>
            </w:r>
          </w:p>
        </w:tc>
      </w:tr>
      <w:tr w:rsidR="00C15F2E" w:rsidRPr="00D96063" w14:paraId="68C825E6" w14:textId="77777777" w:rsidTr="0043001E">
        <w:trPr>
          <w:cantSplit/>
        </w:trPr>
        <w:tc>
          <w:tcPr>
            <w:tcW w:w="985" w:type="pct"/>
            <w:tcBorders>
              <w:top w:val="nil"/>
              <w:left w:val="single" w:sz="4" w:space="0" w:color="auto"/>
              <w:bottom w:val="nil"/>
              <w:right w:val="single" w:sz="4" w:space="0" w:color="auto"/>
            </w:tcBorders>
            <w:hideMark/>
          </w:tcPr>
          <w:p w14:paraId="1A2AE912" w14:textId="77777777" w:rsidR="00C15F2E" w:rsidRPr="00D96063" w:rsidRDefault="00C15F2E">
            <w:pPr>
              <w:jc w:val="left"/>
              <w:rPr>
                <w:sz w:val="16"/>
                <w:szCs w:val="16"/>
              </w:rPr>
            </w:pPr>
            <w:r w:rsidRPr="00D96063">
              <w:rPr>
                <w:sz w:val="16"/>
                <w:szCs w:val="16"/>
              </w:rPr>
              <w:t>National competitive tender</w:t>
            </w:r>
          </w:p>
        </w:tc>
        <w:tc>
          <w:tcPr>
            <w:tcW w:w="446" w:type="pct"/>
            <w:tcBorders>
              <w:top w:val="nil"/>
              <w:left w:val="single" w:sz="4" w:space="0" w:color="auto"/>
              <w:bottom w:val="nil"/>
              <w:right w:val="single" w:sz="4" w:space="0" w:color="auto"/>
            </w:tcBorders>
            <w:vAlign w:val="center"/>
            <w:hideMark/>
          </w:tcPr>
          <w:p w14:paraId="7B3C04DE" w14:textId="77777777" w:rsidR="00C15F2E" w:rsidRPr="00D96063" w:rsidRDefault="00C15F2E">
            <w:pPr>
              <w:ind w:right="57"/>
              <w:jc w:val="right"/>
              <w:rPr>
                <w:bCs/>
                <w:sz w:val="16"/>
                <w:szCs w:val="16"/>
              </w:rPr>
            </w:pPr>
            <w:r w:rsidRPr="00D96063">
              <w:rPr>
                <w:bCs/>
                <w:sz w:val="16"/>
                <w:szCs w:val="16"/>
              </w:rPr>
              <w:t>51.2</w:t>
            </w:r>
          </w:p>
        </w:tc>
        <w:tc>
          <w:tcPr>
            <w:tcW w:w="446" w:type="pct"/>
            <w:tcBorders>
              <w:top w:val="nil"/>
              <w:left w:val="single" w:sz="4" w:space="0" w:color="auto"/>
              <w:bottom w:val="nil"/>
              <w:right w:val="single" w:sz="4" w:space="0" w:color="auto"/>
            </w:tcBorders>
            <w:vAlign w:val="center"/>
            <w:hideMark/>
          </w:tcPr>
          <w:p w14:paraId="4893C319" w14:textId="77777777" w:rsidR="00C15F2E" w:rsidRPr="00D96063" w:rsidRDefault="00C15F2E">
            <w:pPr>
              <w:ind w:right="57"/>
              <w:jc w:val="right"/>
              <w:rPr>
                <w:bCs/>
                <w:sz w:val="16"/>
                <w:szCs w:val="16"/>
              </w:rPr>
            </w:pPr>
            <w:r w:rsidRPr="00D96063">
              <w:rPr>
                <w:bCs/>
                <w:sz w:val="16"/>
                <w:szCs w:val="16"/>
              </w:rPr>
              <w:t>30.1</w:t>
            </w:r>
          </w:p>
        </w:tc>
        <w:tc>
          <w:tcPr>
            <w:tcW w:w="446" w:type="pct"/>
            <w:tcBorders>
              <w:top w:val="nil"/>
              <w:left w:val="single" w:sz="4" w:space="0" w:color="auto"/>
              <w:bottom w:val="nil"/>
              <w:right w:val="single" w:sz="4" w:space="0" w:color="auto"/>
            </w:tcBorders>
            <w:vAlign w:val="center"/>
            <w:hideMark/>
          </w:tcPr>
          <w:p w14:paraId="67B06B46" w14:textId="77777777" w:rsidR="00C15F2E" w:rsidRPr="00D96063" w:rsidRDefault="00C15F2E">
            <w:pPr>
              <w:ind w:right="57"/>
              <w:jc w:val="right"/>
              <w:rPr>
                <w:bCs/>
                <w:sz w:val="16"/>
                <w:szCs w:val="16"/>
              </w:rPr>
            </w:pPr>
            <w:r w:rsidRPr="00D96063">
              <w:rPr>
                <w:bCs/>
                <w:sz w:val="16"/>
                <w:szCs w:val="16"/>
              </w:rPr>
              <w:t>34.4</w:t>
            </w:r>
          </w:p>
        </w:tc>
        <w:tc>
          <w:tcPr>
            <w:tcW w:w="446" w:type="pct"/>
            <w:tcBorders>
              <w:top w:val="nil"/>
              <w:left w:val="single" w:sz="4" w:space="0" w:color="auto"/>
              <w:bottom w:val="nil"/>
              <w:right w:val="single" w:sz="4" w:space="0" w:color="auto"/>
            </w:tcBorders>
            <w:vAlign w:val="center"/>
            <w:hideMark/>
          </w:tcPr>
          <w:p w14:paraId="76104A6C" w14:textId="77777777" w:rsidR="00C15F2E" w:rsidRPr="00D96063" w:rsidRDefault="00C15F2E">
            <w:pPr>
              <w:ind w:right="57"/>
              <w:jc w:val="right"/>
              <w:rPr>
                <w:bCs/>
                <w:sz w:val="16"/>
                <w:szCs w:val="16"/>
              </w:rPr>
            </w:pPr>
            <w:r w:rsidRPr="00D96063">
              <w:rPr>
                <w:bCs/>
                <w:sz w:val="16"/>
                <w:szCs w:val="16"/>
              </w:rPr>
              <w:t>45.5</w:t>
            </w:r>
          </w:p>
        </w:tc>
        <w:tc>
          <w:tcPr>
            <w:tcW w:w="446" w:type="pct"/>
            <w:tcBorders>
              <w:top w:val="nil"/>
              <w:left w:val="single" w:sz="4" w:space="0" w:color="auto"/>
              <w:bottom w:val="nil"/>
              <w:right w:val="single" w:sz="4" w:space="0" w:color="auto"/>
            </w:tcBorders>
            <w:vAlign w:val="center"/>
            <w:hideMark/>
          </w:tcPr>
          <w:p w14:paraId="6A0403F3" w14:textId="77777777" w:rsidR="00C15F2E" w:rsidRPr="00D96063" w:rsidRDefault="00C15F2E">
            <w:pPr>
              <w:ind w:right="57"/>
              <w:jc w:val="right"/>
              <w:rPr>
                <w:bCs/>
                <w:sz w:val="16"/>
                <w:szCs w:val="16"/>
              </w:rPr>
            </w:pPr>
            <w:r w:rsidRPr="00D96063">
              <w:rPr>
                <w:bCs/>
                <w:sz w:val="16"/>
                <w:szCs w:val="16"/>
              </w:rPr>
              <w:t>67.2</w:t>
            </w:r>
          </w:p>
        </w:tc>
        <w:tc>
          <w:tcPr>
            <w:tcW w:w="446" w:type="pct"/>
            <w:tcBorders>
              <w:top w:val="nil"/>
              <w:left w:val="single" w:sz="4" w:space="0" w:color="auto"/>
              <w:bottom w:val="nil"/>
              <w:right w:val="single" w:sz="4" w:space="0" w:color="auto"/>
            </w:tcBorders>
            <w:vAlign w:val="center"/>
            <w:hideMark/>
          </w:tcPr>
          <w:p w14:paraId="37185EB7" w14:textId="77777777" w:rsidR="00C15F2E" w:rsidRPr="00D96063" w:rsidRDefault="00C15F2E">
            <w:pPr>
              <w:ind w:right="57"/>
              <w:jc w:val="right"/>
              <w:rPr>
                <w:bCs/>
                <w:sz w:val="16"/>
                <w:szCs w:val="16"/>
              </w:rPr>
            </w:pPr>
            <w:r w:rsidRPr="00D96063">
              <w:rPr>
                <w:bCs/>
                <w:sz w:val="16"/>
                <w:szCs w:val="16"/>
              </w:rPr>
              <w:t>39.0</w:t>
            </w:r>
          </w:p>
        </w:tc>
        <w:tc>
          <w:tcPr>
            <w:tcW w:w="446" w:type="pct"/>
            <w:tcBorders>
              <w:top w:val="nil"/>
              <w:left w:val="single" w:sz="4" w:space="0" w:color="auto"/>
              <w:bottom w:val="nil"/>
              <w:right w:val="single" w:sz="4" w:space="0" w:color="auto"/>
            </w:tcBorders>
            <w:vAlign w:val="center"/>
            <w:hideMark/>
          </w:tcPr>
          <w:p w14:paraId="3CF6595D" w14:textId="77777777" w:rsidR="00C15F2E" w:rsidRPr="00D96063" w:rsidRDefault="00C15F2E">
            <w:pPr>
              <w:ind w:right="57"/>
              <w:jc w:val="right"/>
              <w:rPr>
                <w:bCs/>
                <w:sz w:val="16"/>
                <w:szCs w:val="16"/>
              </w:rPr>
            </w:pPr>
            <w:r w:rsidRPr="00D96063">
              <w:rPr>
                <w:bCs/>
                <w:sz w:val="16"/>
                <w:szCs w:val="16"/>
              </w:rPr>
              <w:t>61.6</w:t>
            </w:r>
          </w:p>
        </w:tc>
        <w:tc>
          <w:tcPr>
            <w:tcW w:w="446" w:type="pct"/>
            <w:tcBorders>
              <w:top w:val="nil"/>
              <w:left w:val="single" w:sz="4" w:space="0" w:color="auto"/>
              <w:bottom w:val="nil"/>
              <w:right w:val="single" w:sz="4" w:space="0" w:color="auto"/>
            </w:tcBorders>
            <w:vAlign w:val="center"/>
            <w:hideMark/>
          </w:tcPr>
          <w:p w14:paraId="51CF182E" w14:textId="77777777" w:rsidR="00C15F2E" w:rsidRPr="00D96063" w:rsidRDefault="00C15F2E">
            <w:pPr>
              <w:ind w:right="57"/>
              <w:jc w:val="right"/>
              <w:rPr>
                <w:bCs/>
                <w:sz w:val="16"/>
                <w:szCs w:val="16"/>
              </w:rPr>
            </w:pPr>
            <w:r w:rsidRPr="00D96063">
              <w:rPr>
                <w:bCs/>
                <w:sz w:val="16"/>
                <w:szCs w:val="16"/>
              </w:rPr>
              <w:t>34.1</w:t>
            </w:r>
          </w:p>
        </w:tc>
        <w:tc>
          <w:tcPr>
            <w:tcW w:w="446" w:type="pct"/>
            <w:tcBorders>
              <w:top w:val="nil"/>
              <w:left w:val="single" w:sz="4" w:space="0" w:color="auto"/>
              <w:bottom w:val="nil"/>
              <w:right w:val="single" w:sz="4" w:space="0" w:color="auto"/>
            </w:tcBorders>
            <w:vAlign w:val="center"/>
            <w:hideMark/>
          </w:tcPr>
          <w:p w14:paraId="10DF7CEC" w14:textId="77777777" w:rsidR="00C15F2E" w:rsidRPr="00D96063" w:rsidRDefault="00C15F2E">
            <w:pPr>
              <w:ind w:right="57"/>
              <w:jc w:val="right"/>
              <w:rPr>
                <w:bCs/>
                <w:sz w:val="16"/>
                <w:szCs w:val="16"/>
              </w:rPr>
            </w:pPr>
            <w:r w:rsidRPr="00D96063">
              <w:rPr>
                <w:bCs/>
                <w:sz w:val="16"/>
                <w:szCs w:val="16"/>
              </w:rPr>
              <w:t>31.5</w:t>
            </w:r>
          </w:p>
        </w:tc>
      </w:tr>
      <w:tr w:rsidR="00C15F2E" w:rsidRPr="00D96063" w14:paraId="49286734" w14:textId="77777777" w:rsidTr="0043001E">
        <w:trPr>
          <w:cnfStyle w:val="000000010000" w:firstRow="0" w:lastRow="0" w:firstColumn="0" w:lastColumn="0" w:oddVBand="0" w:evenVBand="0" w:oddHBand="0" w:evenHBand="1" w:firstRowFirstColumn="0" w:firstRowLastColumn="0" w:lastRowFirstColumn="0" w:lastRowLastColumn="0"/>
          <w:cantSplit/>
        </w:trPr>
        <w:tc>
          <w:tcPr>
            <w:tcW w:w="985" w:type="pct"/>
            <w:tcBorders>
              <w:top w:val="nil"/>
              <w:left w:val="single" w:sz="4" w:space="0" w:color="auto"/>
              <w:bottom w:val="nil"/>
              <w:right w:val="single" w:sz="4" w:space="0" w:color="auto"/>
            </w:tcBorders>
            <w:hideMark/>
          </w:tcPr>
          <w:p w14:paraId="6162E349" w14:textId="77777777" w:rsidR="00C15F2E" w:rsidRPr="00D96063" w:rsidRDefault="00C15F2E">
            <w:pPr>
              <w:jc w:val="left"/>
              <w:rPr>
                <w:sz w:val="16"/>
                <w:szCs w:val="16"/>
              </w:rPr>
            </w:pPr>
            <w:r w:rsidRPr="00D96063">
              <w:rPr>
                <w:sz w:val="16"/>
                <w:szCs w:val="16"/>
              </w:rPr>
              <w:t>Price quotation</w:t>
            </w:r>
          </w:p>
        </w:tc>
        <w:tc>
          <w:tcPr>
            <w:tcW w:w="446" w:type="pct"/>
            <w:tcBorders>
              <w:top w:val="nil"/>
              <w:left w:val="single" w:sz="4" w:space="0" w:color="auto"/>
              <w:bottom w:val="nil"/>
              <w:right w:val="single" w:sz="4" w:space="0" w:color="auto"/>
            </w:tcBorders>
            <w:vAlign w:val="center"/>
            <w:hideMark/>
          </w:tcPr>
          <w:p w14:paraId="29B65597" w14:textId="77777777" w:rsidR="00C15F2E" w:rsidRPr="00D96063" w:rsidRDefault="00C15F2E">
            <w:pPr>
              <w:ind w:right="57"/>
              <w:jc w:val="right"/>
              <w:rPr>
                <w:sz w:val="16"/>
                <w:szCs w:val="16"/>
              </w:rPr>
            </w:pPr>
            <w:r w:rsidRPr="00D96063">
              <w:rPr>
                <w:sz w:val="16"/>
                <w:szCs w:val="16"/>
              </w:rPr>
              <w:t>8.2</w:t>
            </w:r>
          </w:p>
        </w:tc>
        <w:tc>
          <w:tcPr>
            <w:tcW w:w="446" w:type="pct"/>
            <w:tcBorders>
              <w:top w:val="nil"/>
              <w:left w:val="single" w:sz="4" w:space="0" w:color="auto"/>
              <w:bottom w:val="nil"/>
              <w:right w:val="single" w:sz="4" w:space="0" w:color="auto"/>
            </w:tcBorders>
            <w:vAlign w:val="center"/>
            <w:hideMark/>
          </w:tcPr>
          <w:p w14:paraId="52FE552D" w14:textId="77777777" w:rsidR="00C15F2E" w:rsidRPr="00D96063" w:rsidRDefault="00C15F2E">
            <w:pPr>
              <w:ind w:right="57"/>
              <w:jc w:val="right"/>
              <w:rPr>
                <w:sz w:val="16"/>
                <w:szCs w:val="16"/>
              </w:rPr>
            </w:pPr>
            <w:r w:rsidRPr="00D96063">
              <w:rPr>
                <w:sz w:val="16"/>
                <w:szCs w:val="16"/>
              </w:rPr>
              <w:t>7.5</w:t>
            </w:r>
          </w:p>
        </w:tc>
        <w:tc>
          <w:tcPr>
            <w:tcW w:w="446" w:type="pct"/>
            <w:tcBorders>
              <w:top w:val="nil"/>
              <w:left w:val="single" w:sz="4" w:space="0" w:color="auto"/>
              <w:bottom w:val="nil"/>
              <w:right w:val="single" w:sz="4" w:space="0" w:color="auto"/>
            </w:tcBorders>
            <w:vAlign w:val="center"/>
            <w:hideMark/>
          </w:tcPr>
          <w:p w14:paraId="02167897" w14:textId="77777777" w:rsidR="00C15F2E" w:rsidRPr="00D96063" w:rsidRDefault="00C15F2E">
            <w:pPr>
              <w:ind w:right="57"/>
              <w:jc w:val="right"/>
              <w:rPr>
                <w:sz w:val="16"/>
                <w:szCs w:val="16"/>
              </w:rPr>
            </w:pPr>
            <w:r w:rsidRPr="00D96063">
              <w:rPr>
                <w:sz w:val="16"/>
                <w:szCs w:val="16"/>
              </w:rPr>
              <w:t>5.6</w:t>
            </w:r>
          </w:p>
        </w:tc>
        <w:tc>
          <w:tcPr>
            <w:tcW w:w="446" w:type="pct"/>
            <w:tcBorders>
              <w:top w:val="nil"/>
              <w:left w:val="single" w:sz="4" w:space="0" w:color="auto"/>
              <w:bottom w:val="nil"/>
              <w:right w:val="single" w:sz="4" w:space="0" w:color="auto"/>
            </w:tcBorders>
            <w:vAlign w:val="center"/>
            <w:hideMark/>
          </w:tcPr>
          <w:p w14:paraId="331CF925" w14:textId="77777777" w:rsidR="00C15F2E" w:rsidRPr="00D96063" w:rsidRDefault="00C15F2E">
            <w:pPr>
              <w:ind w:right="57"/>
              <w:jc w:val="right"/>
              <w:rPr>
                <w:sz w:val="16"/>
                <w:szCs w:val="16"/>
              </w:rPr>
            </w:pPr>
            <w:r w:rsidRPr="00D96063">
              <w:rPr>
                <w:sz w:val="16"/>
                <w:szCs w:val="16"/>
              </w:rPr>
              <w:t>2.3</w:t>
            </w:r>
          </w:p>
        </w:tc>
        <w:tc>
          <w:tcPr>
            <w:tcW w:w="446" w:type="pct"/>
            <w:tcBorders>
              <w:top w:val="nil"/>
              <w:left w:val="single" w:sz="4" w:space="0" w:color="auto"/>
              <w:bottom w:val="nil"/>
              <w:right w:val="single" w:sz="4" w:space="0" w:color="auto"/>
            </w:tcBorders>
            <w:vAlign w:val="center"/>
            <w:hideMark/>
          </w:tcPr>
          <w:p w14:paraId="798ED46F" w14:textId="77777777" w:rsidR="00C15F2E" w:rsidRPr="00D96063" w:rsidRDefault="00C15F2E">
            <w:pPr>
              <w:ind w:right="57"/>
              <w:jc w:val="right"/>
              <w:rPr>
                <w:sz w:val="16"/>
                <w:szCs w:val="16"/>
              </w:rPr>
            </w:pPr>
            <w:r w:rsidRPr="00D96063">
              <w:rPr>
                <w:sz w:val="16"/>
                <w:szCs w:val="16"/>
              </w:rPr>
              <w:t>11.8</w:t>
            </w:r>
          </w:p>
        </w:tc>
        <w:tc>
          <w:tcPr>
            <w:tcW w:w="446" w:type="pct"/>
            <w:tcBorders>
              <w:top w:val="nil"/>
              <w:left w:val="single" w:sz="4" w:space="0" w:color="auto"/>
              <w:bottom w:val="nil"/>
              <w:right w:val="single" w:sz="4" w:space="0" w:color="auto"/>
            </w:tcBorders>
            <w:vAlign w:val="center"/>
            <w:hideMark/>
          </w:tcPr>
          <w:p w14:paraId="7778AEEA" w14:textId="77777777" w:rsidR="00C15F2E" w:rsidRPr="00D96063" w:rsidRDefault="00C15F2E">
            <w:pPr>
              <w:ind w:right="57"/>
              <w:jc w:val="right"/>
              <w:rPr>
                <w:sz w:val="16"/>
                <w:szCs w:val="16"/>
              </w:rPr>
            </w:pPr>
            <w:r w:rsidRPr="00D96063">
              <w:rPr>
                <w:sz w:val="16"/>
                <w:szCs w:val="16"/>
              </w:rPr>
              <w:t>8.1</w:t>
            </w:r>
          </w:p>
        </w:tc>
        <w:tc>
          <w:tcPr>
            <w:tcW w:w="446" w:type="pct"/>
            <w:tcBorders>
              <w:top w:val="nil"/>
              <w:left w:val="single" w:sz="4" w:space="0" w:color="auto"/>
              <w:bottom w:val="nil"/>
              <w:right w:val="single" w:sz="4" w:space="0" w:color="auto"/>
            </w:tcBorders>
            <w:vAlign w:val="center"/>
            <w:hideMark/>
          </w:tcPr>
          <w:p w14:paraId="6BDB4C4E" w14:textId="77777777" w:rsidR="00C15F2E" w:rsidRPr="00D96063" w:rsidRDefault="00C15F2E">
            <w:pPr>
              <w:ind w:right="57"/>
              <w:jc w:val="right"/>
              <w:rPr>
                <w:sz w:val="16"/>
                <w:szCs w:val="16"/>
              </w:rPr>
            </w:pPr>
            <w:r w:rsidRPr="00D96063">
              <w:rPr>
                <w:sz w:val="16"/>
                <w:szCs w:val="16"/>
              </w:rPr>
              <w:t>6.4</w:t>
            </w:r>
          </w:p>
        </w:tc>
        <w:tc>
          <w:tcPr>
            <w:tcW w:w="446" w:type="pct"/>
            <w:tcBorders>
              <w:top w:val="nil"/>
              <w:left w:val="single" w:sz="4" w:space="0" w:color="auto"/>
              <w:bottom w:val="nil"/>
              <w:right w:val="single" w:sz="4" w:space="0" w:color="auto"/>
            </w:tcBorders>
            <w:vAlign w:val="center"/>
            <w:hideMark/>
          </w:tcPr>
          <w:p w14:paraId="570B2B92" w14:textId="77777777" w:rsidR="00C15F2E" w:rsidRPr="00D96063" w:rsidRDefault="00C15F2E">
            <w:pPr>
              <w:ind w:right="57"/>
              <w:jc w:val="right"/>
              <w:rPr>
                <w:sz w:val="16"/>
                <w:szCs w:val="16"/>
              </w:rPr>
            </w:pPr>
            <w:r w:rsidRPr="00D96063">
              <w:rPr>
                <w:sz w:val="16"/>
                <w:szCs w:val="16"/>
              </w:rPr>
              <w:t>15.2</w:t>
            </w:r>
          </w:p>
        </w:tc>
        <w:tc>
          <w:tcPr>
            <w:tcW w:w="446" w:type="pct"/>
            <w:tcBorders>
              <w:top w:val="nil"/>
              <w:left w:val="single" w:sz="4" w:space="0" w:color="auto"/>
              <w:bottom w:val="nil"/>
              <w:right w:val="single" w:sz="4" w:space="0" w:color="auto"/>
            </w:tcBorders>
            <w:vAlign w:val="center"/>
            <w:hideMark/>
          </w:tcPr>
          <w:p w14:paraId="629354C8" w14:textId="77777777" w:rsidR="00C15F2E" w:rsidRPr="00D96063" w:rsidRDefault="00C15F2E">
            <w:pPr>
              <w:ind w:right="57"/>
              <w:jc w:val="right"/>
              <w:rPr>
                <w:sz w:val="16"/>
                <w:szCs w:val="16"/>
              </w:rPr>
            </w:pPr>
            <w:r w:rsidRPr="00D96063">
              <w:rPr>
                <w:sz w:val="16"/>
                <w:szCs w:val="16"/>
              </w:rPr>
              <w:t>3.3</w:t>
            </w:r>
          </w:p>
        </w:tc>
      </w:tr>
      <w:tr w:rsidR="00C15F2E" w:rsidRPr="00D96063" w14:paraId="31EEB6BC" w14:textId="77777777" w:rsidTr="0043001E">
        <w:trPr>
          <w:cantSplit/>
        </w:trPr>
        <w:tc>
          <w:tcPr>
            <w:tcW w:w="985" w:type="pct"/>
            <w:tcBorders>
              <w:top w:val="nil"/>
              <w:left w:val="single" w:sz="4" w:space="0" w:color="auto"/>
              <w:bottom w:val="nil"/>
              <w:right w:val="single" w:sz="4" w:space="0" w:color="auto"/>
            </w:tcBorders>
            <w:hideMark/>
          </w:tcPr>
          <w:p w14:paraId="2E0C1AF8" w14:textId="77777777" w:rsidR="00C15F2E" w:rsidRPr="00D96063" w:rsidRDefault="00C15F2E">
            <w:pPr>
              <w:keepNext/>
              <w:keepLines/>
              <w:jc w:val="left"/>
              <w:rPr>
                <w:sz w:val="16"/>
                <w:szCs w:val="16"/>
              </w:rPr>
            </w:pPr>
            <w:r w:rsidRPr="00D96063">
              <w:rPr>
                <w:sz w:val="16"/>
                <w:szCs w:val="16"/>
              </w:rPr>
              <w:t xml:space="preserve">Low/minor value procurement </w:t>
            </w:r>
          </w:p>
        </w:tc>
        <w:tc>
          <w:tcPr>
            <w:tcW w:w="446" w:type="pct"/>
            <w:tcBorders>
              <w:top w:val="nil"/>
              <w:left w:val="single" w:sz="4" w:space="0" w:color="auto"/>
              <w:bottom w:val="nil"/>
              <w:right w:val="single" w:sz="4" w:space="0" w:color="auto"/>
            </w:tcBorders>
            <w:vAlign w:val="center"/>
            <w:hideMark/>
          </w:tcPr>
          <w:p w14:paraId="21737735" w14:textId="77777777" w:rsidR="00C15F2E" w:rsidRPr="00D96063" w:rsidRDefault="00C15F2E">
            <w:pPr>
              <w:keepNext/>
              <w:keepLines/>
              <w:ind w:right="57"/>
              <w:jc w:val="right"/>
              <w:rPr>
                <w:sz w:val="16"/>
                <w:szCs w:val="16"/>
              </w:rPr>
            </w:pPr>
            <w:r w:rsidRPr="00D96063">
              <w:rPr>
                <w:sz w:val="16"/>
                <w:szCs w:val="16"/>
              </w:rPr>
              <w:t>0.0</w:t>
            </w:r>
          </w:p>
        </w:tc>
        <w:tc>
          <w:tcPr>
            <w:tcW w:w="446" w:type="pct"/>
            <w:tcBorders>
              <w:top w:val="nil"/>
              <w:left w:val="single" w:sz="4" w:space="0" w:color="auto"/>
              <w:bottom w:val="nil"/>
              <w:right w:val="single" w:sz="4" w:space="0" w:color="auto"/>
            </w:tcBorders>
            <w:vAlign w:val="center"/>
            <w:hideMark/>
          </w:tcPr>
          <w:p w14:paraId="65B1014C" w14:textId="77777777" w:rsidR="00C15F2E" w:rsidRPr="00D96063" w:rsidRDefault="00C15F2E">
            <w:pPr>
              <w:keepNext/>
              <w:keepLines/>
              <w:ind w:right="57"/>
              <w:jc w:val="right"/>
              <w:rPr>
                <w:sz w:val="16"/>
                <w:szCs w:val="16"/>
              </w:rPr>
            </w:pPr>
            <w:r w:rsidRPr="00D96063">
              <w:rPr>
                <w:sz w:val="16"/>
                <w:szCs w:val="16"/>
              </w:rPr>
              <w:t>0.1</w:t>
            </w:r>
          </w:p>
        </w:tc>
        <w:tc>
          <w:tcPr>
            <w:tcW w:w="446" w:type="pct"/>
            <w:tcBorders>
              <w:top w:val="nil"/>
              <w:left w:val="single" w:sz="4" w:space="0" w:color="auto"/>
              <w:bottom w:val="nil"/>
              <w:right w:val="single" w:sz="4" w:space="0" w:color="auto"/>
            </w:tcBorders>
            <w:vAlign w:val="center"/>
            <w:hideMark/>
          </w:tcPr>
          <w:p w14:paraId="528BA0AB" w14:textId="77777777" w:rsidR="00C15F2E" w:rsidRPr="00D96063" w:rsidRDefault="00C15F2E">
            <w:pPr>
              <w:keepNext/>
              <w:keepLines/>
              <w:ind w:right="57"/>
              <w:jc w:val="right"/>
              <w:rPr>
                <w:sz w:val="16"/>
                <w:szCs w:val="16"/>
              </w:rPr>
            </w:pPr>
            <w:r w:rsidRPr="00D96063">
              <w:rPr>
                <w:sz w:val="16"/>
                <w:szCs w:val="16"/>
              </w:rPr>
              <w:t>0.1</w:t>
            </w:r>
          </w:p>
        </w:tc>
        <w:tc>
          <w:tcPr>
            <w:tcW w:w="446" w:type="pct"/>
            <w:tcBorders>
              <w:top w:val="nil"/>
              <w:left w:val="single" w:sz="4" w:space="0" w:color="auto"/>
              <w:bottom w:val="nil"/>
              <w:right w:val="single" w:sz="4" w:space="0" w:color="auto"/>
            </w:tcBorders>
            <w:vAlign w:val="center"/>
            <w:hideMark/>
          </w:tcPr>
          <w:p w14:paraId="519F94B7" w14:textId="77777777" w:rsidR="00C15F2E" w:rsidRPr="00D96063" w:rsidRDefault="00C15F2E">
            <w:pPr>
              <w:keepNext/>
              <w:keepLines/>
              <w:ind w:right="57"/>
              <w:jc w:val="right"/>
              <w:rPr>
                <w:sz w:val="16"/>
                <w:szCs w:val="16"/>
              </w:rPr>
            </w:pPr>
            <w:r w:rsidRPr="00D96063">
              <w:rPr>
                <w:sz w:val="16"/>
                <w:szCs w:val="16"/>
              </w:rPr>
              <w:t>0.3</w:t>
            </w:r>
          </w:p>
        </w:tc>
        <w:tc>
          <w:tcPr>
            <w:tcW w:w="446" w:type="pct"/>
            <w:tcBorders>
              <w:top w:val="nil"/>
              <w:left w:val="single" w:sz="4" w:space="0" w:color="auto"/>
              <w:bottom w:val="nil"/>
              <w:right w:val="single" w:sz="4" w:space="0" w:color="auto"/>
            </w:tcBorders>
            <w:vAlign w:val="center"/>
            <w:hideMark/>
          </w:tcPr>
          <w:p w14:paraId="72190D17" w14:textId="77777777" w:rsidR="00C15F2E" w:rsidRPr="00D96063" w:rsidRDefault="00C15F2E">
            <w:pPr>
              <w:keepNext/>
              <w:keepLines/>
              <w:ind w:right="57"/>
              <w:jc w:val="right"/>
              <w:rPr>
                <w:sz w:val="16"/>
                <w:szCs w:val="16"/>
              </w:rPr>
            </w:pPr>
            <w:r w:rsidRPr="00D96063">
              <w:rPr>
                <w:sz w:val="16"/>
                <w:szCs w:val="16"/>
              </w:rPr>
              <w:t>0.1</w:t>
            </w:r>
          </w:p>
        </w:tc>
        <w:tc>
          <w:tcPr>
            <w:tcW w:w="446" w:type="pct"/>
            <w:tcBorders>
              <w:top w:val="nil"/>
              <w:left w:val="single" w:sz="4" w:space="0" w:color="auto"/>
              <w:bottom w:val="nil"/>
              <w:right w:val="single" w:sz="4" w:space="0" w:color="auto"/>
            </w:tcBorders>
            <w:vAlign w:val="center"/>
            <w:hideMark/>
          </w:tcPr>
          <w:p w14:paraId="461818AD" w14:textId="77777777" w:rsidR="00C15F2E" w:rsidRPr="00D96063" w:rsidRDefault="00C15F2E">
            <w:pPr>
              <w:keepNext/>
              <w:keepLines/>
              <w:ind w:right="57"/>
              <w:jc w:val="right"/>
              <w:rPr>
                <w:sz w:val="16"/>
                <w:szCs w:val="16"/>
              </w:rPr>
            </w:pPr>
            <w:r w:rsidRPr="00D96063">
              <w:rPr>
                <w:sz w:val="16"/>
                <w:szCs w:val="16"/>
              </w:rPr>
              <w:t>0.4</w:t>
            </w:r>
          </w:p>
        </w:tc>
        <w:tc>
          <w:tcPr>
            <w:tcW w:w="446" w:type="pct"/>
            <w:tcBorders>
              <w:top w:val="nil"/>
              <w:left w:val="single" w:sz="4" w:space="0" w:color="auto"/>
              <w:bottom w:val="nil"/>
              <w:right w:val="single" w:sz="4" w:space="0" w:color="auto"/>
            </w:tcBorders>
            <w:vAlign w:val="center"/>
            <w:hideMark/>
          </w:tcPr>
          <w:p w14:paraId="25777F4A" w14:textId="77777777" w:rsidR="00C15F2E" w:rsidRPr="00D96063" w:rsidRDefault="00C15F2E">
            <w:pPr>
              <w:keepNext/>
              <w:keepLines/>
              <w:ind w:right="57"/>
              <w:jc w:val="right"/>
              <w:rPr>
                <w:sz w:val="16"/>
                <w:szCs w:val="16"/>
              </w:rPr>
            </w:pPr>
            <w:r w:rsidRPr="00D96063">
              <w:rPr>
                <w:sz w:val="16"/>
                <w:szCs w:val="16"/>
              </w:rPr>
              <w:t>0.7</w:t>
            </w:r>
          </w:p>
        </w:tc>
        <w:tc>
          <w:tcPr>
            <w:tcW w:w="446" w:type="pct"/>
            <w:tcBorders>
              <w:top w:val="nil"/>
              <w:left w:val="single" w:sz="4" w:space="0" w:color="auto"/>
              <w:bottom w:val="nil"/>
              <w:right w:val="single" w:sz="4" w:space="0" w:color="auto"/>
            </w:tcBorders>
            <w:vAlign w:val="center"/>
            <w:hideMark/>
          </w:tcPr>
          <w:p w14:paraId="745AF692" w14:textId="77777777" w:rsidR="00C15F2E" w:rsidRPr="00D96063" w:rsidRDefault="00C15F2E">
            <w:pPr>
              <w:keepNext/>
              <w:keepLines/>
              <w:ind w:right="57"/>
              <w:jc w:val="right"/>
              <w:rPr>
                <w:sz w:val="16"/>
                <w:szCs w:val="16"/>
              </w:rPr>
            </w:pPr>
            <w:r w:rsidRPr="00D96063">
              <w:rPr>
                <w:sz w:val="16"/>
                <w:szCs w:val="16"/>
              </w:rPr>
              <w:t>0.4</w:t>
            </w:r>
          </w:p>
        </w:tc>
        <w:tc>
          <w:tcPr>
            <w:tcW w:w="446" w:type="pct"/>
            <w:tcBorders>
              <w:top w:val="nil"/>
              <w:left w:val="single" w:sz="4" w:space="0" w:color="auto"/>
              <w:bottom w:val="nil"/>
              <w:right w:val="single" w:sz="4" w:space="0" w:color="auto"/>
            </w:tcBorders>
            <w:vAlign w:val="center"/>
            <w:hideMark/>
          </w:tcPr>
          <w:p w14:paraId="60B2442F" w14:textId="77777777" w:rsidR="00C15F2E" w:rsidRPr="00D96063" w:rsidRDefault="00C15F2E">
            <w:pPr>
              <w:keepNext/>
              <w:keepLines/>
              <w:ind w:right="57"/>
              <w:jc w:val="right"/>
              <w:rPr>
                <w:sz w:val="16"/>
                <w:szCs w:val="16"/>
              </w:rPr>
            </w:pPr>
            <w:r w:rsidRPr="00D96063">
              <w:rPr>
                <w:sz w:val="16"/>
                <w:szCs w:val="16"/>
              </w:rPr>
              <w:t>4.5</w:t>
            </w:r>
          </w:p>
        </w:tc>
      </w:tr>
      <w:tr w:rsidR="00C15F2E" w:rsidRPr="00D96063" w14:paraId="71ED9771" w14:textId="77777777" w:rsidTr="0043001E">
        <w:trPr>
          <w:cnfStyle w:val="000000010000" w:firstRow="0" w:lastRow="0" w:firstColumn="0" w:lastColumn="0" w:oddVBand="0" w:evenVBand="0" w:oddHBand="0" w:evenHBand="1" w:firstRowFirstColumn="0" w:firstRowLastColumn="0" w:lastRowFirstColumn="0" w:lastRowLastColumn="0"/>
          <w:cantSplit/>
        </w:trPr>
        <w:tc>
          <w:tcPr>
            <w:tcW w:w="985" w:type="pct"/>
            <w:tcBorders>
              <w:top w:val="nil"/>
              <w:left w:val="single" w:sz="4" w:space="0" w:color="auto"/>
              <w:bottom w:val="single" w:sz="4" w:space="0" w:color="auto"/>
              <w:right w:val="single" w:sz="4" w:space="0" w:color="auto"/>
            </w:tcBorders>
            <w:hideMark/>
          </w:tcPr>
          <w:p w14:paraId="2DE52736" w14:textId="77777777" w:rsidR="00C15F2E" w:rsidRPr="00D96063" w:rsidRDefault="00C15F2E">
            <w:pPr>
              <w:keepNext/>
              <w:keepLines/>
              <w:jc w:val="left"/>
              <w:rPr>
                <w:sz w:val="16"/>
                <w:szCs w:val="16"/>
              </w:rPr>
            </w:pPr>
            <w:r w:rsidRPr="00D96063">
              <w:rPr>
                <w:sz w:val="16"/>
                <w:szCs w:val="16"/>
              </w:rPr>
              <w:t>Total</w:t>
            </w:r>
          </w:p>
        </w:tc>
        <w:tc>
          <w:tcPr>
            <w:tcW w:w="446" w:type="pct"/>
            <w:tcBorders>
              <w:top w:val="nil"/>
              <w:left w:val="single" w:sz="4" w:space="0" w:color="auto"/>
              <w:bottom w:val="single" w:sz="4" w:space="0" w:color="auto"/>
              <w:right w:val="single" w:sz="4" w:space="0" w:color="auto"/>
            </w:tcBorders>
            <w:vAlign w:val="center"/>
            <w:hideMark/>
          </w:tcPr>
          <w:p w14:paraId="4B1DFF15" w14:textId="77777777" w:rsidR="00C15F2E" w:rsidRPr="00D96063" w:rsidRDefault="00C15F2E">
            <w:pPr>
              <w:keepNext/>
              <w:keepLines/>
              <w:ind w:right="57"/>
              <w:jc w:val="right"/>
              <w:rPr>
                <w:sz w:val="16"/>
                <w:szCs w:val="16"/>
              </w:rPr>
            </w:pPr>
            <w:r w:rsidRPr="00D96063">
              <w:rPr>
                <w:sz w:val="16"/>
                <w:szCs w:val="16"/>
              </w:rPr>
              <w:t>100</w:t>
            </w:r>
          </w:p>
        </w:tc>
        <w:tc>
          <w:tcPr>
            <w:tcW w:w="446" w:type="pct"/>
            <w:tcBorders>
              <w:top w:val="nil"/>
              <w:left w:val="single" w:sz="4" w:space="0" w:color="auto"/>
              <w:bottom w:val="single" w:sz="4" w:space="0" w:color="auto"/>
              <w:right w:val="single" w:sz="4" w:space="0" w:color="auto"/>
            </w:tcBorders>
            <w:vAlign w:val="center"/>
            <w:hideMark/>
          </w:tcPr>
          <w:p w14:paraId="58CFB8DF" w14:textId="77777777" w:rsidR="00C15F2E" w:rsidRPr="00D96063" w:rsidRDefault="00C15F2E">
            <w:pPr>
              <w:keepNext/>
              <w:keepLines/>
              <w:ind w:right="57"/>
              <w:jc w:val="right"/>
              <w:rPr>
                <w:sz w:val="16"/>
                <w:szCs w:val="16"/>
              </w:rPr>
            </w:pPr>
            <w:r w:rsidRPr="00D96063">
              <w:rPr>
                <w:sz w:val="16"/>
                <w:szCs w:val="16"/>
              </w:rPr>
              <w:t>100</w:t>
            </w:r>
          </w:p>
        </w:tc>
        <w:tc>
          <w:tcPr>
            <w:tcW w:w="446" w:type="pct"/>
            <w:tcBorders>
              <w:top w:val="nil"/>
              <w:left w:val="single" w:sz="4" w:space="0" w:color="auto"/>
              <w:bottom w:val="single" w:sz="4" w:space="0" w:color="auto"/>
              <w:right w:val="single" w:sz="4" w:space="0" w:color="auto"/>
            </w:tcBorders>
            <w:vAlign w:val="center"/>
            <w:hideMark/>
          </w:tcPr>
          <w:p w14:paraId="33F42099" w14:textId="77777777" w:rsidR="00C15F2E" w:rsidRPr="00D96063" w:rsidRDefault="00C15F2E">
            <w:pPr>
              <w:keepNext/>
              <w:keepLines/>
              <w:ind w:right="57"/>
              <w:jc w:val="right"/>
              <w:rPr>
                <w:sz w:val="16"/>
                <w:szCs w:val="16"/>
              </w:rPr>
            </w:pPr>
            <w:r w:rsidRPr="00D96063">
              <w:rPr>
                <w:sz w:val="16"/>
                <w:szCs w:val="16"/>
              </w:rPr>
              <w:t>100</w:t>
            </w:r>
          </w:p>
        </w:tc>
        <w:tc>
          <w:tcPr>
            <w:tcW w:w="446" w:type="pct"/>
            <w:tcBorders>
              <w:top w:val="nil"/>
              <w:left w:val="single" w:sz="4" w:space="0" w:color="auto"/>
              <w:bottom w:val="single" w:sz="4" w:space="0" w:color="auto"/>
              <w:right w:val="single" w:sz="4" w:space="0" w:color="auto"/>
            </w:tcBorders>
            <w:vAlign w:val="center"/>
            <w:hideMark/>
          </w:tcPr>
          <w:p w14:paraId="37936267" w14:textId="77777777" w:rsidR="00C15F2E" w:rsidRPr="00D96063" w:rsidRDefault="00C15F2E">
            <w:pPr>
              <w:keepNext/>
              <w:keepLines/>
              <w:ind w:right="57"/>
              <w:jc w:val="right"/>
              <w:rPr>
                <w:sz w:val="16"/>
                <w:szCs w:val="16"/>
              </w:rPr>
            </w:pPr>
            <w:r w:rsidRPr="00D96063">
              <w:rPr>
                <w:sz w:val="16"/>
                <w:szCs w:val="16"/>
              </w:rPr>
              <w:t>100</w:t>
            </w:r>
          </w:p>
        </w:tc>
        <w:tc>
          <w:tcPr>
            <w:tcW w:w="446" w:type="pct"/>
            <w:tcBorders>
              <w:top w:val="nil"/>
              <w:left w:val="single" w:sz="4" w:space="0" w:color="auto"/>
              <w:bottom w:val="single" w:sz="4" w:space="0" w:color="auto"/>
              <w:right w:val="single" w:sz="4" w:space="0" w:color="auto"/>
            </w:tcBorders>
            <w:vAlign w:val="center"/>
            <w:hideMark/>
          </w:tcPr>
          <w:p w14:paraId="2C32D493" w14:textId="77777777" w:rsidR="00C15F2E" w:rsidRPr="00D96063" w:rsidRDefault="00C15F2E">
            <w:pPr>
              <w:keepNext/>
              <w:keepLines/>
              <w:ind w:right="57"/>
              <w:jc w:val="right"/>
              <w:rPr>
                <w:sz w:val="16"/>
                <w:szCs w:val="16"/>
              </w:rPr>
            </w:pPr>
            <w:r w:rsidRPr="00D96063">
              <w:rPr>
                <w:sz w:val="16"/>
                <w:szCs w:val="16"/>
              </w:rPr>
              <w:t>100</w:t>
            </w:r>
          </w:p>
        </w:tc>
        <w:tc>
          <w:tcPr>
            <w:tcW w:w="446" w:type="pct"/>
            <w:tcBorders>
              <w:top w:val="nil"/>
              <w:left w:val="single" w:sz="4" w:space="0" w:color="auto"/>
              <w:bottom w:val="single" w:sz="4" w:space="0" w:color="auto"/>
              <w:right w:val="single" w:sz="4" w:space="0" w:color="auto"/>
            </w:tcBorders>
            <w:vAlign w:val="center"/>
            <w:hideMark/>
          </w:tcPr>
          <w:p w14:paraId="3511C5FF" w14:textId="77777777" w:rsidR="00C15F2E" w:rsidRPr="00D96063" w:rsidRDefault="00C15F2E">
            <w:pPr>
              <w:keepNext/>
              <w:keepLines/>
              <w:ind w:right="57"/>
              <w:jc w:val="right"/>
              <w:rPr>
                <w:sz w:val="16"/>
                <w:szCs w:val="16"/>
              </w:rPr>
            </w:pPr>
            <w:r w:rsidRPr="00D96063">
              <w:rPr>
                <w:sz w:val="16"/>
                <w:szCs w:val="16"/>
              </w:rPr>
              <w:t>100</w:t>
            </w:r>
          </w:p>
        </w:tc>
        <w:tc>
          <w:tcPr>
            <w:tcW w:w="446" w:type="pct"/>
            <w:tcBorders>
              <w:top w:val="nil"/>
              <w:left w:val="single" w:sz="4" w:space="0" w:color="auto"/>
              <w:bottom w:val="single" w:sz="4" w:space="0" w:color="auto"/>
              <w:right w:val="single" w:sz="4" w:space="0" w:color="auto"/>
            </w:tcBorders>
            <w:vAlign w:val="center"/>
            <w:hideMark/>
          </w:tcPr>
          <w:p w14:paraId="05E5A321" w14:textId="77777777" w:rsidR="00C15F2E" w:rsidRPr="00D96063" w:rsidRDefault="00C15F2E">
            <w:pPr>
              <w:keepNext/>
              <w:keepLines/>
              <w:ind w:right="57"/>
              <w:jc w:val="right"/>
              <w:rPr>
                <w:sz w:val="16"/>
                <w:szCs w:val="16"/>
              </w:rPr>
            </w:pPr>
            <w:r w:rsidRPr="00D96063">
              <w:rPr>
                <w:sz w:val="16"/>
                <w:szCs w:val="16"/>
              </w:rPr>
              <w:t>100</w:t>
            </w:r>
          </w:p>
        </w:tc>
        <w:tc>
          <w:tcPr>
            <w:tcW w:w="446" w:type="pct"/>
            <w:tcBorders>
              <w:top w:val="nil"/>
              <w:left w:val="single" w:sz="4" w:space="0" w:color="auto"/>
              <w:bottom w:val="single" w:sz="4" w:space="0" w:color="auto"/>
              <w:right w:val="single" w:sz="4" w:space="0" w:color="auto"/>
            </w:tcBorders>
            <w:vAlign w:val="center"/>
            <w:hideMark/>
          </w:tcPr>
          <w:p w14:paraId="55AFD425" w14:textId="77777777" w:rsidR="00C15F2E" w:rsidRPr="00D96063" w:rsidRDefault="00C15F2E">
            <w:pPr>
              <w:keepNext/>
              <w:keepLines/>
              <w:ind w:right="57"/>
              <w:jc w:val="right"/>
              <w:rPr>
                <w:sz w:val="16"/>
                <w:szCs w:val="16"/>
              </w:rPr>
            </w:pPr>
            <w:r w:rsidRPr="00D96063">
              <w:rPr>
                <w:sz w:val="16"/>
                <w:szCs w:val="16"/>
              </w:rPr>
              <w:t>100</w:t>
            </w:r>
          </w:p>
        </w:tc>
        <w:tc>
          <w:tcPr>
            <w:tcW w:w="446" w:type="pct"/>
            <w:tcBorders>
              <w:top w:val="nil"/>
              <w:left w:val="single" w:sz="4" w:space="0" w:color="auto"/>
              <w:bottom w:val="single" w:sz="4" w:space="0" w:color="auto"/>
              <w:right w:val="single" w:sz="4" w:space="0" w:color="auto"/>
            </w:tcBorders>
            <w:vAlign w:val="center"/>
            <w:hideMark/>
          </w:tcPr>
          <w:p w14:paraId="556A8142" w14:textId="77777777" w:rsidR="00C15F2E" w:rsidRPr="00D96063" w:rsidRDefault="00C15F2E">
            <w:pPr>
              <w:keepNext/>
              <w:keepLines/>
              <w:ind w:right="57"/>
              <w:jc w:val="right"/>
              <w:rPr>
                <w:sz w:val="16"/>
                <w:szCs w:val="16"/>
              </w:rPr>
            </w:pPr>
            <w:r w:rsidRPr="00D96063">
              <w:rPr>
                <w:sz w:val="16"/>
                <w:szCs w:val="16"/>
              </w:rPr>
              <w:t>100</w:t>
            </w:r>
          </w:p>
        </w:tc>
      </w:tr>
    </w:tbl>
    <w:p w14:paraId="42D7BB6B" w14:textId="5B78FFFA" w:rsidR="00C15F2E" w:rsidRPr="00D96063" w:rsidRDefault="00C15F2E" w:rsidP="0043001E">
      <w:pPr>
        <w:pStyle w:val="NoteText"/>
        <w:spacing w:before="120" w:after="120"/>
      </w:pPr>
      <w:r w:rsidRPr="00D96063">
        <w:t>a</w:t>
      </w:r>
      <w:r w:rsidRPr="00D96063">
        <w:tab/>
        <w:t>Procurement by 567 high- and medium-spending procuring entities.</w:t>
      </w:r>
    </w:p>
    <w:p w14:paraId="693DCAF7" w14:textId="77777777" w:rsidR="00C15F2E" w:rsidRPr="00D96063" w:rsidRDefault="00C15F2E" w:rsidP="0043001E">
      <w:pPr>
        <w:pStyle w:val="NoteText"/>
        <w:spacing w:before="120" w:after="240"/>
      </w:pPr>
      <w:r w:rsidRPr="00D96063">
        <w:t>Source:</w:t>
      </w:r>
      <w:r w:rsidRPr="00D96063">
        <w:tab/>
        <w:t>Data provided by the Public Procurement Authority.</w:t>
      </w:r>
    </w:p>
    <w:p w14:paraId="02A0506F" w14:textId="4C00F276" w:rsidR="00C15F2E" w:rsidRPr="00D96063" w:rsidRDefault="00C15F2E" w:rsidP="003758E5">
      <w:pPr>
        <w:pStyle w:val="BodyText"/>
        <w:numPr>
          <w:ilvl w:val="6"/>
          <w:numId w:val="25"/>
        </w:numPr>
        <w:rPr>
          <w:lang w:eastAsia="fr-CH"/>
        </w:rPr>
      </w:pPr>
      <w:r w:rsidRPr="00D96063">
        <w:rPr>
          <w:lang w:eastAsia="fr-CH"/>
        </w:rPr>
        <w:t>The Public Procurement Act, 2003 (Act 663), as amended by Act 914 in 2016, governs all procurement of goods, works, and services by ministries and other government agencies, public institutions, and SOEs to the extent that they use public funds. Public procurement itself is decentralized in Ghana, with over 1,000 to 1,200 procuring entities; each ministry or public institution must establish a procurement unit responsible for preparing procurement plans and carrying out procurement activities.</w:t>
      </w:r>
    </w:p>
    <w:p w14:paraId="5B3A589C" w14:textId="5B626E22" w:rsidR="00C15F2E" w:rsidRPr="00D96063" w:rsidRDefault="00C15F2E" w:rsidP="003758E5">
      <w:pPr>
        <w:numPr>
          <w:ilvl w:val="6"/>
          <w:numId w:val="25"/>
        </w:numPr>
        <w:spacing w:after="240"/>
        <w:rPr>
          <w:lang w:eastAsia="fr-CH"/>
        </w:rPr>
      </w:pPr>
      <w:r w:rsidRPr="00D96063">
        <w:rPr>
          <w:lang w:eastAsia="fr-CH"/>
        </w:rPr>
        <w:t>The Public Procurement Authority (PPA) is the central body for policy formulation, and the oversight authority.</w:t>
      </w:r>
      <w:r w:rsidRPr="00D96063">
        <w:rPr>
          <w:vertAlign w:val="superscript"/>
          <w:lang w:eastAsia="fr-CH"/>
        </w:rPr>
        <w:footnoteReference w:id="105"/>
      </w:r>
      <w:r w:rsidRPr="00D96063">
        <w:rPr>
          <w:lang w:eastAsia="fr-CH"/>
        </w:rPr>
        <w:t xml:space="preserve"> The Authority ensures that public procurement is carried out in a fair, transparent, and non-discriminatory manner to secure the judicious and efficient use of state resources. It has 10 members, appointed by the President, of which three must be from the private sector. The Authority has developed manuals and training modules and standard tender documents. All invitations to tender must be published in the </w:t>
      </w:r>
      <w:r w:rsidRPr="00D96063">
        <w:rPr>
          <w:i/>
          <w:lang w:eastAsia="fr-CH"/>
        </w:rPr>
        <w:t>Procurement Bulletin</w:t>
      </w:r>
      <w:r w:rsidRPr="00D96063">
        <w:rPr>
          <w:lang w:eastAsia="fr-CH"/>
        </w:rPr>
        <w:t xml:space="preserve"> on the Authority's website, which </w:t>
      </w:r>
      <w:r w:rsidRPr="00D96063">
        <w:t>contains all current and applicable rules and procedures</w:t>
      </w:r>
      <w:r w:rsidRPr="00D96063">
        <w:rPr>
          <w:lang w:eastAsia="fr-CH"/>
        </w:rPr>
        <w:t>.</w:t>
      </w:r>
      <w:r w:rsidRPr="00D96063">
        <w:rPr>
          <w:vertAlign w:val="superscript"/>
          <w:lang w:eastAsia="fr-CH"/>
        </w:rPr>
        <w:footnoteReference w:id="106"/>
      </w:r>
    </w:p>
    <w:p w14:paraId="686651E8" w14:textId="77777777" w:rsidR="00C15F2E" w:rsidRPr="00D96063" w:rsidRDefault="00C15F2E" w:rsidP="003758E5">
      <w:pPr>
        <w:numPr>
          <w:ilvl w:val="6"/>
          <w:numId w:val="25"/>
        </w:numPr>
        <w:spacing w:after="240"/>
        <w:rPr>
          <w:lang w:eastAsia="fr-CH"/>
        </w:rPr>
      </w:pPr>
      <w:r w:rsidRPr="00D96063">
        <w:rPr>
          <w:lang w:eastAsia="fr-CH"/>
        </w:rPr>
        <w:t xml:space="preserve">One of the driving forces for the formulation of policies on government procurement is the Annual Procurement Assessment conducted by the PPA. The Assessment Report reveals challenges faced by procurement entities. Some of the recent measures implemented to curb anomalies include national policies on low or minor value procurement methods, sustainable public procurement, capacity-building measures to improve skills, benchmarking of non-performing entities with </w:t>
      </w:r>
      <w:r w:rsidRPr="00D96063">
        <w:rPr>
          <w:lang w:eastAsia="fr-CH"/>
        </w:rPr>
        <w:lastRenderedPageBreak/>
        <w:t>excellent performing ones, and focused monitoring to ensure compliance with assessment recommendations.</w:t>
      </w:r>
    </w:p>
    <w:p w14:paraId="38611E14" w14:textId="6A280350" w:rsidR="00C15F2E" w:rsidRPr="00D96063" w:rsidRDefault="00C15F2E" w:rsidP="003758E5">
      <w:pPr>
        <w:numPr>
          <w:ilvl w:val="6"/>
          <w:numId w:val="25"/>
        </w:numPr>
        <w:spacing w:after="240"/>
        <w:rPr>
          <w:lang w:eastAsia="fr-CH"/>
        </w:rPr>
      </w:pPr>
      <w:r w:rsidRPr="00D96063">
        <w:rPr>
          <w:lang w:eastAsia="fr-CH"/>
        </w:rPr>
        <w:t>The disclosure of information on general procurement awarded by procuring entities has been partial. However, existing legislation requires that this information should be published on the PPA website and made available to the general public. To address these concerns, the PPA is currently conducting the 2020 Annual Procurement Assessment and the report will address the procurement activities for 2020 including those pertaining to COVID</w:t>
      </w:r>
      <w:r w:rsidRPr="00D96063">
        <w:rPr>
          <w:lang w:eastAsia="fr-CH"/>
        </w:rPr>
        <w:noBreakHyphen/>
        <w:t>19.</w:t>
      </w:r>
    </w:p>
    <w:p w14:paraId="00CBB538" w14:textId="77777777" w:rsidR="00C15F2E" w:rsidRPr="00D96063" w:rsidRDefault="00C15F2E" w:rsidP="003758E5">
      <w:pPr>
        <w:numPr>
          <w:ilvl w:val="6"/>
          <w:numId w:val="25"/>
        </w:numPr>
        <w:spacing w:after="240"/>
        <w:rPr>
          <w:lang w:eastAsia="fr-CH"/>
        </w:rPr>
      </w:pPr>
      <w:r w:rsidRPr="00D96063">
        <w:rPr>
          <w:lang w:eastAsia="fr-CH"/>
        </w:rPr>
        <w:t>The Public Procurement Act provides for various procurement methods: international competitive tendering, national competitive tendering, restricted tendering, single source procurement, request for price quotation, and low or minor value procurement.</w:t>
      </w:r>
      <w:r w:rsidRPr="00D96063">
        <w:rPr>
          <w:vertAlign w:val="superscript"/>
          <w:lang w:eastAsia="fr-CH"/>
        </w:rPr>
        <w:footnoteReference w:id="107"/>
      </w:r>
      <w:r w:rsidRPr="00D96063">
        <w:rPr>
          <w:lang w:eastAsia="fr-CH"/>
        </w:rPr>
        <w:t xml:space="preserve"> In 2019, restrictive tendering was the preferred procurement method (Table 3.13). International competitive tendering, which accounted for 1% of the total, must be used for the procurement of works above GHS 15 billion, services above GHS 20 billion, and technical services above GHS 2 billion. It must also be used when effective competition can only be obtained through the participation of foreign firms. There are no value thresholds for the other types of tendering methods such as restricted tendering and single source tendering, or technical and consultancy services; however, their use is subject to approval by the PPA.</w:t>
      </w:r>
    </w:p>
    <w:p w14:paraId="21F3D18E" w14:textId="77777777" w:rsidR="00C15F2E" w:rsidRPr="00D96063" w:rsidRDefault="00C15F2E" w:rsidP="003758E5">
      <w:pPr>
        <w:numPr>
          <w:ilvl w:val="6"/>
          <w:numId w:val="25"/>
        </w:numPr>
        <w:spacing w:after="240"/>
        <w:rPr>
          <w:lang w:eastAsia="fr-CH"/>
        </w:rPr>
      </w:pPr>
      <w:r w:rsidRPr="00D96063">
        <w:rPr>
          <w:lang w:eastAsia="fr-CH"/>
        </w:rPr>
        <w:t>The Framework Agreement (FWA), also known as "blanket purchase agreement", was introduced in 2016 to include revisions made to the UNCITRAL Model Law on Procurement of Goods, Construction and Services.</w:t>
      </w:r>
      <w:r w:rsidRPr="00D96063">
        <w:rPr>
          <w:vertAlign w:val="superscript"/>
          <w:lang w:eastAsia="fr-CH"/>
        </w:rPr>
        <w:footnoteReference w:id="108"/>
      </w:r>
      <w:r w:rsidRPr="00D96063">
        <w:rPr>
          <w:lang w:eastAsia="fr-CH"/>
        </w:rPr>
        <w:t xml:space="preserve"> It establishes the general terms governing contracts to be awarded during a given period, in particular regarding prices and, where applicable, quantity.</w:t>
      </w:r>
      <w:r w:rsidRPr="00D96063">
        <w:rPr>
          <w:vertAlign w:val="superscript"/>
          <w:lang w:eastAsia="fr-CH"/>
        </w:rPr>
        <w:footnoteReference w:id="109"/>
      </w:r>
      <w:r w:rsidRPr="00D96063">
        <w:rPr>
          <w:lang w:eastAsia="fr-CH"/>
        </w:rPr>
        <w:t xml:space="preserve"> The first stage involves establishment of the FWA through the normal tendering process; in the second stage, purchases of the quantities required are made according to the FWA, in a way that must maximize value for money outcomes for the Government, and ensure that there is transparency, accountability, and fairness. It should not prevent, restrict, or distort competition.</w:t>
      </w:r>
    </w:p>
    <w:p w14:paraId="21BAEE82" w14:textId="77777777" w:rsidR="00C15F2E" w:rsidRPr="00D96063" w:rsidRDefault="00C15F2E" w:rsidP="003758E5">
      <w:pPr>
        <w:numPr>
          <w:ilvl w:val="6"/>
          <w:numId w:val="25"/>
        </w:numPr>
        <w:spacing w:after="240"/>
        <w:rPr>
          <w:lang w:eastAsia="fr-CH"/>
        </w:rPr>
      </w:pPr>
      <w:r w:rsidRPr="00D96063">
        <w:rPr>
          <w:lang w:eastAsia="fr-CH"/>
        </w:rPr>
        <w:t>A procurement entity may grant a margin of preference for certain suppliers. While the nationality of the supplier is irrelevant, a minimum percentage of local content, specified in the regulations and varying with the type of good, can attract a margin of preference of up to 20%. The margin must be approved by the PPA.</w:t>
      </w:r>
    </w:p>
    <w:p w14:paraId="1B5CBFDE" w14:textId="77777777" w:rsidR="00C15F2E" w:rsidRPr="00D96063" w:rsidRDefault="00C15F2E" w:rsidP="003758E5">
      <w:pPr>
        <w:numPr>
          <w:ilvl w:val="6"/>
          <w:numId w:val="25"/>
        </w:numPr>
        <w:spacing w:after="240"/>
        <w:rPr>
          <w:lang w:eastAsia="fr-CH"/>
        </w:rPr>
      </w:pPr>
      <w:r w:rsidRPr="00D96063">
        <w:rPr>
          <w:lang w:eastAsia="fr-CH"/>
        </w:rPr>
        <w:t>Sustainable Public Procurement has been a government priority since 2014, in line with the amendment of Act 663 by Act 914, Section 2 of the Act, which broadens the object of the PPA to include the environment and social sustainability. The Government intends to use public procurement as a technique for tackling social disadvantage and exclusion, in ways that indirectly tackle inequality based on gender and physical challenges.</w:t>
      </w:r>
    </w:p>
    <w:p w14:paraId="5039602E" w14:textId="77777777" w:rsidR="00C15F2E" w:rsidRPr="00D96063" w:rsidRDefault="00C15F2E" w:rsidP="003758E5">
      <w:pPr>
        <w:numPr>
          <w:ilvl w:val="6"/>
          <w:numId w:val="25"/>
        </w:numPr>
        <w:spacing w:after="240"/>
        <w:rPr>
          <w:lang w:eastAsia="fr-CH"/>
        </w:rPr>
      </w:pPr>
      <w:r w:rsidRPr="00D96063">
        <w:rPr>
          <w:lang w:eastAsia="fr-CH"/>
        </w:rPr>
        <w:t>A supplier or contractor that claims to have suffered a loss or injury may complain in writing to the head of the procuring entity or the PPA, or pursue an action in a court of law. Cases dealt with by the Authority in 2018-20 are presented in Box 3.3.</w:t>
      </w:r>
    </w:p>
    <w:p w14:paraId="442BB391" w14:textId="7B3CE305" w:rsidR="00C15F2E" w:rsidRPr="00D96063" w:rsidRDefault="00C15F2E" w:rsidP="00AD0003">
      <w:pPr>
        <w:pStyle w:val="Caption"/>
        <w:keepLines/>
        <w:rPr>
          <w:b w:val="0"/>
          <w:bCs w:val="0"/>
        </w:rPr>
      </w:pPr>
      <w:bookmarkStart w:id="168" w:name="_Toc103607971"/>
      <w:r w:rsidRPr="00D96063">
        <w:lastRenderedPageBreak/>
        <w:t xml:space="preserve">Box </w:t>
      </w:r>
      <w:fldSimple w:instr=" STYLEREF 1 \s ">
        <w:r w:rsidR="004B63B1">
          <w:rPr>
            <w:noProof/>
          </w:rPr>
          <w:t>3</w:t>
        </w:r>
      </w:fldSimple>
      <w:r w:rsidR="00952BFE" w:rsidRPr="00D96063">
        <w:t>.</w:t>
      </w:r>
      <w:fldSimple w:instr=" SEQ Box \* ARABIC \s 1 ">
        <w:r w:rsidR="004B63B1">
          <w:rPr>
            <w:noProof/>
          </w:rPr>
          <w:t>3</w:t>
        </w:r>
      </w:fldSimple>
      <w:r w:rsidRPr="00D96063">
        <w:t xml:space="preserve"> Appeals and complaints cases, 2018-20</w:t>
      </w:r>
      <w:bookmarkEnd w:id="168"/>
    </w:p>
    <w:tbl>
      <w:tblPr>
        <w:tblStyle w:val="WTOBox1"/>
        <w:tblW w:w="0" w:type="auto"/>
        <w:tblLook w:val="04A0" w:firstRow="1" w:lastRow="0" w:firstColumn="1" w:lastColumn="0" w:noHBand="0" w:noVBand="1"/>
      </w:tblPr>
      <w:tblGrid>
        <w:gridCol w:w="9026"/>
      </w:tblGrid>
      <w:tr w:rsidR="00C15F2E" w:rsidRPr="00D96063" w14:paraId="707AB8F9" w14:textId="77777777" w:rsidTr="00410E5B">
        <w:tc>
          <w:tcPr>
            <w:tcW w:w="9350" w:type="dxa"/>
          </w:tcPr>
          <w:p w14:paraId="5B94A494" w14:textId="77777777" w:rsidR="00C15F2E" w:rsidRPr="00D96063" w:rsidRDefault="00C15F2E" w:rsidP="00AD0003">
            <w:pPr>
              <w:keepNext/>
              <w:keepLines/>
              <w:jc w:val="center"/>
              <w:rPr>
                <w:b/>
                <w:sz w:val="16"/>
                <w:szCs w:val="16"/>
              </w:rPr>
            </w:pPr>
            <w:r w:rsidRPr="00D96063">
              <w:rPr>
                <w:b/>
                <w:sz w:val="16"/>
                <w:szCs w:val="16"/>
              </w:rPr>
              <w:t>2018</w:t>
            </w:r>
          </w:p>
        </w:tc>
      </w:tr>
      <w:tr w:rsidR="00C15F2E" w:rsidRPr="00D96063" w14:paraId="26714DDD" w14:textId="77777777" w:rsidTr="00410E5B">
        <w:tc>
          <w:tcPr>
            <w:tcW w:w="9350" w:type="dxa"/>
          </w:tcPr>
          <w:p w14:paraId="2F172849" w14:textId="77777777" w:rsidR="00C15F2E" w:rsidRPr="00D96063" w:rsidRDefault="00C15F2E" w:rsidP="00AD0003">
            <w:pPr>
              <w:keepNext/>
              <w:keepLines/>
              <w:rPr>
                <w:sz w:val="16"/>
                <w:szCs w:val="16"/>
              </w:rPr>
            </w:pPr>
            <w:r w:rsidRPr="00D96063">
              <w:rPr>
                <w:b/>
                <w:bCs/>
                <w:sz w:val="16"/>
                <w:szCs w:val="16"/>
              </w:rPr>
              <w:t>Neopor System Ghana Limited vs. Tema Oil Refinery</w:t>
            </w:r>
            <w:r w:rsidRPr="00D96063">
              <w:rPr>
                <w:sz w:val="16"/>
                <w:szCs w:val="16"/>
              </w:rPr>
              <w:t xml:space="preserve"> – Tender for the development of residential housing units at community 25, Tema</w:t>
            </w:r>
          </w:p>
        </w:tc>
      </w:tr>
      <w:tr w:rsidR="00C15F2E" w:rsidRPr="00D96063" w14:paraId="14BF51AC" w14:textId="77777777" w:rsidTr="00410E5B">
        <w:tc>
          <w:tcPr>
            <w:tcW w:w="9350" w:type="dxa"/>
          </w:tcPr>
          <w:p w14:paraId="63C4ECDA" w14:textId="77777777" w:rsidR="00C15F2E" w:rsidRPr="00D96063" w:rsidRDefault="00C15F2E" w:rsidP="00AD0003">
            <w:pPr>
              <w:keepNext/>
              <w:keepLines/>
              <w:jc w:val="center"/>
              <w:rPr>
                <w:b/>
                <w:bCs/>
                <w:sz w:val="16"/>
                <w:szCs w:val="16"/>
              </w:rPr>
            </w:pPr>
            <w:r w:rsidRPr="00D96063">
              <w:rPr>
                <w:b/>
                <w:bCs/>
                <w:sz w:val="16"/>
                <w:szCs w:val="16"/>
              </w:rPr>
              <w:t>2019</w:t>
            </w:r>
          </w:p>
        </w:tc>
      </w:tr>
      <w:tr w:rsidR="00C15F2E" w:rsidRPr="00D96063" w14:paraId="26C915AB" w14:textId="77777777" w:rsidTr="00410E5B">
        <w:tc>
          <w:tcPr>
            <w:tcW w:w="9350" w:type="dxa"/>
          </w:tcPr>
          <w:p w14:paraId="0AACEB3C" w14:textId="77777777" w:rsidR="00C15F2E" w:rsidRPr="00D96063" w:rsidRDefault="00C15F2E" w:rsidP="00AD0003">
            <w:pPr>
              <w:keepNext/>
              <w:keepLines/>
              <w:rPr>
                <w:sz w:val="16"/>
                <w:szCs w:val="16"/>
              </w:rPr>
            </w:pPr>
            <w:r w:rsidRPr="00D96063">
              <w:rPr>
                <w:b/>
                <w:bCs/>
                <w:sz w:val="16"/>
                <w:szCs w:val="16"/>
              </w:rPr>
              <w:t xml:space="preserve">AS-Tesco Investment vs. Ministry of Health </w:t>
            </w:r>
            <w:r w:rsidRPr="00D96063">
              <w:rPr>
                <w:sz w:val="16"/>
                <w:szCs w:val="16"/>
              </w:rPr>
              <w:t>– Tender for the supply of anti-snake venom</w:t>
            </w:r>
          </w:p>
        </w:tc>
      </w:tr>
      <w:tr w:rsidR="00C15F2E" w:rsidRPr="00D96063" w14:paraId="40BDC9F6" w14:textId="77777777" w:rsidTr="00410E5B">
        <w:tc>
          <w:tcPr>
            <w:tcW w:w="9350" w:type="dxa"/>
          </w:tcPr>
          <w:p w14:paraId="0B5115CB" w14:textId="77777777" w:rsidR="00C15F2E" w:rsidRPr="00D96063" w:rsidRDefault="00C15F2E" w:rsidP="00AD0003">
            <w:pPr>
              <w:keepNext/>
              <w:keepLines/>
              <w:rPr>
                <w:sz w:val="16"/>
                <w:szCs w:val="16"/>
              </w:rPr>
            </w:pPr>
            <w:r w:rsidRPr="00D96063">
              <w:rPr>
                <w:b/>
                <w:bCs/>
                <w:sz w:val="16"/>
                <w:szCs w:val="16"/>
              </w:rPr>
              <w:t>IT Consortium vs. National Insurance Commission</w:t>
            </w:r>
            <w:r w:rsidRPr="00D96063">
              <w:rPr>
                <w:sz w:val="16"/>
                <w:szCs w:val="16"/>
              </w:rPr>
              <w:t xml:space="preserve"> – Tender for consultancy service for the development and implementation of a motor insurance database for the insurance industry in Ghana</w:t>
            </w:r>
          </w:p>
        </w:tc>
      </w:tr>
      <w:tr w:rsidR="00C15F2E" w:rsidRPr="00D96063" w14:paraId="4903546A" w14:textId="77777777" w:rsidTr="00410E5B">
        <w:tc>
          <w:tcPr>
            <w:tcW w:w="9350" w:type="dxa"/>
          </w:tcPr>
          <w:p w14:paraId="4BF9CB91" w14:textId="77777777" w:rsidR="00C15F2E" w:rsidRPr="00D96063" w:rsidRDefault="00C15F2E" w:rsidP="00AD0003">
            <w:pPr>
              <w:keepNext/>
              <w:keepLines/>
              <w:rPr>
                <w:sz w:val="16"/>
                <w:szCs w:val="16"/>
              </w:rPr>
            </w:pPr>
            <w:r w:rsidRPr="00D96063">
              <w:rPr>
                <w:b/>
                <w:bCs/>
                <w:sz w:val="16"/>
                <w:szCs w:val="16"/>
              </w:rPr>
              <w:t>China Railway vs. Ghana Highway Authority</w:t>
            </w:r>
            <w:r w:rsidRPr="00D96063">
              <w:rPr>
                <w:sz w:val="16"/>
                <w:szCs w:val="16"/>
              </w:rPr>
              <w:t xml:space="preserve"> – Tender for finance, design and construction of three bridges in the Northern Region</w:t>
            </w:r>
          </w:p>
        </w:tc>
      </w:tr>
      <w:tr w:rsidR="00C15F2E" w:rsidRPr="00D96063" w14:paraId="2CE28A34" w14:textId="77777777" w:rsidTr="00410E5B">
        <w:tc>
          <w:tcPr>
            <w:tcW w:w="9350" w:type="dxa"/>
          </w:tcPr>
          <w:p w14:paraId="1FCA3F13" w14:textId="77777777" w:rsidR="00C15F2E" w:rsidRPr="00D96063" w:rsidRDefault="00C15F2E" w:rsidP="00AD0003">
            <w:pPr>
              <w:keepNext/>
              <w:keepLines/>
              <w:rPr>
                <w:sz w:val="16"/>
                <w:szCs w:val="16"/>
              </w:rPr>
            </w:pPr>
            <w:r w:rsidRPr="00D96063">
              <w:rPr>
                <w:b/>
                <w:bCs/>
                <w:sz w:val="16"/>
                <w:szCs w:val="16"/>
              </w:rPr>
              <w:t xml:space="preserve">Prolux Investments Limited and Cozy Living Furniture Ghana Limited vs. Ghana Revenue Authority (GRA) </w:t>
            </w:r>
            <w:r w:rsidRPr="00D96063">
              <w:rPr>
                <w:sz w:val="16"/>
                <w:szCs w:val="16"/>
              </w:rPr>
              <w:t>– Supply of operational vest for GRA staff and furniture for GRA training academy, Kpetoe</w:t>
            </w:r>
          </w:p>
        </w:tc>
      </w:tr>
      <w:tr w:rsidR="00C15F2E" w:rsidRPr="00D96063" w14:paraId="74AFB1E3" w14:textId="77777777" w:rsidTr="00410E5B">
        <w:tc>
          <w:tcPr>
            <w:tcW w:w="9350" w:type="dxa"/>
          </w:tcPr>
          <w:p w14:paraId="09DCBF9D" w14:textId="77777777" w:rsidR="00C15F2E" w:rsidRPr="00D96063" w:rsidRDefault="00C15F2E" w:rsidP="00AD0003">
            <w:pPr>
              <w:keepNext/>
              <w:keepLines/>
              <w:rPr>
                <w:sz w:val="16"/>
                <w:szCs w:val="16"/>
              </w:rPr>
            </w:pPr>
            <w:r w:rsidRPr="00D96063">
              <w:rPr>
                <w:b/>
                <w:bCs/>
                <w:sz w:val="16"/>
                <w:szCs w:val="16"/>
              </w:rPr>
              <w:t>African Rail vs. Ministry of Railway Development</w:t>
            </w:r>
            <w:r w:rsidRPr="00D96063">
              <w:rPr>
                <w:sz w:val="16"/>
                <w:szCs w:val="16"/>
              </w:rPr>
              <w:t xml:space="preserve"> – Construction of eastern railway line from Accra to Kumasi on a build, operate and transfer basis</w:t>
            </w:r>
          </w:p>
        </w:tc>
      </w:tr>
      <w:tr w:rsidR="00C15F2E" w:rsidRPr="00D96063" w14:paraId="598E7223" w14:textId="77777777" w:rsidTr="00410E5B">
        <w:tc>
          <w:tcPr>
            <w:tcW w:w="9350" w:type="dxa"/>
          </w:tcPr>
          <w:p w14:paraId="13485917" w14:textId="77777777" w:rsidR="00C15F2E" w:rsidRPr="00D96063" w:rsidRDefault="00C15F2E" w:rsidP="00AD0003">
            <w:pPr>
              <w:keepNext/>
              <w:keepLines/>
              <w:rPr>
                <w:sz w:val="16"/>
                <w:szCs w:val="16"/>
              </w:rPr>
            </w:pPr>
            <w:r w:rsidRPr="00D96063">
              <w:rPr>
                <w:b/>
                <w:bCs/>
                <w:sz w:val="16"/>
                <w:szCs w:val="16"/>
              </w:rPr>
              <w:t xml:space="preserve">Diversified Water Blasting Ghana Limited vs. Ghana Airport Company </w:t>
            </w:r>
            <w:r w:rsidRPr="00D96063">
              <w:rPr>
                <w:sz w:val="16"/>
                <w:szCs w:val="16"/>
              </w:rPr>
              <w:t>– Tender for de-rubberization of runway at Kotoka International Airport</w:t>
            </w:r>
          </w:p>
        </w:tc>
      </w:tr>
      <w:tr w:rsidR="00C15F2E" w:rsidRPr="00D96063" w14:paraId="2D6543CC" w14:textId="77777777" w:rsidTr="00410E5B">
        <w:tc>
          <w:tcPr>
            <w:tcW w:w="9350" w:type="dxa"/>
          </w:tcPr>
          <w:p w14:paraId="48BD9E0D" w14:textId="77777777" w:rsidR="00C15F2E" w:rsidRPr="00D96063" w:rsidRDefault="00C15F2E" w:rsidP="00997D10">
            <w:pPr>
              <w:rPr>
                <w:sz w:val="16"/>
                <w:szCs w:val="16"/>
              </w:rPr>
            </w:pPr>
            <w:r w:rsidRPr="00D96063">
              <w:rPr>
                <w:b/>
                <w:bCs/>
                <w:sz w:val="16"/>
                <w:szCs w:val="16"/>
              </w:rPr>
              <w:t>Dawuro Communications vs. Social Security and National Insurance Trust (SSNIT)</w:t>
            </w:r>
            <w:r w:rsidRPr="00D96063">
              <w:rPr>
                <w:sz w:val="16"/>
                <w:szCs w:val="16"/>
              </w:rPr>
              <w:t xml:space="preserve"> – Implementation of CCTV infrastructure in all SSNIT offices nationwide</w:t>
            </w:r>
          </w:p>
        </w:tc>
      </w:tr>
      <w:tr w:rsidR="00C15F2E" w:rsidRPr="00D96063" w14:paraId="4D50B2CA" w14:textId="77777777" w:rsidTr="00410E5B">
        <w:tc>
          <w:tcPr>
            <w:tcW w:w="9350" w:type="dxa"/>
          </w:tcPr>
          <w:p w14:paraId="20E6B23E" w14:textId="77777777" w:rsidR="00C15F2E" w:rsidRPr="00D96063" w:rsidRDefault="00C15F2E" w:rsidP="00997D10">
            <w:pPr>
              <w:rPr>
                <w:sz w:val="16"/>
                <w:szCs w:val="16"/>
              </w:rPr>
            </w:pPr>
            <w:r w:rsidRPr="00D96063">
              <w:rPr>
                <w:b/>
                <w:bCs/>
                <w:sz w:val="16"/>
                <w:szCs w:val="16"/>
              </w:rPr>
              <w:t>Prolux Home Appliances Comp. vs. GRA</w:t>
            </w:r>
            <w:r w:rsidRPr="00D96063">
              <w:rPr>
                <w:sz w:val="16"/>
                <w:szCs w:val="16"/>
              </w:rPr>
              <w:t xml:space="preserve"> – Construction of office block and 18 units bedroom accommodation at Oseikojokrom</w:t>
            </w:r>
          </w:p>
        </w:tc>
      </w:tr>
      <w:tr w:rsidR="00C15F2E" w:rsidRPr="00D96063" w14:paraId="75CC0520" w14:textId="77777777" w:rsidTr="00410E5B">
        <w:tc>
          <w:tcPr>
            <w:tcW w:w="9350" w:type="dxa"/>
          </w:tcPr>
          <w:p w14:paraId="2BE7C70D" w14:textId="77777777" w:rsidR="00C15F2E" w:rsidRPr="00D96063" w:rsidRDefault="00C15F2E" w:rsidP="00997D10">
            <w:pPr>
              <w:rPr>
                <w:sz w:val="16"/>
                <w:szCs w:val="16"/>
              </w:rPr>
            </w:pPr>
            <w:r w:rsidRPr="00D96063">
              <w:rPr>
                <w:b/>
                <w:bCs/>
                <w:sz w:val="16"/>
                <w:szCs w:val="16"/>
              </w:rPr>
              <w:t>A5 Security Limited vs. Volta River Authority</w:t>
            </w:r>
            <w:r w:rsidRPr="00D96063">
              <w:rPr>
                <w:sz w:val="16"/>
                <w:szCs w:val="16"/>
              </w:rPr>
              <w:t xml:space="preserve"> – Tender for the provision of security services</w:t>
            </w:r>
          </w:p>
        </w:tc>
      </w:tr>
      <w:tr w:rsidR="00C15F2E" w:rsidRPr="00D96063" w14:paraId="6D3E9BD5" w14:textId="77777777" w:rsidTr="00410E5B">
        <w:tc>
          <w:tcPr>
            <w:tcW w:w="9350" w:type="dxa"/>
          </w:tcPr>
          <w:p w14:paraId="2EEDA0CD" w14:textId="77777777" w:rsidR="00C15F2E" w:rsidRPr="00D96063" w:rsidRDefault="00C15F2E" w:rsidP="00997D10">
            <w:pPr>
              <w:rPr>
                <w:sz w:val="16"/>
                <w:szCs w:val="16"/>
              </w:rPr>
            </w:pPr>
            <w:r w:rsidRPr="00D96063">
              <w:rPr>
                <w:b/>
                <w:bCs/>
                <w:sz w:val="16"/>
                <w:szCs w:val="16"/>
              </w:rPr>
              <w:t>Architectural Design Partnership vs</w:t>
            </w:r>
            <w:r w:rsidRPr="00D96063">
              <w:rPr>
                <w:sz w:val="16"/>
                <w:szCs w:val="16"/>
              </w:rPr>
              <w:t xml:space="preserve">. </w:t>
            </w:r>
            <w:r w:rsidRPr="00D96063">
              <w:rPr>
                <w:b/>
                <w:bCs/>
                <w:sz w:val="16"/>
                <w:szCs w:val="16"/>
              </w:rPr>
              <w:t xml:space="preserve">SSNIT – </w:t>
            </w:r>
            <w:r w:rsidRPr="00D96063">
              <w:rPr>
                <w:sz w:val="16"/>
                <w:szCs w:val="16"/>
              </w:rPr>
              <w:t>Consultancy for rehabilitation of SSNIT office complex at Koforidua</w:t>
            </w:r>
          </w:p>
        </w:tc>
      </w:tr>
      <w:tr w:rsidR="00C15F2E" w:rsidRPr="00D96063" w14:paraId="44DF86A3" w14:textId="77777777" w:rsidTr="00410E5B">
        <w:tc>
          <w:tcPr>
            <w:tcW w:w="9350" w:type="dxa"/>
          </w:tcPr>
          <w:p w14:paraId="15ED1F89" w14:textId="77777777" w:rsidR="00C15F2E" w:rsidRPr="00D96063" w:rsidRDefault="00C15F2E" w:rsidP="00997D10">
            <w:pPr>
              <w:rPr>
                <w:sz w:val="16"/>
                <w:szCs w:val="16"/>
              </w:rPr>
            </w:pPr>
            <w:r w:rsidRPr="00D96063">
              <w:rPr>
                <w:b/>
                <w:bCs/>
                <w:sz w:val="16"/>
                <w:szCs w:val="16"/>
              </w:rPr>
              <w:t xml:space="preserve">HM Shuttle vs. University of Cape Coast </w:t>
            </w:r>
            <w:r w:rsidRPr="00D96063">
              <w:rPr>
                <w:sz w:val="16"/>
                <w:szCs w:val="16"/>
              </w:rPr>
              <w:t>– Tender for provision of student shuttle services</w:t>
            </w:r>
          </w:p>
        </w:tc>
      </w:tr>
      <w:tr w:rsidR="00C15F2E" w:rsidRPr="00D96063" w14:paraId="14528319" w14:textId="77777777" w:rsidTr="00410E5B">
        <w:tc>
          <w:tcPr>
            <w:tcW w:w="9350" w:type="dxa"/>
          </w:tcPr>
          <w:p w14:paraId="4E3CFA13" w14:textId="77777777" w:rsidR="00C15F2E" w:rsidRPr="00D96063" w:rsidRDefault="00C15F2E" w:rsidP="00997D10">
            <w:pPr>
              <w:rPr>
                <w:sz w:val="16"/>
                <w:szCs w:val="16"/>
              </w:rPr>
            </w:pPr>
            <w:r w:rsidRPr="00D96063">
              <w:rPr>
                <w:b/>
                <w:bCs/>
                <w:sz w:val="16"/>
                <w:szCs w:val="16"/>
              </w:rPr>
              <w:t>H. K. Konstruct vs. Ketu South Municipal Assembly</w:t>
            </w:r>
            <w:r w:rsidRPr="00D96063">
              <w:rPr>
                <w:sz w:val="16"/>
                <w:szCs w:val="16"/>
              </w:rPr>
              <w:t xml:space="preserve"> – Tender for the construction of District Court House at Viefe-Tokor and supply of 300 No. Dual Desk and 200 Mono Desks for schools in the municipality</w:t>
            </w:r>
          </w:p>
        </w:tc>
      </w:tr>
      <w:tr w:rsidR="00C15F2E" w:rsidRPr="00D96063" w14:paraId="7C53F275" w14:textId="77777777" w:rsidTr="00410E5B">
        <w:tc>
          <w:tcPr>
            <w:tcW w:w="9350" w:type="dxa"/>
          </w:tcPr>
          <w:p w14:paraId="3C7C018A" w14:textId="77777777" w:rsidR="00C15F2E" w:rsidRPr="00D96063" w:rsidRDefault="00C15F2E" w:rsidP="00997D10">
            <w:pPr>
              <w:rPr>
                <w:sz w:val="16"/>
                <w:szCs w:val="16"/>
              </w:rPr>
            </w:pPr>
            <w:r w:rsidRPr="00D96063">
              <w:rPr>
                <w:b/>
                <w:bCs/>
                <w:sz w:val="16"/>
                <w:szCs w:val="16"/>
              </w:rPr>
              <w:t>Wenasel Ventures vs. North Tongu District Assembly</w:t>
            </w:r>
            <w:r w:rsidRPr="00D96063">
              <w:rPr>
                <w:sz w:val="16"/>
                <w:szCs w:val="16"/>
              </w:rPr>
              <w:t xml:space="preserve"> – Tender for the construction of a classroom block at Avedzi, a district court at Battor and supply of employable items for people with disability</w:t>
            </w:r>
          </w:p>
        </w:tc>
      </w:tr>
      <w:tr w:rsidR="00C15F2E" w:rsidRPr="00D96063" w14:paraId="20089DD9" w14:textId="77777777" w:rsidTr="00410E5B">
        <w:tc>
          <w:tcPr>
            <w:tcW w:w="9350" w:type="dxa"/>
          </w:tcPr>
          <w:p w14:paraId="3B895EDA" w14:textId="77777777" w:rsidR="00C15F2E" w:rsidRPr="00D96063" w:rsidRDefault="00C15F2E" w:rsidP="00997D10">
            <w:pPr>
              <w:jc w:val="center"/>
              <w:rPr>
                <w:b/>
                <w:bCs/>
                <w:sz w:val="16"/>
                <w:szCs w:val="16"/>
              </w:rPr>
            </w:pPr>
            <w:r w:rsidRPr="00D96063">
              <w:rPr>
                <w:b/>
                <w:bCs/>
                <w:sz w:val="16"/>
                <w:szCs w:val="16"/>
              </w:rPr>
              <w:t>2020</w:t>
            </w:r>
          </w:p>
        </w:tc>
      </w:tr>
      <w:tr w:rsidR="00C15F2E" w:rsidRPr="00D96063" w14:paraId="5B36AF2F" w14:textId="77777777" w:rsidTr="00410E5B">
        <w:tc>
          <w:tcPr>
            <w:tcW w:w="9350" w:type="dxa"/>
          </w:tcPr>
          <w:p w14:paraId="059C60B5" w14:textId="77777777" w:rsidR="00C15F2E" w:rsidRPr="00D96063" w:rsidRDefault="00C15F2E" w:rsidP="00997D10">
            <w:pPr>
              <w:rPr>
                <w:sz w:val="16"/>
                <w:szCs w:val="16"/>
              </w:rPr>
            </w:pPr>
            <w:r w:rsidRPr="00D96063">
              <w:rPr>
                <w:b/>
                <w:bCs/>
                <w:sz w:val="16"/>
                <w:szCs w:val="16"/>
              </w:rPr>
              <w:t>Maripoma Enterprise Limited vs. Bank of Ghana (BoG)</w:t>
            </w:r>
            <w:r w:rsidRPr="00D96063">
              <w:rPr>
                <w:sz w:val="16"/>
                <w:szCs w:val="16"/>
              </w:rPr>
              <w:t xml:space="preserve"> – Construction of 50-bed guest house at Tamale</w:t>
            </w:r>
          </w:p>
        </w:tc>
      </w:tr>
      <w:tr w:rsidR="00C15F2E" w:rsidRPr="00D96063" w14:paraId="73447F19" w14:textId="77777777" w:rsidTr="00410E5B">
        <w:tc>
          <w:tcPr>
            <w:tcW w:w="9350" w:type="dxa"/>
          </w:tcPr>
          <w:p w14:paraId="5BEB7716" w14:textId="77777777" w:rsidR="00C15F2E" w:rsidRPr="00D96063" w:rsidRDefault="00C15F2E" w:rsidP="00997D10">
            <w:pPr>
              <w:rPr>
                <w:bCs/>
                <w:sz w:val="16"/>
                <w:szCs w:val="16"/>
              </w:rPr>
            </w:pPr>
            <w:r w:rsidRPr="00D96063">
              <w:rPr>
                <w:b/>
                <w:bCs/>
                <w:sz w:val="16"/>
                <w:szCs w:val="16"/>
              </w:rPr>
              <w:t xml:space="preserve">African Rail Ghana vs. Ministry of Railways Development – </w:t>
            </w:r>
            <w:r w:rsidRPr="00D96063">
              <w:rPr>
                <w:sz w:val="16"/>
                <w:szCs w:val="16"/>
              </w:rPr>
              <w:t>A</w:t>
            </w:r>
            <w:r w:rsidRPr="00D96063">
              <w:rPr>
                <w:iCs/>
                <w:sz w:val="16"/>
                <w:szCs w:val="16"/>
              </w:rPr>
              <w:t>pplication</w:t>
            </w:r>
            <w:r w:rsidRPr="00D96063">
              <w:rPr>
                <w:bCs/>
                <w:iCs/>
                <w:sz w:val="16"/>
                <w:szCs w:val="16"/>
              </w:rPr>
              <w:t xml:space="preserve"> for review </w:t>
            </w:r>
          </w:p>
        </w:tc>
      </w:tr>
      <w:tr w:rsidR="00C15F2E" w:rsidRPr="00D96063" w14:paraId="410BF117" w14:textId="77777777" w:rsidTr="00410E5B">
        <w:tc>
          <w:tcPr>
            <w:tcW w:w="9350" w:type="dxa"/>
          </w:tcPr>
          <w:p w14:paraId="25CCE8CE" w14:textId="77777777" w:rsidR="00C15F2E" w:rsidRPr="00D96063" w:rsidRDefault="00C15F2E" w:rsidP="00997D10">
            <w:pPr>
              <w:rPr>
                <w:b/>
                <w:bCs/>
                <w:sz w:val="16"/>
                <w:szCs w:val="16"/>
              </w:rPr>
            </w:pPr>
            <w:r w:rsidRPr="00D96063">
              <w:rPr>
                <w:b/>
                <w:bCs/>
                <w:sz w:val="16"/>
                <w:szCs w:val="16"/>
              </w:rPr>
              <w:t xml:space="preserve">Petitions by AS-TESCO Investment. and Kinapharma </w:t>
            </w:r>
            <w:r w:rsidRPr="00D96063">
              <w:rPr>
                <w:bCs/>
                <w:sz w:val="16"/>
                <w:szCs w:val="16"/>
              </w:rPr>
              <w:t xml:space="preserve">– Protest against cancellation of procurement proceedings for anti-snake venom (West Africa Polyvalent Serum) tender  </w:t>
            </w:r>
          </w:p>
        </w:tc>
      </w:tr>
      <w:tr w:rsidR="00C15F2E" w:rsidRPr="00D96063" w14:paraId="0D9DC474" w14:textId="77777777" w:rsidTr="00410E5B">
        <w:tc>
          <w:tcPr>
            <w:tcW w:w="9350" w:type="dxa"/>
          </w:tcPr>
          <w:p w14:paraId="022CD96C" w14:textId="77777777" w:rsidR="00C15F2E" w:rsidRPr="00D96063" w:rsidRDefault="00C15F2E" w:rsidP="00997D10">
            <w:pPr>
              <w:rPr>
                <w:b/>
                <w:bCs/>
                <w:sz w:val="16"/>
                <w:szCs w:val="16"/>
              </w:rPr>
            </w:pPr>
            <w:r w:rsidRPr="00D96063">
              <w:rPr>
                <w:b/>
                <w:bCs/>
                <w:sz w:val="16"/>
                <w:szCs w:val="16"/>
              </w:rPr>
              <w:t>Thames Engineering vs. Ministry of Transport (MOT)</w:t>
            </w:r>
            <w:r w:rsidRPr="00D96063">
              <w:rPr>
                <w:sz w:val="16"/>
                <w:szCs w:val="16"/>
              </w:rPr>
              <w:t xml:space="preserve"> – Construction of Boankra Inland Port Project</w:t>
            </w:r>
          </w:p>
        </w:tc>
      </w:tr>
      <w:tr w:rsidR="00C15F2E" w:rsidRPr="00D96063" w14:paraId="50D79130" w14:textId="77777777" w:rsidTr="00410E5B">
        <w:tc>
          <w:tcPr>
            <w:tcW w:w="9350" w:type="dxa"/>
          </w:tcPr>
          <w:p w14:paraId="78863CCE" w14:textId="77777777" w:rsidR="00C15F2E" w:rsidRPr="00D96063" w:rsidRDefault="00C15F2E" w:rsidP="00997D10">
            <w:pPr>
              <w:rPr>
                <w:b/>
                <w:bCs/>
                <w:sz w:val="16"/>
                <w:szCs w:val="16"/>
              </w:rPr>
            </w:pPr>
            <w:r w:rsidRPr="00D96063">
              <w:rPr>
                <w:b/>
                <w:bCs/>
                <w:sz w:val="16"/>
                <w:szCs w:val="16"/>
              </w:rPr>
              <w:t xml:space="preserve">Zoomlion vs. Central Tender Review Committee – </w:t>
            </w:r>
            <w:r w:rsidRPr="00D96063">
              <w:rPr>
                <w:bCs/>
                <w:sz w:val="16"/>
                <w:szCs w:val="16"/>
              </w:rPr>
              <w:t>petition against decision of the Central Tender Review Committee of December 2019</w:t>
            </w:r>
          </w:p>
        </w:tc>
      </w:tr>
      <w:tr w:rsidR="00C15F2E" w:rsidRPr="00D96063" w14:paraId="3A074530" w14:textId="77777777" w:rsidTr="00410E5B">
        <w:tc>
          <w:tcPr>
            <w:tcW w:w="9350" w:type="dxa"/>
          </w:tcPr>
          <w:p w14:paraId="78E9BD12" w14:textId="77777777" w:rsidR="00C15F2E" w:rsidRPr="00D96063" w:rsidRDefault="00C15F2E" w:rsidP="00997D10">
            <w:pPr>
              <w:rPr>
                <w:sz w:val="16"/>
                <w:szCs w:val="16"/>
              </w:rPr>
            </w:pPr>
            <w:r w:rsidRPr="00D96063">
              <w:rPr>
                <w:b/>
                <w:bCs/>
                <w:sz w:val="16"/>
                <w:szCs w:val="16"/>
              </w:rPr>
              <w:t>Stockbridge Co. vs. MOT</w:t>
            </w:r>
            <w:r w:rsidRPr="00D96063">
              <w:rPr>
                <w:sz w:val="16"/>
                <w:szCs w:val="16"/>
              </w:rPr>
              <w:t xml:space="preserve"> – Construction of Boankra Inland Port Project</w:t>
            </w:r>
          </w:p>
        </w:tc>
      </w:tr>
      <w:tr w:rsidR="00C15F2E" w:rsidRPr="00D96063" w14:paraId="545419B4" w14:textId="77777777" w:rsidTr="00410E5B">
        <w:tc>
          <w:tcPr>
            <w:tcW w:w="9350" w:type="dxa"/>
          </w:tcPr>
          <w:p w14:paraId="43F620C6" w14:textId="77777777" w:rsidR="00C15F2E" w:rsidRPr="00D96063" w:rsidRDefault="00C15F2E" w:rsidP="00997D10">
            <w:pPr>
              <w:rPr>
                <w:sz w:val="16"/>
                <w:szCs w:val="16"/>
              </w:rPr>
            </w:pPr>
            <w:r w:rsidRPr="00D96063">
              <w:rPr>
                <w:b/>
                <w:bCs/>
                <w:sz w:val="16"/>
                <w:szCs w:val="16"/>
              </w:rPr>
              <w:t xml:space="preserve">Ufilas Enterprise Limited vs. Afadzato South District Assembly </w:t>
            </w:r>
            <w:r w:rsidRPr="00D96063">
              <w:rPr>
                <w:sz w:val="16"/>
                <w:szCs w:val="16"/>
              </w:rPr>
              <w:t>– Tender for construction classroom block with ancillary facilities and furniture</w:t>
            </w:r>
          </w:p>
        </w:tc>
      </w:tr>
      <w:tr w:rsidR="00C15F2E" w:rsidRPr="00D96063" w14:paraId="587B0D27" w14:textId="77777777" w:rsidTr="00410E5B">
        <w:tc>
          <w:tcPr>
            <w:tcW w:w="9350" w:type="dxa"/>
          </w:tcPr>
          <w:p w14:paraId="396AFD0F" w14:textId="77777777" w:rsidR="00C15F2E" w:rsidRPr="00D96063" w:rsidRDefault="00C15F2E" w:rsidP="00997D10">
            <w:pPr>
              <w:rPr>
                <w:sz w:val="16"/>
                <w:szCs w:val="16"/>
              </w:rPr>
            </w:pPr>
            <w:r w:rsidRPr="00D96063">
              <w:rPr>
                <w:b/>
                <w:bCs/>
                <w:sz w:val="16"/>
                <w:szCs w:val="16"/>
              </w:rPr>
              <w:t>Straatgroup Investment Limited vs. Ghana Railway Company</w:t>
            </w:r>
            <w:r w:rsidRPr="00D96063">
              <w:rPr>
                <w:sz w:val="16"/>
                <w:szCs w:val="16"/>
              </w:rPr>
              <w:t xml:space="preserve"> – Supply of furnishing items for Railway Training Institute</w:t>
            </w:r>
          </w:p>
        </w:tc>
      </w:tr>
      <w:tr w:rsidR="00C15F2E" w:rsidRPr="00D96063" w14:paraId="3C31F51F" w14:textId="77777777" w:rsidTr="00410E5B">
        <w:tc>
          <w:tcPr>
            <w:tcW w:w="9350" w:type="dxa"/>
          </w:tcPr>
          <w:p w14:paraId="03B46FCE" w14:textId="77777777" w:rsidR="00C15F2E" w:rsidRPr="00D96063" w:rsidRDefault="00C15F2E" w:rsidP="00997D10">
            <w:pPr>
              <w:rPr>
                <w:b/>
                <w:bCs/>
                <w:sz w:val="16"/>
                <w:szCs w:val="16"/>
              </w:rPr>
            </w:pPr>
            <w:r w:rsidRPr="00D96063">
              <w:rPr>
                <w:b/>
                <w:bCs/>
                <w:sz w:val="16"/>
                <w:szCs w:val="16"/>
              </w:rPr>
              <w:t xml:space="preserve">Quainoo-Arthur vs. Bulk Oil Storage and Transportation (BOST) </w:t>
            </w:r>
            <w:r w:rsidRPr="00D96063">
              <w:rPr>
                <w:sz w:val="16"/>
                <w:szCs w:val="16"/>
              </w:rPr>
              <w:t xml:space="preserve">– Installation and commissioning of high-performance standby batteries and accessories </w:t>
            </w:r>
          </w:p>
        </w:tc>
      </w:tr>
      <w:tr w:rsidR="00C15F2E" w:rsidRPr="00D96063" w14:paraId="7A06EF9D" w14:textId="77777777" w:rsidTr="00410E5B">
        <w:tc>
          <w:tcPr>
            <w:tcW w:w="9350" w:type="dxa"/>
          </w:tcPr>
          <w:p w14:paraId="63958472" w14:textId="77777777" w:rsidR="00C15F2E" w:rsidRPr="00D96063" w:rsidRDefault="00C15F2E" w:rsidP="00997D10">
            <w:pPr>
              <w:rPr>
                <w:sz w:val="16"/>
                <w:szCs w:val="16"/>
              </w:rPr>
            </w:pPr>
            <w:r w:rsidRPr="00D96063">
              <w:rPr>
                <w:b/>
                <w:bCs/>
                <w:sz w:val="16"/>
                <w:szCs w:val="16"/>
              </w:rPr>
              <w:t>Delta Equipment Limited vs. Kpone-Katamanso Municipal Assembly</w:t>
            </w:r>
            <w:r w:rsidRPr="00D96063">
              <w:rPr>
                <w:sz w:val="16"/>
                <w:szCs w:val="16"/>
              </w:rPr>
              <w:t xml:space="preserve"> – Tender for supply of generators</w:t>
            </w:r>
          </w:p>
        </w:tc>
      </w:tr>
      <w:tr w:rsidR="00C15F2E" w:rsidRPr="00D96063" w14:paraId="20E537F2" w14:textId="77777777" w:rsidTr="00410E5B">
        <w:tc>
          <w:tcPr>
            <w:tcW w:w="9350" w:type="dxa"/>
          </w:tcPr>
          <w:p w14:paraId="772350F1" w14:textId="77777777" w:rsidR="00C15F2E" w:rsidRPr="00D96063" w:rsidRDefault="00C15F2E" w:rsidP="00997D10">
            <w:pPr>
              <w:rPr>
                <w:sz w:val="16"/>
                <w:szCs w:val="16"/>
              </w:rPr>
            </w:pPr>
            <w:r w:rsidRPr="00D96063">
              <w:rPr>
                <w:b/>
                <w:bCs/>
                <w:sz w:val="16"/>
                <w:szCs w:val="16"/>
              </w:rPr>
              <w:t>SICPA vs. GRA</w:t>
            </w:r>
            <w:r w:rsidRPr="00D96063">
              <w:rPr>
                <w:sz w:val="16"/>
                <w:szCs w:val="16"/>
              </w:rPr>
              <w:t xml:space="preserve"> – Supply of Tax Stamp solutions</w:t>
            </w:r>
          </w:p>
        </w:tc>
      </w:tr>
      <w:tr w:rsidR="00C15F2E" w:rsidRPr="00D96063" w14:paraId="59F71769" w14:textId="77777777" w:rsidTr="00410E5B">
        <w:tc>
          <w:tcPr>
            <w:tcW w:w="9350" w:type="dxa"/>
          </w:tcPr>
          <w:p w14:paraId="14A00546" w14:textId="77777777" w:rsidR="00C15F2E" w:rsidRPr="00D96063" w:rsidRDefault="00C15F2E" w:rsidP="00997D10">
            <w:pPr>
              <w:rPr>
                <w:sz w:val="16"/>
                <w:szCs w:val="16"/>
              </w:rPr>
            </w:pPr>
            <w:r w:rsidRPr="00D96063">
              <w:rPr>
                <w:b/>
                <w:bCs/>
                <w:sz w:val="16"/>
                <w:szCs w:val="16"/>
              </w:rPr>
              <w:t>Viva Solutions Limited vs. Ghana Statistical Service (GSS)</w:t>
            </w:r>
            <w:r w:rsidRPr="00D96063">
              <w:rPr>
                <w:sz w:val="16"/>
                <w:szCs w:val="16"/>
              </w:rPr>
              <w:t xml:space="preserve"> – Tender for supply of an asset risk insurance cover for electronic tablets and power banks for 2020 population and housing census</w:t>
            </w:r>
          </w:p>
        </w:tc>
      </w:tr>
    </w:tbl>
    <w:p w14:paraId="7749EDD5" w14:textId="0FDD16E8" w:rsidR="00C15F2E" w:rsidRPr="00D96063" w:rsidRDefault="00C15F2E" w:rsidP="00E101A6">
      <w:pPr>
        <w:tabs>
          <w:tab w:val="left" w:pos="851"/>
        </w:tabs>
        <w:spacing w:before="120" w:after="240"/>
        <w:ind w:left="851" w:hanging="851"/>
        <w:jc w:val="left"/>
        <w:rPr>
          <w:sz w:val="16"/>
        </w:rPr>
      </w:pPr>
      <w:r w:rsidRPr="00D96063">
        <w:rPr>
          <w:sz w:val="16"/>
        </w:rPr>
        <w:t xml:space="preserve">Source: </w:t>
      </w:r>
      <w:r w:rsidR="005D7BDB">
        <w:rPr>
          <w:sz w:val="16"/>
        </w:rPr>
        <w:tab/>
      </w:r>
      <w:r w:rsidRPr="00D96063">
        <w:rPr>
          <w:sz w:val="16"/>
        </w:rPr>
        <w:t>Information provided by the PPA.</w:t>
      </w:r>
    </w:p>
    <w:p w14:paraId="6A360AA6" w14:textId="77777777" w:rsidR="00C15F2E" w:rsidRPr="00D96063" w:rsidRDefault="00C15F2E" w:rsidP="00856701">
      <w:pPr>
        <w:pStyle w:val="Heading3"/>
      </w:pPr>
      <w:bookmarkStart w:id="169" w:name="_Toc103607703"/>
      <w:r w:rsidRPr="00D96063">
        <w:lastRenderedPageBreak/>
        <w:t>Intellectual property rights</w:t>
      </w:r>
      <w:bookmarkEnd w:id="169"/>
    </w:p>
    <w:p w14:paraId="36436F54" w14:textId="77777777" w:rsidR="00C15F2E" w:rsidRPr="00D96063" w:rsidRDefault="00C15F2E" w:rsidP="00856701">
      <w:pPr>
        <w:pStyle w:val="Heading4"/>
        <w:numPr>
          <w:ilvl w:val="3"/>
          <w:numId w:val="26"/>
        </w:numPr>
      </w:pPr>
      <w:bookmarkStart w:id="170" w:name="_Toc103607704"/>
      <w:r w:rsidRPr="00D96063">
        <w:t>Legal and institutional framework</w:t>
      </w:r>
      <w:bookmarkEnd w:id="170"/>
    </w:p>
    <w:p w14:paraId="5412A801" w14:textId="77777777" w:rsidR="00C15F2E" w:rsidRPr="00D96063" w:rsidRDefault="00C15F2E" w:rsidP="003758E5">
      <w:pPr>
        <w:pStyle w:val="BodyText"/>
        <w:rPr>
          <w:lang w:eastAsia="fr-CH"/>
        </w:rPr>
      </w:pPr>
      <w:r w:rsidRPr="00D96063">
        <w:rPr>
          <w:lang w:eastAsia="fr-CH"/>
        </w:rPr>
        <w:t xml:space="preserve">The Government continues to modernize and strengthen the country's intellectual property rights (IPR) regime. </w:t>
      </w:r>
      <w:r w:rsidRPr="00D96063">
        <w:rPr>
          <w:shd w:val="clear" w:color="auto" w:fill="FFFFFF"/>
          <w:lang w:eastAsia="fr-CH"/>
        </w:rPr>
        <w:t>In 2016, Ghana launched its National Intellectual Property Policy and Strategy (NIPPS)</w:t>
      </w:r>
      <w:r w:rsidRPr="00D96063">
        <w:rPr>
          <w:lang w:eastAsia="fr-CH"/>
        </w:rPr>
        <w:t>, which guides the development of the intellectual property regime. The following laws have been adopted:</w:t>
      </w:r>
    </w:p>
    <w:p w14:paraId="6AC41AEF" w14:textId="77777777" w:rsidR="00C15F2E" w:rsidRPr="00D96063" w:rsidRDefault="00C15F2E" w:rsidP="003758E5">
      <w:pPr>
        <w:pStyle w:val="BodyText2"/>
        <w:rPr>
          <w:lang w:eastAsia="fr-CH"/>
        </w:rPr>
      </w:pPr>
      <w:r w:rsidRPr="00D96063">
        <w:t>Trademarks, 2003 (Act 664) as amended, 2014 (Act 876);</w:t>
      </w:r>
    </w:p>
    <w:p w14:paraId="004A243C" w14:textId="46B6C4C4" w:rsidR="00C15F2E" w:rsidRPr="00D96063" w:rsidRDefault="00C15F2E" w:rsidP="003758E5">
      <w:pPr>
        <w:pStyle w:val="BodyText2"/>
        <w:rPr>
          <w:lang w:eastAsia="fr-CH"/>
        </w:rPr>
      </w:pPr>
      <w:r w:rsidRPr="00D96063">
        <w:t>Industrial Designs Act, 2013 (Act 660) as amended, 2020 (Act 1033);</w:t>
      </w:r>
    </w:p>
    <w:p w14:paraId="375CCA5E" w14:textId="77777777" w:rsidR="00C15F2E" w:rsidRPr="00D96063" w:rsidRDefault="00C15F2E" w:rsidP="003758E5">
      <w:pPr>
        <w:pStyle w:val="BodyText2"/>
        <w:rPr>
          <w:lang w:eastAsia="fr-CH"/>
        </w:rPr>
      </w:pPr>
      <w:r w:rsidRPr="00D96063">
        <w:t>Patent Act, 2003 (Act 657) as amended, 2020 (Act 1060); and</w:t>
      </w:r>
    </w:p>
    <w:p w14:paraId="7DCC574E" w14:textId="6CA775F5" w:rsidR="00C15F2E" w:rsidRPr="00D96063" w:rsidRDefault="00C15F2E" w:rsidP="003758E5">
      <w:pPr>
        <w:pStyle w:val="BodyText2"/>
        <w:rPr>
          <w:lang w:eastAsia="fr-CH"/>
        </w:rPr>
      </w:pPr>
      <w:r w:rsidRPr="00D96063">
        <w:t>Plant Variety Protection Act, 2020 (Act 1050).</w:t>
      </w:r>
    </w:p>
    <w:p w14:paraId="233E4DCA" w14:textId="474F6A29" w:rsidR="00C15F2E" w:rsidRPr="00D96063" w:rsidRDefault="00C15F2E" w:rsidP="003758E5">
      <w:pPr>
        <w:pStyle w:val="BodyText"/>
        <w:rPr>
          <w:lang w:eastAsia="fr-CH"/>
        </w:rPr>
      </w:pPr>
      <w:r w:rsidRPr="00D96063">
        <w:rPr>
          <w:lang w:eastAsia="fr-CH"/>
        </w:rPr>
        <w:t>Ghana is a member of the World Intellectual Property Organization (WIPO) and the African Regional Industrial Property Organization (ARIPO). Since the last Review, it has acceded to several WIPO treaties and the UPOV Convention (Table 3.1</w:t>
      </w:r>
      <w:r w:rsidR="00A76A58">
        <w:rPr>
          <w:lang w:eastAsia="fr-CH"/>
        </w:rPr>
        <w:t>4</w:t>
      </w:r>
      <w:r w:rsidRPr="00D96063">
        <w:rPr>
          <w:lang w:eastAsia="fr-CH"/>
        </w:rPr>
        <w:t xml:space="preserve">).   </w:t>
      </w:r>
    </w:p>
    <w:p w14:paraId="283AFB00" w14:textId="50ABCAB4" w:rsidR="00C15F2E" w:rsidRPr="00D96063" w:rsidRDefault="008C5CD0" w:rsidP="008C5CD0">
      <w:pPr>
        <w:pStyle w:val="Caption"/>
        <w:rPr>
          <w:b w:val="0"/>
          <w:bCs w:val="0"/>
        </w:rPr>
      </w:pPr>
      <w:bookmarkStart w:id="171" w:name="_Toc103607895"/>
      <w:r w:rsidRPr="00D96063">
        <w:t xml:space="preserve">Table </w:t>
      </w:r>
      <w:fldSimple w:instr=" STYLEREF 1 \s ">
        <w:r w:rsidR="004B63B1">
          <w:rPr>
            <w:noProof/>
          </w:rPr>
          <w:t>3</w:t>
        </w:r>
      </w:fldSimple>
      <w:r w:rsidR="00BF3184">
        <w:t>.</w:t>
      </w:r>
      <w:fldSimple w:instr=" SEQ Table \* ARABIC \s 1 ">
        <w:r w:rsidR="004B63B1">
          <w:rPr>
            <w:noProof/>
          </w:rPr>
          <w:t>14</w:t>
        </w:r>
      </w:fldSimple>
      <w:r w:rsidRPr="00D96063">
        <w:t xml:space="preserve"> Membership in IPR treaties, 2022</w:t>
      </w:r>
      <w:bookmarkEnd w:id="171"/>
    </w:p>
    <w:tbl>
      <w:tblPr>
        <w:tblW w:w="918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941"/>
        <w:gridCol w:w="2239"/>
      </w:tblGrid>
      <w:tr w:rsidR="00C15F2E" w:rsidRPr="00D96063" w14:paraId="66FA0DB5" w14:textId="77777777" w:rsidTr="00997D10">
        <w:trPr>
          <w:tblHeader/>
        </w:trPr>
        <w:tc>
          <w:tcPr>
            <w:tcW w:w="6941" w:type="dxa"/>
            <w:shd w:val="clear" w:color="auto" w:fill="006283"/>
          </w:tcPr>
          <w:p w14:paraId="79BC06D0" w14:textId="77777777" w:rsidR="00C15F2E" w:rsidRPr="00D96063" w:rsidRDefault="00C15F2E" w:rsidP="00E61764">
            <w:pPr>
              <w:keepNext/>
              <w:keepLines/>
              <w:spacing w:before="60" w:after="60"/>
              <w:jc w:val="left"/>
              <w:rPr>
                <w:b/>
                <w:color w:val="FFFFFF" w:themeColor="background1"/>
                <w:sz w:val="16"/>
                <w:szCs w:val="16"/>
              </w:rPr>
            </w:pPr>
            <w:r w:rsidRPr="00D96063">
              <w:rPr>
                <w:b/>
                <w:color w:val="FFFFFF" w:themeColor="background1"/>
                <w:sz w:val="16"/>
                <w:szCs w:val="16"/>
              </w:rPr>
              <w:t>Treaty</w:t>
            </w:r>
          </w:p>
        </w:tc>
        <w:tc>
          <w:tcPr>
            <w:tcW w:w="2239" w:type="dxa"/>
            <w:shd w:val="clear" w:color="auto" w:fill="006283"/>
          </w:tcPr>
          <w:p w14:paraId="3D5E5545" w14:textId="77777777" w:rsidR="00C15F2E" w:rsidRPr="00D96063" w:rsidRDefault="00C15F2E" w:rsidP="008516FD">
            <w:pPr>
              <w:keepNext/>
              <w:keepLines/>
              <w:spacing w:before="60" w:after="60"/>
              <w:jc w:val="center"/>
              <w:rPr>
                <w:b/>
                <w:color w:val="FFFFFF" w:themeColor="background1"/>
                <w:sz w:val="16"/>
                <w:szCs w:val="16"/>
              </w:rPr>
            </w:pPr>
            <w:r w:rsidRPr="00D96063">
              <w:rPr>
                <w:b/>
                <w:color w:val="FFFFFF" w:themeColor="background1"/>
                <w:sz w:val="16"/>
                <w:szCs w:val="16"/>
              </w:rPr>
              <w:t>Entry into force</w:t>
            </w:r>
          </w:p>
        </w:tc>
      </w:tr>
      <w:tr w:rsidR="00C15F2E" w:rsidRPr="00D96063" w14:paraId="209349C7" w14:textId="77777777" w:rsidTr="00997D10">
        <w:tc>
          <w:tcPr>
            <w:tcW w:w="6941" w:type="dxa"/>
            <w:shd w:val="clear" w:color="auto" w:fill="auto"/>
          </w:tcPr>
          <w:p w14:paraId="21ECCA33" w14:textId="77777777" w:rsidR="00C15F2E" w:rsidRPr="00D96063" w:rsidRDefault="00C15F2E" w:rsidP="00E61764">
            <w:pPr>
              <w:keepNext/>
              <w:keepLines/>
              <w:spacing w:before="30" w:after="30"/>
              <w:jc w:val="left"/>
              <w:rPr>
                <w:sz w:val="16"/>
                <w:szCs w:val="16"/>
              </w:rPr>
            </w:pPr>
            <w:r w:rsidRPr="00D96063">
              <w:rPr>
                <w:sz w:val="16"/>
                <w:szCs w:val="16"/>
              </w:rPr>
              <w:t>Berne Convention (Literary and Artistic Works)</w:t>
            </w:r>
          </w:p>
        </w:tc>
        <w:tc>
          <w:tcPr>
            <w:tcW w:w="2239" w:type="dxa"/>
            <w:shd w:val="clear" w:color="auto" w:fill="auto"/>
          </w:tcPr>
          <w:p w14:paraId="1415BA28" w14:textId="77777777" w:rsidR="00C15F2E" w:rsidRPr="00D96063" w:rsidRDefault="00C15F2E" w:rsidP="00E61764">
            <w:pPr>
              <w:keepNext/>
              <w:keepLines/>
              <w:spacing w:before="30" w:after="30"/>
              <w:ind w:right="510"/>
              <w:jc w:val="right"/>
              <w:rPr>
                <w:sz w:val="16"/>
                <w:szCs w:val="16"/>
              </w:rPr>
            </w:pPr>
            <w:r w:rsidRPr="00D96063">
              <w:rPr>
                <w:sz w:val="16"/>
                <w:szCs w:val="16"/>
              </w:rPr>
              <w:t>11/10/1991</w:t>
            </w:r>
          </w:p>
        </w:tc>
      </w:tr>
      <w:tr w:rsidR="00C15F2E" w:rsidRPr="00D96063" w14:paraId="29C93F41" w14:textId="77777777" w:rsidTr="00997D10">
        <w:tc>
          <w:tcPr>
            <w:tcW w:w="6941" w:type="dxa"/>
            <w:shd w:val="clear" w:color="auto" w:fill="C9DED4"/>
          </w:tcPr>
          <w:p w14:paraId="4D822871" w14:textId="77777777" w:rsidR="00C15F2E" w:rsidRPr="00D96063" w:rsidRDefault="00C15F2E" w:rsidP="00997D10">
            <w:pPr>
              <w:spacing w:before="30" w:after="30"/>
              <w:jc w:val="left"/>
              <w:rPr>
                <w:sz w:val="16"/>
                <w:szCs w:val="16"/>
              </w:rPr>
            </w:pPr>
            <w:r w:rsidRPr="00D96063">
              <w:rPr>
                <w:sz w:val="16"/>
                <w:szCs w:val="16"/>
              </w:rPr>
              <w:t>Paris Convention (Industrial Property)</w:t>
            </w:r>
          </w:p>
        </w:tc>
        <w:tc>
          <w:tcPr>
            <w:tcW w:w="2239" w:type="dxa"/>
            <w:shd w:val="clear" w:color="auto" w:fill="C9DED4"/>
          </w:tcPr>
          <w:p w14:paraId="15564607" w14:textId="77777777" w:rsidR="00C15F2E" w:rsidRPr="00D96063" w:rsidRDefault="00C15F2E" w:rsidP="0072322D">
            <w:pPr>
              <w:spacing w:before="30" w:after="30"/>
              <w:ind w:right="510"/>
              <w:jc w:val="right"/>
              <w:rPr>
                <w:sz w:val="16"/>
                <w:szCs w:val="16"/>
              </w:rPr>
            </w:pPr>
            <w:r w:rsidRPr="00D96063">
              <w:rPr>
                <w:sz w:val="16"/>
                <w:szCs w:val="16"/>
              </w:rPr>
              <w:t>28/09/1976</w:t>
            </w:r>
          </w:p>
        </w:tc>
      </w:tr>
      <w:tr w:rsidR="00C15F2E" w:rsidRPr="00D96063" w14:paraId="73BE1855" w14:textId="77777777" w:rsidTr="00997D10">
        <w:tc>
          <w:tcPr>
            <w:tcW w:w="6941" w:type="dxa"/>
            <w:shd w:val="clear" w:color="auto" w:fill="auto"/>
          </w:tcPr>
          <w:p w14:paraId="288C69BF" w14:textId="77777777" w:rsidR="00C15F2E" w:rsidRPr="00D96063" w:rsidRDefault="00C15F2E" w:rsidP="00997D10">
            <w:pPr>
              <w:spacing w:before="30" w:after="30"/>
              <w:jc w:val="left"/>
              <w:rPr>
                <w:sz w:val="16"/>
                <w:szCs w:val="16"/>
              </w:rPr>
            </w:pPr>
            <w:r w:rsidRPr="00D96063">
              <w:rPr>
                <w:sz w:val="16"/>
                <w:szCs w:val="16"/>
              </w:rPr>
              <w:t>Patent Cooperation Treaty (PCT)</w:t>
            </w:r>
          </w:p>
        </w:tc>
        <w:tc>
          <w:tcPr>
            <w:tcW w:w="2239" w:type="dxa"/>
            <w:shd w:val="clear" w:color="auto" w:fill="auto"/>
          </w:tcPr>
          <w:p w14:paraId="2DC182A7" w14:textId="77777777" w:rsidR="00C15F2E" w:rsidRPr="00D96063" w:rsidRDefault="00C15F2E" w:rsidP="0072322D">
            <w:pPr>
              <w:spacing w:before="30" w:after="30"/>
              <w:ind w:right="510"/>
              <w:jc w:val="right"/>
              <w:rPr>
                <w:sz w:val="16"/>
                <w:szCs w:val="16"/>
              </w:rPr>
            </w:pPr>
            <w:r w:rsidRPr="00D96063">
              <w:rPr>
                <w:sz w:val="16"/>
                <w:szCs w:val="16"/>
              </w:rPr>
              <w:t>26/02/1997</w:t>
            </w:r>
          </w:p>
        </w:tc>
      </w:tr>
      <w:tr w:rsidR="00C15F2E" w:rsidRPr="00D96063" w14:paraId="2F1D1A22" w14:textId="77777777" w:rsidTr="00997D10">
        <w:tc>
          <w:tcPr>
            <w:tcW w:w="6941" w:type="dxa"/>
            <w:shd w:val="clear" w:color="auto" w:fill="C9DED4"/>
          </w:tcPr>
          <w:p w14:paraId="5EB862A6" w14:textId="77777777" w:rsidR="00C15F2E" w:rsidRPr="00D96063" w:rsidRDefault="00C15F2E" w:rsidP="00997D10">
            <w:pPr>
              <w:spacing w:before="30" w:after="30"/>
              <w:jc w:val="left"/>
              <w:rPr>
                <w:sz w:val="16"/>
                <w:szCs w:val="16"/>
              </w:rPr>
            </w:pPr>
            <w:r w:rsidRPr="00D96063">
              <w:rPr>
                <w:sz w:val="16"/>
                <w:szCs w:val="16"/>
              </w:rPr>
              <w:t>WIPO Convention</w:t>
            </w:r>
          </w:p>
        </w:tc>
        <w:tc>
          <w:tcPr>
            <w:tcW w:w="2239" w:type="dxa"/>
            <w:shd w:val="clear" w:color="auto" w:fill="C9DED4"/>
          </w:tcPr>
          <w:p w14:paraId="62AD5830" w14:textId="77777777" w:rsidR="00C15F2E" w:rsidRPr="00D96063" w:rsidRDefault="00C15F2E" w:rsidP="0072322D">
            <w:pPr>
              <w:spacing w:before="30" w:after="30"/>
              <w:ind w:right="510"/>
              <w:jc w:val="right"/>
              <w:rPr>
                <w:sz w:val="16"/>
                <w:szCs w:val="16"/>
              </w:rPr>
            </w:pPr>
            <w:r w:rsidRPr="00D96063">
              <w:rPr>
                <w:sz w:val="16"/>
                <w:szCs w:val="16"/>
              </w:rPr>
              <w:t>12/06/1976</w:t>
            </w:r>
          </w:p>
        </w:tc>
      </w:tr>
      <w:tr w:rsidR="00C15F2E" w:rsidRPr="00D96063" w14:paraId="61BE51D4" w14:textId="77777777" w:rsidTr="00997D10">
        <w:tc>
          <w:tcPr>
            <w:tcW w:w="6941" w:type="dxa"/>
            <w:shd w:val="clear" w:color="auto" w:fill="auto"/>
          </w:tcPr>
          <w:p w14:paraId="0A804506" w14:textId="77777777" w:rsidR="00C15F2E" w:rsidRPr="00D96063" w:rsidRDefault="00C15F2E" w:rsidP="00997D10">
            <w:pPr>
              <w:spacing w:before="30" w:after="30"/>
              <w:jc w:val="left"/>
              <w:rPr>
                <w:sz w:val="16"/>
                <w:szCs w:val="16"/>
              </w:rPr>
            </w:pPr>
            <w:r w:rsidRPr="00D96063">
              <w:rPr>
                <w:sz w:val="16"/>
                <w:szCs w:val="16"/>
              </w:rPr>
              <w:t>Protocol Relating to the Madrid Agreement Concerning the International Registration of Marks (Madrid Protocol)</w:t>
            </w:r>
          </w:p>
        </w:tc>
        <w:tc>
          <w:tcPr>
            <w:tcW w:w="2239" w:type="dxa"/>
            <w:shd w:val="clear" w:color="auto" w:fill="auto"/>
          </w:tcPr>
          <w:p w14:paraId="75E4B345" w14:textId="77777777" w:rsidR="00C15F2E" w:rsidRPr="00D96063" w:rsidRDefault="00C15F2E" w:rsidP="0072322D">
            <w:pPr>
              <w:spacing w:before="30" w:after="30"/>
              <w:ind w:right="510"/>
              <w:jc w:val="right"/>
              <w:rPr>
                <w:sz w:val="16"/>
                <w:szCs w:val="16"/>
              </w:rPr>
            </w:pPr>
            <w:r w:rsidRPr="00D96063">
              <w:rPr>
                <w:sz w:val="16"/>
                <w:szCs w:val="16"/>
              </w:rPr>
              <w:t>16/09/2008</w:t>
            </w:r>
          </w:p>
        </w:tc>
      </w:tr>
      <w:tr w:rsidR="00C15F2E" w:rsidRPr="00D96063" w14:paraId="3234632E" w14:textId="77777777" w:rsidTr="00997D10">
        <w:tc>
          <w:tcPr>
            <w:tcW w:w="6941" w:type="dxa"/>
            <w:tcBorders>
              <w:bottom w:val="nil"/>
            </w:tcBorders>
            <w:shd w:val="clear" w:color="auto" w:fill="C9DED4"/>
          </w:tcPr>
          <w:p w14:paraId="5D562448" w14:textId="77777777" w:rsidR="00C15F2E" w:rsidRPr="00D96063" w:rsidRDefault="00C15F2E" w:rsidP="00997D10">
            <w:pPr>
              <w:spacing w:before="30" w:after="30"/>
              <w:jc w:val="left"/>
              <w:rPr>
                <w:sz w:val="16"/>
                <w:szCs w:val="16"/>
              </w:rPr>
            </w:pPr>
            <w:r w:rsidRPr="00D96063">
              <w:rPr>
                <w:sz w:val="16"/>
                <w:szCs w:val="16"/>
              </w:rPr>
              <w:t>WIPO Copyright Treaty</w:t>
            </w:r>
          </w:p>
        </w:tc>
        <w:tc>
          <w:tcPr>
            <w:tcW w:w="2239" w:type="dxa"/>
            <w:tcBorders>
              <w:bottom w:val="nil"/>
            </w:tcBorders>
            <w:shd w:val="clear" w:color="auto" w:fill="C9DED4"/>
          </w:tcPr>
          <w:p w14:paraId="4CBAB812" w14:textId="77777777" w:rsidR="00C15F2E" w:rsidRPr="00D96063" w:rsidRDefault="00C15F2E" w:rsidP="0072322D">
            <w:pPr>
              <w:spacing w:before="30" w:after="30"/>
              <w:ind w:right="510"/>
              <w:jc w:val="right"/>
              <w:rPr>
                <w:sz w:val="16"/>
                <w:szCs w:val="16"/>
              </w:rPr>
            </w:pPr>
            <w:r w:rsidRPr="00D96063">
              <w:rPr>
                <w:sz w:val="16"/>
                <w:szCs w:val="16"/>
              </w:rPr>
              <w:t>18/11/2006</w:t>
            </w:r>
          </w:p>
        </w:tc>
      </w:tr>
      <w:tr w:rsidR="00C15F2E" w:rsidRPr="00D96063" w14:paraId="52CCF640" w14:textId="77777777" w:rsidTr="00997D10">
        <w:tc>
          <w:tcPr>
            <w:tcW w:w="6941" w:type="dxa"/>
            <w:tcBorders>
              <w:top w:val="nil"/>
              <w:bottom w:val="nil"/>
            </w:tcBorders>
            <w:shd w:val="clear" w:color="auto" w:fill="auto"/>
          </w:tcPr>
          <w:p w14:paraId="1ECDB0FB" w14:textId="77777777" w:rsidR="00C15F2E" w:rsidRPr="00D96063" w:rsidRDefault="00C15F2E" w:rsidP="00997D10">
            <w:pPr>
              <w:spacing w:before="30" w:after="30"/>
              <w:jc w:val="left"/>
              <w:rPr>
                <w:sz w:val="16"/>
                <w:szCs w:val="16"/>
              </w:rPr>
            </w:pPr>
            <w:r w:rsidRPr="00D96063">
              <w:rPr>
                <w:sz w:val="16"/>
                <w:szCs w:val="16"/>
              </w:rPr>
              <w:t>The Hague Agreement on the Deposit of International Designs</w:t>
            </w:r>
          </w:p>
        </w:tc>
        <w:tc>
          <w:tcPr>
            <w:tcW w:w="2239" w:type="dxa"/>
            <w:tcBorders>
              <w:top w:val="nil"/>
              <w:bottom w:val="nil"/>
            </w:tcBorders>
            <w:shd w:val="clear" w:color="auto" w:fill="auto"/>
          </w:tcPr>
          <w:p w14:paraId="540B5BC8" w14:textId="77777777" w:rsidR="00C15F2E" w:rsidRPr="00D96063" w:rsidRDefault="00C15F2E" w:rsidP="0072322D">
            <w:pPr>
              <w:spacing w:before="30" w:after="30"/>
              <w:ind w:right="510"/>
              <w:jc w:val="right"/>
              <w:rPr>
                <w:sz w:val="16"/>
                <w:szCs w:val="16"/>
              </w:rPr>
            </w:pPr>
            <w:r w:rsidRPr="00D96063">
              <w:rPr>
                <w:sz w:val="16"/>
                <w:szCs w:val="16"/>
              </w:rPr>
              <w:t>16/06/2008</w:t>
            </w:r>
          </w:p>
        </w:tc>
      </w:tr>
      <w:tr w:rsidR="00C15F2E" w:rsidRPr="00D96063" w14:paraId="6598A33F" w14:textId="77777777" w:rsidTr="00997D10">
        <w:tc>
          <w:tcPr>
            <w:tcW w:w="6941" w:type="dxa"/>
            <w:tcBorders>
              <w:top w:val="nil"/>
              <w:bottom w:val="nil"/>
            </w:tcBorders>
            <w:shd w:val="clear" w:color="auto" w:fill="C9DED4"/>
          </w:tcPr>
          <w:p w14:paraId="1C0FD2FD" w14:textId="01C059CB" w:rsidR="00C15F2E" w:rsidRPr="00D96063" w:rsidRDefault="0035382D" w:rsidP="00997D10">
            <w:pPr>
              <w:spacing w:before="30" w:after="30"/>
              <w:jc w:val="left"/>
              <w:rPr>
                <w:sz w:val="16"/>
                <w:szCs w:val="16"/>
              </w:rPr>
            </w:pPr>
            <w:r w:rsidRPr="0035382D">
              <w:rPr>
                <w:sz w:val="16"/>
                <w:szCs w:val="16"/>
              </w:rPr>
              <w:t>Lusaka Agreement on the Creation of the African Regional Intellectual Property Organization (ARIPO)</w:t>
            </w:r>
          </w:p>
        </w:tc>
        <w:tc>
          <w:tcPr>
            <w:tcW w:w="2239" w:type="dxa"/>
            <w:tcBorders>
              <w:top w:val="nil"/>
              <w:bottom w:val="nil"/>
            </w:tcBorders>
            <w:shd w:val="clear" w:color="auto" w:fill="C9DED4"/>
          </w:tcPr>
          <w:p w14:paraId="261DF04E" w14:textId="77777777" w:rsidR="00C15F2E" w:rsidRPr="00D96063" w:rsidRDefault="00C15F2E" w:rsidP="0072322D">
            <w:pPr>
              <w:spacing w:before="30" w:after="30"/>
              <w:ind w:right="510"/>
              <w:jc w:val="right"/>
              <w:rPr>
                <w:sz w:val="16"/>
                <w:szCs w:val="16"/>
              </w:rPr>
            </w:pPr>
            <w:r w:rsidRPr="00D96063">
              <w:rPr>
                <w:sz w:val="16"/>
                <w:szCs w:val="16"/>
              </w:rPr>
              <w:t>15/02/1978</w:t>
            </w:r>
          </w:p>
        </w:tc>
      </w:tr>
      <w:tr w:rsidR="00C15F2E" w:rsidRPr="00D96063" w14:paraId="417B286F" w14:textId="77777777" w:rsidTr="00997D10">
        <w:tc>
          <w:tcPr>
            <w:tcW w:w="6941" w:type="dxa"/>
            <w:tcBorders>
              <w:top w:val="nil"/>
            </w:tcBorders>
            <w:shd w:val="clear" w:color="auto" w:fill="auto"/>
          </w:tcPr>
          <w:p w14:paraId="2BBB8998" w14:textId="77777777" w:rsidR="00C15F2E" w:rsidRPr="00D96063" w:rsidRDefault="00C15F2E" w:rsidP="00997D10">
            <w:pPr>
              <w:spacing w:before="30" w:after="30"/>
              <w:jc w:val="left"/>
              <w:rPr>
                <w:sz w:val="16"/>
                <w:szCs w:val="16"/>
              </w:rPr>
            </w:pPr>
            <w:r w:rsidRPr="00D96063">
              <w:rPr>
                <w:sz w:val="16"/>
                <w:szCs w:val="16"/>
              </w:rPr>
              <w:t>Harare Protocol on Patents and Industrial Designs within the Framework of the African Regional Intellectual Property Organization</w:t>
            </w:r>
          </w:p>
        </w:tc>
        <w:tc>
          <w:tcPr>
            <w:tcW w:w="2239" w:type="dxa"/>
            <w:tcBorders>
              <w:top w:val="nil"/>
            </w:tcBorders>
            <w:shd w:val="clear" w:color="auto" w:fill="auto"/>
          </w:tcPr>
          <w:p w14:paraId="549A60A9" w14:textId="77777777" w:rsidR="00C15F2E" w:rsidRPr="00D96063" w:rsidRDefault="00C15F2E" w:rsidP="0072322D">
            <w:pPr>
              <w:spacing w:before="30" w:after="30"/>
              <w:ind w:right="510"/>
              <w:jc w:val="right"/>
              <w:rPr>
                <w:sz w:val="16"/>
                <w:szCs w:val="16"/>
              </w:rPr>
            </w:pPr>
            <w:r w:rsidRPr="00D96063">
              <w:rPr>
                <w:sz w:val="16"/>
                <w:szCs w:val="16"/>
              </w:rPr>
              <w:t>25/04/1984</w:t>
            </w:r>
          </w:p>
        </w:tc>
      </w:tr>
      <w:tr w:rsidR="00C15F2E" w:rsidRPr="00D96063" w14:paraId="25951761" w14:textId="77777777" w:rsidTr="00997D10">
        <w:tc>
          <w:tcPr>
            <w:tcW w:w="6941" w:type="dxa"/>
            <w:tcBorders>
              <w:top w:val="nil"/>
              <w:bottom w:val="nil"/>
            </w:tcBorders>
            <w:shd w:val="clear" w:color="auto" w:fill="C9DED4"/>
          </w:tcPr>
          <w:p w14:paraId="2CCAF986" w14:textId="77777777" w:rsidR="00C15F2E" w:rsidRPr="00D96063" w:rsidRDefault="00C15F2E" w:rsidP="00997D10">
            <w:pPr>
              <w:spacing w:before="30" w:after="30"/>
              <w:jc w:val="left"/>
              <w:rPr>
                <w:sz w:val="16"/>
                <w:szCs w:val="16"/>
              </w:rPr>
            </w:pPr>
            <w:r w:rsidRPr="00D96063">
              <w:rPr>
                <w:sz w:val="16"/>
                <w:szCs w:val="16"/>
              </w:rPr>
              <w:t xml:space="preserve">Convention for the Protection of Producers of Phonograms Against Unauthorized Duplication of Their Phonograms (Phonograms Convention) </w:t>
            </w:r>
          </w:p>
        </w:tc>
        <w:tc>
          <w:tcPr>
            <w:tcW w:w="2239" w:type="dxa"/>
            <w:tcBorders>
              <w:top w:val="nil"/>
              <w:bottom w:val="nil"/>
            </w:tcBorders>
            <w:shd w:val="clear" w:color="auto" w:fill="C9DED4"/>
          </w:tcPr>
          <w:p w14:paraId="01D3634C" w14:textId="77777777" w:rsidR="00C15F2E" w:rsidRPr="00D96063" w:rsidRDefault="00C15F2E" w:rsidP="0072322D">
            <w:pPr>
              <w:spacing w:before="30" w:after="30"/>
              <w:ind w:right="510"/>
              <w:jc w:val="right"/>
              <w:rPr>
                <w:sz w:val="16"/>
                <w:szCs w:val="16"/>
              </w:rPr>
            </w:pPr>
            <w:r w:rsidRPr="00D96063">
              <w:rPr>
                <w:sz w:val="16"/>
                <w:szCs w:val="16"/>
              </w:rPr>
              <w:t>10/02/2017</w:t>
            </w:r>
          </w:p>
        </w:tc>
      </w:tr>
      <w:tr w:rsidR="00C15F2E" w:rsidRPr="00D96063" w14:paraId="45A30378" w14:textId="77777777" w:rsidTr="00E61764">
        <w:tc>
          <w:tcPr>
            <w:tcW w:w="6941" w:type="dxa"/>
            <w:tcBorders>
              <w:top w:val="nil"/>
              <w:bottom w:val="nil"/>
            </w:tcBorders>
            <w:shd w:val="clear" w:color="auto" w:fill="auto"/>
          </w:tcPr>
          <w:p w14:paraId="63AEA3A1" w14:textId="77777777" w:rsidR="00C15F2E" w:rsidRPr="00D96063" w:rsidRDefault="00C15F2E" w:rsidP="00997D10">
            <w:pPr>
              <w:spacing w:before="30" w:after="30"/>
              <w:jc w:val="left"/>
              <w:rPr>
                <w:sz w:val="16"/>
                <w:szCs w:val="16"/>
              </w:rPr>
            </w:pPr>
            <w:r w:rsidRPr="00D96063">
              <w:rPr>
                <w:sz w:val="16"/>
                <w:szCs w:val="16"/>
              </w:rPr>
              <w:t>Marrakesh Treaty to Facilitate Access to Published Works for Persons Who Are Blind, Visually Impaired or Otherwise Print Disabled (Marrakesh Agreement)</w:t>
            </w:r>
          </w:p>
        </w:tc>
        <w:tc>
          <w:tcPr>
            <w:tcW w:w="2239" w:type="dxa"/>
            <w:tcBorders>
              <w:top w:val="nil"/>
              <w:bottom w:val="nil"/>
            </w:tcBorders>
            <w:shd w:val="clear" w:color="auto" w:fill="auto"/>
          </w:tcPr>
          <w:p w14:paraId="3DC83B98" w14:textId="77777777" w:rsidR="00C15F2E" w:rsidRPr="00D96063" w:rsidRDefault="00C15F2E" w:rsidP="0072322D">
            <w:pPr>
              <w:spacing w:before="30" w:after="30"/>
              <w:ind w:right="510"/>
              <w:jc w:val="right"/>
              <w:rPr>
                <w:sz w:val="16"/>
                <w:szCs w:val="16"/>
              </w:rPr>
            </w:pPr>
            <w:r w:rsidRPr="00D96063">
              <w:rPr>
                <w:sz w:val="16"/>
                <w:szCs w:val="16"/>
              </w:rPr>
              <w:t>11/08/2018</w:t>
            </w:r>
          </w:p>
        </w:tc>
      </w:tr>
      <w:tr w:rsidR="00C15F2E" w:rsidRPr="00D96063" w14:paraId="5D30A1D4" w14:textId="77777777" w:rsidTr="00E61764">
        <w:tc>
          <w:tcPr>
            <w:tcW w:w="6941" w:type="dxa"/>
            <w:tcBorders>
              <w:top w:val="nil"/>
              <w:bottom w:val="nil"/>
            </w:tcBorders>
            <w:shd w:val="clear" w:color="auto" w:fill="C9DED4"/>
          </w:tcPr>
          <w:p w14:paraId="19C8F6DA" w14:textId="77777777" w:rsidR="00C15F2E" w:rsidRPr="00D96063" w:rsidRDefault="00C15F2E" w:rsidP="00997D10">
            <w:pPr>
              <w:spacing w:before="30" w:after="30"/>
              <w:jc w:val="left"/>
              <w:rPr>
                <w:sz w:val="16"/>
                <w:szCs w:val="16"/>
              </w:rPr>
            </w:pPr>
            <w:r w:rsidRPr="00D96063">
              <w:rPr>
                <w:sz w:val="16"/>
                <w:szCs w:val="16"/>
              </w:rPr>
              <w:t xml:space="preserve">UPOV Convention on the Protection of Plant Variety </w:t>
            </w:r>
          </w:p>
        </w:tc>
        <w:tc>
          <w:tcPr>
            <w:tcW w:w="2239" w:type="dxa"/>
            <w:tcBorders>
              <w:top w:val="nil"/>
              <w:bottom w:val="nil"/>
            </w:tcBorders>
            <w:shd w:val="clear" w:color="auto" w:fill="C9DED4"/>
          </w:tcPr>
          <w:p w14:paraId="4DB2BE05" w14:textId="77777777" w:rsidR="00C15F2E" w:rsidRPr="00D96063" w:rsidRDefault="00C15F2E" w:rsidP="0072322D">
            <w:pPr>
              <w:spacing w:before="30" w:after="30"/>
              <w:ind w:right="510"/>
              <w:jc w:val="right"/>
              <w:rPr>
                <w:sz w:val="16"/>
                <w:szCs w:val="16"/>
              </w:rPr>
            </w:pPr>
            <w:r w:rsidRPr="00D96063">
              <w:rPr>
                <w:sz w:val="16"/>
                <w:szCs w:val="16"/>
              </w:rPr>
              <w:t>03/12/2021</w:t>
            </w:r>
          </w:p>
        </w:tc>
      </w:tr>
      <w:tr w:rsidR="00C15F2E" w:rsidRPr="00D96063" w14:paraId="7BF8AFC2" w14:textId="77777777" w:rsidTr="00E61764">
        <w:tc>
          <w:tcPr>
            <w:tcW w:w="6941" w:type="dxa"/>
            <w:tcBorders>
              <w:top w:val="nil"/>
            </w:tcBorders>
            <w:shd w:val="clear" w:color="auto" w:fill="auto"/>
          </w:tcPr>
          <w:p w14:paraId="2DBD1DF4" w14:textId="77777777" w:rsidR="00C15F2E" w:rsidRPr="00D96063" w:rsidRDefault="00C15F2E" w:rsidP="00997D10">
            <w:pPr>
              <w:spacing w:before="30" w:after="30"/>
              <w:jc w:val="left"/>
              <w:rPr>
                <w:sz w:val="16"/>
                <w:szCs w:val="16"/>
              </w:rPr>
            </w:pPr>
            <w:r w:rsidRPr="00D96063">
              <w:rPr>
                <w:sz w:val="16"/>
                <w:szCs w:val="16"/>
              </w:rPr>
              <w:t>Geneva Act of the Lisbon Agreement on Appellations of Origin and Geographical Indications</w:t>
            </w:r>
          </w:p>
        </w:tc>
        <w:tc>
          <w:tcPr>
            <w:tcW w:w="2239" w:type="dxa"/>
            <w:tcBorders>
              <w:top w:val="nil"/>
            </w:tcBorders>
            <w:shd w:val="clear" w:color="auto" w:fill="auto"/>
          </w:tcPr>
          <w:p w14:paraId="4B32EE9C" w14:textId="77777777" w:rsidR="00C15F2E" w:rsidRPr="00D96063" w:rsidRDefault="00C15F2E" w:rsidP="0072322D">
            <w:pPr>
              <w:spacing w:before="30" w:after="30"/>
              <w:ind w:right="510"/>
              <w:jc w:val="right"/>
              <w:rPr>
                <w:sz w:val="16"/>
                <w:szCs w:val="16"/>
              </w:rPr>
            </w:pPr>
            <w:r w:rsidRPr="00D96063">
              <w:rPr>
                <w:sz w:val="16"/>
                <w:szCs w:val="16"/>
              </w:rPr>
              <w:t>03/02/2022</w:t>
            </w:r>
          </w:p>
        </w:tc>
      </w:tr>
    </w:tbl>
    <w:p w14:paraId="0E7BA48F" w14:textId="77777777" w:rsidR="00C15F2E" w:rsidRPr="00D96063" w:rsidRDefault="00C15F2E" w:rsidP="00E101A6">
      <w:pPr>
        <w:spacing w:before="120" w:after="240"/>
        <w:jc w:val="left"/>
        <w:rPr>
          <w:rFonts w:eastAsia="Calibri" w:cs="Times New Roman"/>
          <w:sz w:val="16"/>
          <w:szCs w:val="18"/>
          <w:lang w:eastAsia="en-GB"/>
        </w:rPr>
      </w:pPr>
      <w:r w:rsidRPr="00D96063">
        <w:rPr>
          <w:rFonts w:eastAsia="Calibri" w:cs="Times New Roman"/>
          <w:sz w:val="16"/>
          <w:szCs w:val="18"/>
          <w:lang w:eastAsia="en-GB"/>
        </w:rPr>
        <w:t>Source:</w:t>
      </w:r>
      <w:r w:rsidRPr="00D96063">
        <w:rPr>
          <w:rFonts w:eastAsia="Calibri" w:cs="Times New Roman"/>
          <w:sz w:val="16"/>
          <w:szCs w:val="18"/>
          <w:lang w:eastAsia="en-GB"/>
        </w:rPr>
        <w:tab/>
        <w:t>WTO Secretariat, based on information provided by the authorities.</w:t>
      </w:r>
    </w:p>
    <w:p w14:paraId="3864B7D3" w14:textId="069002EA" w:rsidR="00C15F2E" w:rsidRPr="00D96063" w:rsidRDefault="00C15F2E" w:rsidP="003758E5">
      <w:pPr>
        <w:pStyle w:val="BodyText"/>
        <w:rPr>
          <w:lang w:eastAsia="fr-CH"/>
        </w:rPr>
      </w:pPr>
      <w:r w:rsidRPr="00D96063">
        <w:rPr>
          <w:lang w:eastAsia="fr-CH"/>
        </w:rPr>
        <w:t>On 30 May 2019, Ghana ratified the Agreement Establishing the AfCFTA</w:t>
      </w:r>
      <w:r w:rsidRPr="00D96063">
        <w:rPr>
          <w:vertAlign w:val="superscript"/>
          <w:lang w:eastAsia="fr-CH"/>
        </w:rPr>
        <w:footnoteReference w:id="110"/>
      </w:r>
      <w:r w:rsidRPr="00D96063">
        <w:rPr>
          <w:lang w:eastAsia="fr-CH"/>
        </w:rPr>
        <w:t xml:space="preserve"> (AfCFTA)</w:t>
      </w:r>
      <w:r w:rsidRPr="00D96063">
        <w:rPr>
          <w:vertAlign w:val="superscript"/>
          <w:lang w:eastAsia="fr-CH"/>
        </w:rPr>
        <w:footnoteReference w:id="111"/>
      </w:r>
      <w:r w:rsidRPr="00D96063">
        <w:rPr>
          <w:lang w:eastAsia="fr-CH"/>
        </w:rPr>
        <w:t>, which, pursuant to its Article</w:t>
      </w:r>
      <w:r w:rsidR="00DF07C6">
        <w:rPr>
          <w:lang w:eastAsia="fr-CH"/>
        </w:rPr>
        <w:t> </w:t>
      </w:r>
      <w:r w:rsidRPr="00D96063">
        <w:rPr>
          <w:lang w:eastAsia="fr-CH"/>
        </w:rPr>
        <w:t>6, covers IPRs. Ghana participates in ongoing negotiations on an IP protocol to be annexed to the AfCFTA.</w:t>
      </w:r>
    </w:p>
    <w:p w14:paraId="0AECE422" w14:textId="5DCC73B1" w:rsidR="00C15F2E" w:rsidRPr="00D96063" w:rsidRDefault="00C15F2E" w:rsidP="003758E5">
      <w:pPr>
        <w:numPr>
          <w:ilvl w:val="6"/>
          <w:numId w:val="25"/>
        </w:numPr>
        <w:spacing w:after="240"/>
        <w:rPr>
          <w:lang w:eastAsia="fr-CH"/>
        </w:rPr>
      </w:pPr>
      <w:r w:rsidRPr="00D96063">
        <w:rPr>
          <w:lang w:eastAsia="fr-CH"/>
        </w:rPr>
        <w:lastRenderedPageBreak/>
        <w:t>Ghana has also signed the Statute of the Pan</w:t>
      </w:r>
      <w:r w:rsidRPr="00D96063">
        <w:rPr>
          <w:lang w:eastAsia="fr-CH"/>
        </w:rPr>
        <w:noBreakHyphen/>
        <w:t>African Intellectual Property Organization (PAIPO)</w:t>
      </w:r>
      <w:r w:rsidRPr="00D96063">
        <w:rPr>
          <w:vertAlign w:val="superscript"/>
          <w:lang w:eastAsia="fr-CH"/>
        </w:rPr>
        <w:footnoteReference w:id="112"/>
      </w:r>
      <w:r w:rsidRPr="00D96063">
        <w:rPr>
          <w:lang w:eastAsia="fr-CH"/>
        </w:rPr>
        <w:t xml:space="preserve"> on 4 July 2017.</w:t>
      </w:r>
      <w:r w:rsidRPr="00D96063">
        <w:rPr>
          <w:vertAlign w:val="superscript"/>
          <w:lang w:eastAsia="fr-CH"/>
        </w:rPr>
        <w:footnoteReference w:id="113"/>
      </w:r>
      <w:r w:rsidRPr="00D96063">
        <w:rPr>
          <w:lang w:eastAsia="fr-CH"/>
        </w:rPr>
        <w:t xml:space="preserve"> But it has not yet ratified the treaty. Ghana, as a founding member of ARIPO, is in further consultations with member States in respect of its status and future relationship with PAIPO to rationalize the existence of intellectual property organizations in Africa and their relationship with WIPO. According to Article</w:t>
      </w:r>
      <w:r w:rsidR="00DF07C6">
        <w:rPr>
          <w:lang w:eastAsia="fr-CH"/>
        </w:rPr>
        <w:t> </w:t>
      </w:r>
      <w:r w:rsidRPr="00D96063">
        <w:rPr>
          <w:lang w:eastAsia="fr-CH"/>
        </w:rPr>
        <w:t>3 of the Statute of PAIPO, the Organization "shall be responsible for intellectual property and other emerging issues related to intellectual property in Africa and shall promote effective use of the intellectual property system as a tool for economic, cultural, social and technological development of the continent".</w:t>
      </w:r>
    </w:p>
    <w:p w14:paraId="3CF8B4F5" w14:textId="77777777" w:rsidR="00C15F2E" w:rsidRPr="00D96063" w:rsidRDefault="00C15F2E" w:rsidP="003758E5">
      <w:pPr>
        <w:numPr>
          <w:ilvl w:val="6"/>
          <w:numId w:val="25"/>
        </w:numPr>
        <w:spacing w:after="240"/>
        <w:rPr>
          <w:lang w:eastAsia="fr-CH"/>
        </w:rPr>
      </w:pPr>
      <w:r w:rsidRPr="00D96063">
        <w:rPr>
          <w:lang w:eastAsia="fr-CH"/>
        </w:rPr>
        <w:t>Ghana in 2002 notified its main legislation on IPRs to the WTO TRIPS Council, which reviewed it.</w:t>
      </w:r>
      <w:r w:rsidRPr="00D96063">
        <w:rPr>
          <w:vertAlign w:val="superscript"/>
          <w:lang w:eastAsia="fr-CH"/>
        </w:rPr>
        <w:footnoteReference w:id="114"/>
      </w:r>
      <w:r w:rsidRPr="00D96063">
        <w:rPr>
          <w:lang w:eastAsia="fr-CH"/>
        </w:rPr>
        <w:t xml:space="preserve"> Patents, copyrights and related rights, trademarks, industrial designs, geographical indications, layout designs of integrated circuits, and undisclosed information are all legally recognized and protected in Ghana. The Plant Variety Protection Act, 2020 (Act 1050) has yet to be notified to the WTO. The Trademarks Act, Industrial Designs Act, and Patent Act were amended during the period under review.</w:t>
      </w:r>
    </w:p>
    <w:p w14:paraId="2C42F538" w14:textId="77777777" w:rsidR="00C15F2E" w:rsidRPr="00D96063" w:rsidRDefault="00C15F2E" w:rsidP="003758E5">
      <w:pPr>
        <w:numPr>
          <w:ilvl w:val="6"/>
          <w:numId w:val="25"/>
        </w:numPr>
        <w:spacing w:after="240"/>
        <w:rPr>
          <w:lang w:eastAsia="fr-CH"/>
        </w:rPr>
      </w:pPr>
      <w:r w:rsidRPr="00D96063">
        <w:rPr>
          <w:lang w:eastAsia="fr-CH"/>
        </w:rPr>
        <w:t>Applications for copyright protection are filed at the Ghana Copyright Office under the Ministry of Justice.</w:t>
      </w:r>
      <w:r w:rsidRPr="00D96063">
        <w:rPr>
          <w:vertAlign w:val="superscript"/>
          <w:lang w:eastAsia="fr-CH"/>
        </w:rPr>
        <w:footnoteReference w:id="115"/>
      </w:r>
      <w:r w:rsidRPr="00D96063">
        <w:rPr>
          <w:lang w:eastAsia="fr-CH"/>
        </w:rPr>
        <w:t xml:space="preserve"> The Registrar General is the notified IPR contact point for matters regarding patents, layout designs of integrated circuits, geographical indications, industrial designs, and trademarks. The legal administration and registration of the Plant Variety Protection Act is to be implemented by the Registrar General's Department, while the technical tests will be conducted by the MOFA in collaboration with other testing institutions.</w:t>
      </w:r>
    </w:p>
    <w:p w14:paraId="1FC6337F" w14:textId="77777777" w:rsidR="00C15F2E" w:rsidRPr="00D96063" w:rsidRDefault="00C15F2E" w:rsidP="00856701">
      <w:pPr>
        <w:pStyle w:val="Heading4"/>
      </w:pPr>
      <w:bookmarkStart w:id="172" w:name="_Toc103607705"/>
      <w:r w:rsidRPr="00D96063">
        <w:t>Main areas of intellectual property rights</w:t>
      </w:r>
      <w:bookmarkEnd w:id="172"/>
    </w:p>
    <w:p w14:paraId="11B253ED" w14:textId="76EF6302" w:rsidR="00C15F2E" w:rsidRPr="00D96063" w:rsidRDefault="00C15F2E" w:rsidP="003758E5">
      <w:pPr>
        <w:numPr>
          <w:ilvl w:val="6"/>
          <w:numId w:val="25"/>
        </w:numPr>
        <w:spacing w:after="240"/>
        <w:rPr>
          <w:lang w:eastAsia="fr-CH"/>
        </w:rPr>
      </w:pPr>
      <w:r w:rsidRPr="00D96063">
        <w:rPr>
          <w:lang w:eastAsia="fr-CH"/>
        </w:rPr>
        <w:t>Ghana's main IPR laws and their coverage are represented in Table 3.1</w:t>
      </w:r>
      <w:r w:rsidR="00A76A58">
        <w:rPr>
          <w:lang w:eastAsia="fr-CH"/>
        </w:rPr>
        <w:t>5</w:t>
      </w:r>
      <w:r w:rsidRPr="00D96063">
        <w:rPr>
          <w:lang w:eastAsia="fr-CH"/>
        </w:rPr>
        <w:t>. Sections 13 and 14 of the Patent Act contain provisions on compulsory licences, but none have been granted since 2005. Where required in the public interest or where the manner of exploitation of a patent is determined to be anti-competitive by a judicial or administrative body, the responsible Minister may designate a third person or a government agency to exploit the invention. Public interest reasons include national security, nutrition, and health, as well as the development of vital sectors of the economy. Upon request, courts may also grant compulsory licences in the case of non</w:t>
      </w:r>
      <w:r w:rsidRPr="00D96063">
        <w:rPr>
          <w:lang w:eastAsia="fr-CH"/>
        </w:rPr>
        <w:noBreakHyphen/>
        <w:t>exploitation of a patent for at least three years. In 2005, one compulsory licence had been granted to a Ghanaian company to produce HIV drugs; no such action occurred in respect of COVID</w:t>
      </w:r>
      <w:r w:rsidRPr="00D96063">
        <w:rPr>
          <w:lang w:eastAsia="fr-CH"/>
        </w:rPr>
        <w:noBreakHyphen/>
        <w:t>19 vaccines.</w:t>
      </w:r>
    </w:p>
    <w:p w14:paraId="014A54D6" w14:textId="197055B3" w:rsidR="00C15F2E" w:rsidRPr="00D96063" w:rsidRDefault="00C6228A" w:rsidP="00AD0003">
      <w:pPr>
        <w:pStyle w:val="Caption"/>
        <w:keepLines/>
        <w:rPr>
          <w:b w:val="0"/>
          <w:bCs w:val="0"/>
        </w:rPr>
      </w:pPr>
      <w:bookmarkStart w:id="173" w:name="_Toc103607896"/>
      <w:r w:rsidRPr="00D96063">
        <w:lastRenderedPageBreak/>
        <w:t xml:space="preserve">Table </w:t>
      </w:r>
      <w:fldSimple w:instr=" STYLEREF 1 \s ">
        <w:r w:rsidR="004B63B1">
          <w:rPr>
            <w:noProof/>
          </w:rPr>
          <w:t>3</w:t>
        </w:r>
      </w:fldSimple>
      <w:r w:rsidR="00BF3184">
        <w:t>.</w:t>
      </w:r>
      <w:fldSimple w:instr=" SEQ Table \* ARABIC \s 1 ">
        <w:r w:rsidR="004B63B1">
          <w:rPr>
            <w:noProof/>
          </w:rPr>
          <w:t>15</w:t>
        </w:r>
      </w:fldSimple>
      <w:r w:rsidRPr="00D96063">
        <w:t xml:space="preserve"> Overview of IPR protection, 2022</w:t>
      </w:r>
      <w:bookmarkEnd w:id="173"/>
    </w:p>
    <w:tbl>
      <w:tblPr>
        <w:tblStyle w:val="WTOTable1"/>
        <w:tblW w:w="5000" w:type="pct"/>
        <w:tblLayout w:type="fixed"/>
        <w:tblLook w:val="01E0" w:firstRow="1" w:lastRow="1" w:firstColumn="1" w:lastColumn="1" w:noHBand="0" w:noVBand="0"/>
      </w:tblPr>
      <w:tblGrid>
        <w:gridCol w:w="3540"/>
        <w:gridCol w:w="1700"/>
        <w:gridCol w:w="3776"/>
      </w:tblGrid>
      <w:tr w:rsidR="00C15F2E" w:rsidRPr="00D96063" w14:paraId="220487E4" w14:textId="77777777" w:rsidTr="00E97E90">
        <w:trPr>
          <w:cnfStyle w:val="100000000000" w:firstRow="1" w:lastRow="0" w:firstColumn="0" w:lastColumn="0" w:oddVBand="0" w:evenVBand="0" w:oddHBand="0" w:evenHBand="0" w:firstRowFirstColumn="0" w:firstRowLastColumn="0" w:lastRowFirstColumn="0" w:lastRowLastColumn="0"/>
          <w:tblHeader/>
        </w:trPr>
        <w:tc>
          <w:tcPr>
            <w:tcW w:w="1963" w:type="pct"/>
            <w:tcBorders>
              <w:bottom w:val="nil"/>
            </w:tcBorders>
          </w:tcPr>
          <w:p w14:paraId="1BA54FE4" w14:textId="77777777" w:rsidR="00C15F2E" w:rsidRPr="00D96063" w:rsidRDefault="00C15F2E" w:rsidP="00AD0003">
            <w:pPr>
              <w:keepNext/>
              <w:keepLines/>
              <w:spacing w:before="60" w:after="60"/>
              <w:jc w:val="left"/>
              <w:rPr>
                <w:b w:val="0"/>
                <w:color w:val="FFFFFF" w:themeColor="background1"/>
                <w:sz w:val="15"/>
                <w:szCs w:val="15"/>
              </w:rPr>
            </w:pPr>
            <w:r w:rsidRPr="00D96063">
              <w:rPr>
                <w:color w:val="FFFFFF" w:themeColor="background1"/>
                <w:sz w:val="15"/>
                <w:szCs w:val="15"/>
              </w:rPr>
              <w:t>Coverage</w:t>
            </w:r>
          </w:p>
        </w:tc>
        <w:tc>
          <w:tcPr>
            <w:tcW w:w="943" w:type="pct"/>
            <w:tcBorders>
              <w:bottom w:val="nil"/>
            </w:tcBorders>
          </w:tcPr>
          <w:p w14:paraId="2FF68F82" w14:textId="77777777" w:rsidR="00C15F2E" w:rsidRPr="00D96063" w:rsidRDefault="00C15F2E" w:rsidP="00AD0003">
            <w:pPr>
              <w:keepNext/>
              <w:keepLines/>
              <w:spacing w:before="60" w:after="60"/>
              <w:jc w:val="left"/>
              <w:rPr>
                <w:b w:val="0"/>
                <w:color w:val="FFFFFF" w:themeColor="background1"/>
                <w:sz w:val="15"/>
                <w:szCs w:val="15"/>
              </w:rPr>
            </w:pPr>
            <w:r w:rsidRPr="00D96063">
              <w:rPr>
                <w:color w:val="FFFFFF" w:themeColor="background1"/>
                <w:sz w:val="15"/>
                <w:szCs w:val="15"/>
              </w:rPr>
              <w:t>Duration</w:t>
            </w:r>
          </w:p>
        </w:tc>
        <w:tc>
          <w:tcPr>
            <w:tcW w:w="2094" w:type="pct"/>
            <w:tcBorders>
              <w:bottom w:val="nil"/>
            </w:tcBorders>
          </w:tcPr>
          <w:p w14:paraId="20EC3D9E" w14:textId="77777777" w:rsidR="00C15F2E" w:rsidRPr="00D96063" w:rsidRDefault="00C15F2E" w:rsidP="00AD0003">
            <w:pPr>
              <w:keepNext/>
              <w:keepLines/>
              <w:jc w:val="left"/>
              <w:rPr>
                <w:b w:val="0"/>
                <w:color w:val="FFFFFF" w:themeColor="background1"/>
                <w:sz w:val="15"/>
                <w:szCs w:val="15"/>
              </w:rPr>
            </w:pPr>
            <w:r w:rsidRPr="00D96063">
              <w:rPr>
                <w:color w:val="FFFFFF" w:themeColor="background1"/>
                <w:sz w:val="15"/>
                <w:szCs w:val="15"/>
              </w:rPr>
              <w:t>Selected exclusions and limitations</w:t>
            </w:r>
          </w:p>
        </w:tc>
      </w:tr>
      <w:tr w:rsidR="00C15F2E" w:rsidRPr="00D96063" w14:paraId="390537A6" w14:textId="77777777" w:rsidTr="00E97E90">
        <w:tc>
          <w:tcPr>
            <w:tcW w:w="5000" w:type="pct"/>
            <w:gridSpan w:val="3"/>
            <w:tcBorders>
              <w:top w:val="nil"/>
              <w:bottom w:val="nil"/>
            </w:tcBorders>
            <w:shd w:val="clear" w:color="auto" w:fill="C9DED4"/>
          </w:tcPr>
          <w:p w14:paraId="22DDFB7A" w14:textId="77777777" w:rsidR="00C15F2E" w:rsidRPr="00D96063" w:rsidRDefault="00C15F2E" w:rsidP="00AD0003">
            <w:pPr>
              <w:keepNext/>
              <w:keepLines/>
              <w:jc w:val="left"/>
              <w:rPr>
                <w:sz w:val="15"/>
                <w:szCs w:val="15"/>
              </w:rPr>
            </w:pPr>
            <w:r w:rsidRPr="00D96063">
              <w:rPr>
                <w:b/>
                <w:sz w:val="15"/>
                <w:szCs w:val="15"/>
              </w:rPr>
              <w:t xml:space="preserve">Patent Act, 2003 (Act 657): </w:t>
            </w:r>
            <w:hyperlink r:id="rId74" w:history="1">
              <w:r w:rsidRPr="00D96063">
                <w:rPr>
                  <w:color w:val="0000FF" w:themeColor="hyperlink"/>
                  <w:sz w:val="15"/>
                  <w:szCs w:val="15"/>
                  <w:u w:val="single"/>
                </w:rPr>
                <w:t>http://www.wipo.int/wipolex/en/text.jsp?file_id=223077</w:t>
              </w:r>
            </w:hyperlink>
          </w:p>
        </w:tc>
      </w:tr>
      <w:tr w:rsidR="00C15F2E" w:rsidRPr="00D96063" w14:paraId="14160E38" w14:textId="77777777" w:rsidTr="00E97E90">
        <w:trPr>
          <w:cnfStyle w:val="000000010000" w:firstRow="0" w:lastRow="0" w:firstColumn="0" w:lastColumn="0" w:oddVBand="0" w:evenVBand="0" w:oddHBand="0" w:evenHBand="1" w:firstRowFirstColumn="0" w:firstRowLastColumn="0" w:lastRowFirstColumn="0" w:lastRowLastColumn="0"/>
        </w:trPr>
        <w:tc>
          <w:tcPr>
            <w:tcW w:w="1963" w:type="pct"/>
            <w:tcBorders>
              <w:top w:val="nil"/>
              <w:bottom w:val="nil"/>
            </w:tcBorders>
          </w:tcPr>
          <w:p w14:paraId="18349F9B" w14:textId="77777777" w:rsidR="00C15F2E" w:rsidRPr="00D96063" w:rsidRDefault="00C15F2E" w:rsidP="00AD0003">
            <w:pPr>
              <w:keepNext/>
              <w:keepLines/>
              <w:spacing w:before="30" w:after="30"/>
              <w:jc w:val="left"/>
              <w:rPr>
                <w:sz w:val="15"/>
                <w:szCs w:val="15"/>
              </w:rPr>
            </w:pPr>
            <w:r w:rsidRPr="00D96063">
              <w:rPr>
                <w:b/>
                <w:sz w:val="15"/>
                <w:szCs w:val="15"/>
              </w:rPr>
              <w:t>Patents</w:t>
            </w:r>
            <w:r w:rsidRPr="00D96063">
              <w:rPr>
                <w:b/>
                <w:sz w:val="15"/>
                <w:szCs w:val="15"/>
              </w:rPr>
              <w:br/>
            </w:r>
            <w:r w:rsidRPr="00D96063">
              <w:rPr>
                <w:sz w:val="15"/>
                <w:szCs w:val="15"/>
              </w:rPr>
              <w:t>Any product or process that is new, involves an inventive step, and is susceptible to industrial application</w:t>
            </w:r>
            <w:r w:rsidRPr="00D96063">
              <w:rPr>
                <w:sz w:val="15"/>
                <w:szCs w:val="15"/>
              </w:rPr>
              <w:br/>
            </w:r>
            <w:r w:rsidRPr="00D96063">
              <w:rPr>
                <w:b/>
                <w:sz w:val="15"/>
                <w:szCs w:val="15"/>
              </w:rPr>
              <w:t>Utility models</w:t>
            </w:r>
            <w:r w:rsidRPr="00D96063">
              <w:rPr>
                <w:b/>
                <w:sz w:val="15"/>
                <w:szCs w:val="15"/>
              </w:rPr>
              <w:br/>
            </w:r>
            <w:r w:rsidRPr="00D96063">
              <w:rPr>
                <w:sz w:val="15"/>
                <w:szCs w:val="15"/>
              </w:rPr>
              <w:t>Product or process that is new and susceptible to industrial application</w:t>
            </w:r>
          </w:p>
        </w:tc>
        <w:tc>
          <w:tcPr>
            <w:tcW w:w="943" w:type="pct"/>
            <w:tcBorders>
              <w:top w:val="nil"/>
              <w:bottom w:val="nil"/>
            </w:tcBorders>
          </w:tcPr>
          <w:p w14:paraId="35DBB342" w14:textId="77777777" w:rsidR="00C15F2E" w:rsidRPr="00D96063" w:rsidRDefault="00C15F2E" w:rsidP="00AD0003">
            <w:pPr>
              <w:keepNext/>
              <w:keepLines/>
              <w:spacing w:before="30" w:after="30"/>
              <w:jc w:val="left"/>
              <w:rPr>
                <w:sz w:val="15"/>
                <w:szCs w:val="15"/>
              </w:rPr>
            </w:pPr>
            <w:r w:rsidRPr="00D96063">
              <w:rPr>
                <w:sz w:val="15"/>
                <w:szCs w:val="15"/>
              </w:rPr>
              <w:t>20 years from the date of application</w:t>
            </w:r>
          </w:p>
          <w:p w14:paraId="4878BC6C" w14:textId="77777777" w:rsidR="00C15F2E" w:rsidRPr="00D96063" w:rsidRDefault="00C15F2E" w:rsidP="00AD0003">
            <w:pPr>
              <w:keepNext/>
              <w:keepLines/>
              <w:spacing w:before="30" w:after="30"/>
              <w:jc w:val="left"/>
              <w:rPr>
                <w:sz w:val="15"/>
                <w:szCs w:val="15"/>
              </w:rPr>
            </w:pPr>
            <w:r w:rsidRPr="00D96063">
              <w:rPr>
                <w:sz w:val="15"/>
                <w:szCs w:val="15"/>
              </w:rPr>
              <w:t>Seven years for utility models</w:t>
            </w:r>
          </w:p>
        </w:tc>
        <w:tc>
          <w:tcPr>
            <w:tcW w:w="2094" w:type="pct"/>
            <w:tcBorders>
              <w:top w:val="nil"/>
              <w:bottom w:val="nil"/>
            </w:tcBorders>
          </w:tcPr>
          <w:p w14:paraId="5AE16615" w14:textId="77777777" w:rsidR="00C15F2E" w:rsidRPr="00D96063" w:rsidRDefault="00C15F2E" w:rsidP="00AD0003">
            <w:pPr>
              <w:keepNext/>
              <w:keepLines/>
              <w:jc w:val="left"/>
              <w:rPr>
                <w:sz w:val="15"/>
                <w:szCs w:val="15"/>
              </w:rPr>
            </w:pPr>
            <w:r w:rsidRPr="00D96063">
              <w:rPr>
                <w:sz w:val="15"/>
                <w:szCs w:val="15"/>
              </w:rPr>
              <w:t>No patent can be granted for: "(a) discoveries, scientific theories and mathematical methods; (b) schemes, rules or methods for doing business, performing purely mental acts or playing games; (c) methods for treatment of the human or animal body by surgery or therapy, as well as diagnostic methods practiced on the human or animal body" (except for products used in any of these methods); (d) inventions contrary to public order or morality; "(e) plants and animals other than micro-organisms; (f) biological processes for the protection of plants or animals other than non-biological and micro-biological processes; and (g) plant varieties".</w:t>
            </w:r>
          </w:p>
        </w:tc>
      </w:tr>
      <w:tr w:rsidR="00C15F2E" w:rsidRPr="00D96063" w14:paraId="500460F9" w14:textId="77777777" w:rsidTr="00E97E90">
        <w:tc>
          <w:tcPr>
            <w:tcW w:w="5000" w:type="pct"/>
            <w:gridSpan w:val="3"/>
            <w:tcBorders>
              <w:top w:val="nil"/>
            </w:tcBorders>
          </w:tcPr>
          <w:p w14:paraId="2D2C44F9" w14:textId="77777777" w:rsidR="00C15F2E" w:rsidRPr="00D96063" w:rsidRDefault="00C15F2E" w:rsidP="00AD0003">
            <w:pPr>
              <w:keepNext/>
              <w:keepLines/>
              <w:jc w:val="left"/>
              <w:rPr>
                <w:sz w:val="15"/>
                <w:szCs w:val="15"/>
              </w:rPr>
            </w:pPr>
            <w:r w:rsidRPr="00D96063">
              <w:rPr>
                <w:b/>
                <w:sz w:val="15"/>
                <w:szCs w:val="15"/>
              </w:rPr>
              <w:t xml:space="preserve">Industrial Designs Act, 2003 (Act 660): </w:t>
            </w:r>
            <w:hyperlink r:id="rId75" w:history="1">
              <w:r w:rsidRPr="00D96063">
                <w:rPr>
                  <w:color w:val="0000FF" w:themeColor="hyperlink"/>
                  <w:sz w:val="15"/>
                  <w:szCs w:val="15"/>
                  <w:u w:val="single"/>
                </w:rPr>
                <w:t>http://www.wipo.int/wipolex/fr/text.jsp?file_id=223028</w:t>
              </w:r>
            </w:hyperlink>
          </w:p>
          <w:p w14:paraId="165EDB01" w14:textId="77777777" w:rsidR="00C15F2E" w:rsidRPr="00D96063" w:rsidRDefault="00C15F2E" w:rsidP="00AD0003">
            <w:pPr>
              <w:keepNext/>
              <w:keepLines/>
              <w:jc w:val="left"/>
              <w:rPr>
                <w:sz w:val="15"/>
                <w:szCs w:val="15"/>
              </w:rPr>
            </w:pPr>
            <w:r w:rsidRPr="00D96063">
              <w:rPr>
                <w:b/>
                <w:bCs/>
                <w:sz w:val="15"/>
                <w:szCs w:val="15"/>
              </w:rPr>
              <w:t>Industrial Designs (Amendment) Act, 2020 (Act 1033)</w:t>
            </w:r>
          </w:p>
        </w:tc>
      </w:tr>
      <w:tr w:rsidR="00C15F2E" w:rsidRPr="00D96063" w14:paraId="3084117B" w14:textId="77777777" w:rsidTr="00E97E90">
        <w:trPr>
          <w:cnfStyle w:val="000000010000" w:firstRow="0" w:lastRow="0" w:firstColumn="0" w:lastColumn="0" w:oddVBand="0" w:evenVBand="0" w:oddHBand="0" w:evenHBand="1" w:firstRowFirstColumn="0" w:firstRowLastColumn="0" w:lastRowFirstColumn="0" w:lastRowLastColumn="0"/>
        </w:trPr>
        <w:tc>
          <w:tcPr>
            <w:tcW w:w="1963" w:type="pct"/>
            <w:tcBorders>
              <w:bottom w:val="nil"/>
            </w:tcBorders>
            <w:shd w:val="clear" w:color="auto" w:fill="auto"/>
          </w:tcPr>
          <w:p w14:paraId="5308FF5B" w14:textId="77777777" w:rsidR="00C15F2E" w:rsidRPr="00D96063" w:rsidRDefault="00C15F2E" w:rsidP="00BA0246">
            <w:pPr>
              <w:keepNext/>
              <w:spacing w:before="30" w:after="30"/>
              <w:jc w:val="left"/>
              <w:rPr>
                <w:sz w:val="15"/>
                <w:szCs w:val="15"/>
              </w:rPr>
            </w:pPr>
            <w:r w:rsidRPr="00D96063">
              <w:rPr>
                <w:sz w:val="15"/>
                <w:szCs w:val="15"/>
              </w:rPr>
              <w:t>Any composition of lines or colours or any three-dimensional form, material, or textile design where the composition, form, or handicraft gives a special appearance to a product of industry or handicraft and can serve as a pattern for a product of industry or handicraft</w:t>
            </w:r>
          </w:p>
        </w:tc>
        <w:tc>
          <w:tcPr>
            <w:tcW w:w="943" w:type="pct"/>
            <w:tcBorders>
              <w:bottom w:val="nil"/>
            </w:tcBorders>
            <w:shd w:val="clear" w:color="auto" w:fill="auto"/>
          </w:tcPr>
          <w:p w14:paraId="1B392A2A" w14:textId="77777777" w:rsidR="00C15F2E" w:rsidRPr="00D96063" w:rsidRDefault="00C15F2E" w:rsidP="00BA0246">
            <w:pPr>
              <w:keepNext/>
              <w:spacing w:before="30" w:after="30"/>
              <w:jc w:val="left"/>
              <w:rPr>
                <w:sz w:val="15"/>
                <w:szCs w:val="15"/>
              </w:rPr>
            </w:pPr>
            <w:r w:rsidRPr="00D96063">
              <w:rPr>
                <w:sz w:val="15"/>
                <w:szCs w:val="15"/>
              </w:rPr>
              <w:t>Five years from the date of application, renewable for up to four consecutive periods of five years</w:t>
            </w:r>
          </w:p>
        </w:tc>
        <w:tc>
          <w:tcPr>
            <w:tcW w:w="2094" w:type="pct"/>
            <w:tcBorders>
              <w:bottom w:val="nil"/>
            </w:tcBorders>
            <w:shd w:val="clear" w:color="auto" w:fill="auto"/>
          </w:tcPr>
          <w:p w14:paraId="7B135A81" w14:textId="77777777" w:rsidR="00C15F2E" w:rsidRPr="00D96063" w:rsidRDefault="00C15F2E" w:rsidP="00BA0246">
            <w:pPr>
              <w:keepNext/>
              <w:jc w:val="left"/>
              <w:rPr>
                <w:sz w:val="15"/>
                <w:szCs w:val="15"/>
              </w:rPr>
            </w:pPr>
            <w:r w:rsidRPr="00D96063">
              <w:rPr>
                <w:sz w:val="15"/>
                <w:szCs w:val="15"/>
              </w:rPr>
              <w:t>Anything in an industrial design serving solely to obtain technical result</w:t>
            </w:r>
          </w:p>
        </w:tc>
      </w:tr>
      <w:tr w:rsidR="00C15F2E" w:rsidRPr="00D96063" w14:paraId="344606E6" w14:textId="77777777" w:rsidTr="00E97E90">
        <w:tc>
          <w:tcPr>
            <w:tcW w:w="5000" w:type="pct"/>
            <w:gridSpan w:val="3"/>
            <w:tcBorders>
              <w:top w:val="nil"/>
              <w:bottom w:val="nil"/>
            </w:tcBorders>
            <w:shd w:val="clear" w:color="auto" w:fill="C9DED4"/>
          </w:tcPr>
          <w:p w14:paraId="559F7705" w14:textId="15BA8294" w:rsidR="00C15F2E" w:rsidRPr="00D96063" w:rsidRDefault="00C15F2E" w:rsidP="00997D10">
            <w:pPr>
              <w:jc w:val="left"/>
              <w:rPr>
                <w:color w:val="0000FF" w:themeColor="hyperlink"/>
                <w:sz w:val="15"/>
                <w:szCs w:val="15"/>
                <w:u w:val="single"/>
              </w:rPr>
            </w:pPr>
            <w:r w:rsidRPr="00D96063">
              <w:rPr>
                <w:b/>
                <w:sz w:val="15"/>
                <w:szCs w:val="15"/>
              </w:rPr>
              <w:t xml:space="preserve">Copyright Act, 2005 (Act 690): </w:t>
            </w:r>
            <w:hyperlink r:id="rId76" w:history="1">
              <w:r w:rsidRPr="00D96063">
                <w:rPr>
                  <w:color w:val="0000FF" w:themeColor="hyperlink"/>
                  <w:sz w:val="15"/>
                  <w:szCs w:val="15"/>
                  <w:u w:val="single"/>
                </w:rPr>
                <w:t>http://www.parliament.gh/</w:t>
              </w:r>
            </w:hyperlink>
          </w:p>
          <w:p w14:paraId="61A5E4C3" w14:textId="77777777" w:rsidR="00C15F2E" w:rsidRPr="00D96063" w:rsidRDefault="00C15F2E" w:rsidP="00997D10">
            <w:pPr>
              <w:jc w:val="left"/>
              <w:rPr>
                <w:b/>
                <w:sz w:val="15"/>
                <w:szCs w:val="15"/>
              </w:rPr>
            </w:pPr>
            <w:r w:rsidRPr="00D96063">
              <w:rPr>
                <w:b/>
                <w:sz w:val="15"/>
                <w:szCs w:val="15"/>
              </w:rPr>
              <w:t>Copyright (Amendment) Act, 2009 (Act 788)</w:t>
            </w:r>
          </w:p>
        </w:tc>
      </w:tr>
      <w:tr w:rsidR="00C15F2E" w:rsidRPr="00D96063" w14:paraId="19C917C1" w14:textId="77777777" w:rsidTr="00E97E90">
        <w:trPr>
          <w:cnfStyle w:val="000000010000" w:firstRow="0" w:lastRow="0" w:firstColumn="0" w:lastColumn="0" w:oddVBand="0" w:evenVBand="0" w:oddHBand="0" w:evenHBand="1" w:firstRowFirstColumn="0" w:firstRowLastColumn="0" w:lastRowFirstColumn="0" w:lastRowLastColumn="0"/>
        </w:trPr>
        <w:tc>
          <w:tcPr>
            <w:tcW w:w="1963" w:type="pct"/>
          </w:tcPr>
          <w:p w14:paraId="7D837B45" w14:textId="77777777" w:rsidR="00C15F2E" w:rsidRPr="00D96063" w:rsidRDefault="00C15F2E" w:rsidP="00997D10">
            <w:pPr>
              <w:spacing w:before="30" w:after="30"/>
              <w:jc w:val="left"/>
              <w:rPr>
                <w:b/>
                <w:sz w:val="15"/>
                <w:szCs w:val="15"/>
              </w:rPr>
            </w:pPr>
            <w:r w:rsidRPr="00D96063">
              <w:rPr>
                <w:b/>
                <w:sz w:val="15"/>
                <w:szCs w:val="15"/>
              </w:rPr>
              <w:t>Copyright and neighbouring rights</w:t>
            </w:r>
          </w:p>
          <w:p w14:paraId="381CFE7A" w14:textId="77777777" w:rsidR="00C15F2E" w:rsidRPr="00D96063" w:rsidRDefault="00C15F2E" w:rsidP="00997D10">
            <w:pPr>
              <w:spacing w:before="30" w:after="30"/>
              <w:jc w:val="left"/>
              <w:rPr>
                <w:sz w:val="15"/>
                <w:szCs w:val="15"/>
              </w:rPr>
            </w:pPr>
            <w:r w:rsidRPr="00D96063">
              <w:rPr>
                <w:sz w:val="15"/>
                <w:szCs w:val="15"/>
              </w:rPr>
              <w:t>Literary, artistic, musical, audiovisual, choreographic, and derivative works; sound recordings; computer software or programs</w:t>
            </w:r>
          </w:p>
        </w:tc>
        <w:tc>
          <w:tcPr>
            <w:tcW w:w="943" w:type="pct"/>
            <w:tcBorders>
              <w:top w:val="nil"/>
              <w:bottom w:val="nil"/>
            </w:tcBorders>
          </w:tcPr>
          <w:p w14:paraId="4B5B6443" w14:textId="77777777" w:rsidR="00C15F2E" w:rsidRPr="00D96063" w:rsidRDefault="00C15F2E" w:rsidP="00997D10">
            <w:pPr>
              <w:spacing w:before="30" w:after="30"/>
              <w:jc w:val="left"/>
              <w:rPr>
                <w:sz w:val="15"/>
                <w:szCs w:val="15"/>
              </w:rPr>
            </w:pPr>
            <w:r w:rsidRPr="00D96063">
              <w:rPr>
                <w:sz w:val="15"/>
                <w:szCs w:val="15"/>
              </w:rPr>
              <w:t>Moral rights: in perpetuity;</w:t>
            </w:r>
            <w:r w:rsidRPr="00D96063">
              <w:rPr>
                <w:b/>
                <w:sz w:val="15"/>
                <w:szCs w:val="15"/>
              </w:rPr>
              <w:br/>
            </w:r>
            <w:r w:rsidRPr="00D96063">
              <w:rPr>
                <w:sz w:val="15"/>
                <w:szCs w:val="15"/>
              </w:rPr>
              <w:t xml:space="preserve">Economic rights: the author's life plus 70 years </w:t>
            </w:r>
          </w:p>
        </w:tc>
        <w:tc>
          <w:tcPr>
            <w:tcW w:w="2094" w:type="pct"/>
          </w:tcPr>
          <w:p w14:paraId="0C22454B" w14:textId="77777777" w:rsidR="00C15F2E" w:rsidRPr="00D96063" w:rsidRDefault="00C15F2E" w:rsidP="00997D10">
            <w:pPr>
              <w:jc w:val="left"/>
              <w:rPr>
                <w:sz w:val="15"/>
                <w:szCs w:val="15"/>
              </w:rPr>
            </w:pPr>
            <w:r w:rsidRPr="00D96063">
              <w:rPr>
                <w:sz w:val="15"/>
                <w:szCs w:val="15"/>
              </w:rPr>
              <w:t>Ideas, concepts, procedures, methods, or other things of similar nature.</w:t>
            </w:r>
            <w:r w:rsidRPr="00D96063">
              <w:rPr>
                <w:sz w:val="15"/>
                <w:szCs w:val="15"/>
              </w:rPr>
              <w:br/>
              <w:t>Permitted use of work protected by copyright includes reproduction, translation, or adaptation for exclusive personal use.</w:t>
            </w:r>
          </w:p>
        </w:tc>
      </w:tr>
      <w:tr w:rsidR="00C15F2E" w:rsidRPr="00D96063" w14:paraId="4191E7D4" w14:textId="77777777" w:rsidTr="00E97E90">
        <w:tc>
          <w:tcPr>
            <w:tcW w:w="5000" w:type="pct"/>
            <w:gridSpan w:val="3"/>
            <w:shd w:val="clear" w:color="auto" w:fill="auto"/>
          </w:tcPr>
          <w:p w14:paraId="52A101DB" w14:textId="77777777" w:rsidR="00C15F2E" w:rsidRPr="00D96063" w:rsidRDefault="00C15F2E" w:rsidP="00997D10">
            <w:pPr>
              <w:jc w:val="left"/>
              <w:rPr>
                <w:color w:val="0000FF" w:themeColor="hyperlink"/>
                <w:sz w:val="15"/>
                <w:szCs w:val="15"/>
                <w:u w:val="single"/>
              </w:rPr>
            </w:pPr>
            <w:r w:rsidRPr="00D96063">
              <w:rPr>
                <w:b/>
                <w:sz w:val="15"/>
                <w:szCs w:val="15"/>
              </w:rPr>
              <w:t xml:space="preserve">Trade Marks Act, 2004: </w:t>
            </w:r>
            <w:hyperlink r:id="rId77" w:history="1">
              <w:r w:rsidRPr="00D96063">
                <w:rPr>
                  <w:color w:val="0000FF" w:themeColor="hyperlink"/>
                  <w:sz w:val="15"/>
                  <w:szCs w:val="15"/>
                  <w:u w:val="single"/>
                </w:rPr>
                <w:t>http://www.wipo.int/wipolex/en/text.jsp?file_id=218529</w:t>
              </w:r>
            </w:hyperlink>
          </w:p>
          <w:p w14:paraId="05D117FD" w14:textId="77777777" w:rsidR="00C15F2E" w:rsidRPr="00D96063" w:rsidRDefault="00C15F2E" w:rsidP="00997D10">
            <w:pPr>
              <w:jc w:val="left"/>
              <w:rPr>
                <w:sz w:val="15"/>
                <w:szCs w:val="15"/>
              </w:rPr>
            </w:pPr>
            <w:r w:rsidRPr="00D96063">
              <w:rPr>
                <w:b/>
                <w:sz w:val="15"/>
                <w:szCs w:val="15"/>
              </w:rPr>
              <w:t xml:space="preserve">Trademarks (Amendment) Act, 2014 (Act 876): </w:t>
            </w:r>
            <w:hyperlink r:id="rId78" w:history="1">
              <w:r w:rsidRPr="00D96063">
                <w:rPr>
                  <w:color w:val="0000FF" w:themeColor="hyperlink"/>
                  <w:sz w:val="15"/>
                  <w:szCs w:val="15"/>
                  <w:u w:val="single"/>
                </w:rPr>
                <w:t>https://wipolex.wipo.int/en/legislation/details/17315</w:t>
              </w:r>
            </w:hyperlink>
          </w:p>
        </w:tc>
      </w:tr>
      <w:tr w:rsidR="00C15F2E" w:rsidRPr="00D96063" w14:paraId="3075FFFA" w14:textId="77777777" w:rsidTr="00E97E90">
        <w:trPr>
          <w:cnfStyle w:val="000000010000" w:firstRow="0" w:lastRow="0" w:firstColumn="0" w:lastColumn="0" w:oddVBand="0" w:evenVBand="0" w:oddHBand="0" w:evenHBand="1" w:firstRowFirstColumn="0" w:firstRowLastColumn="0" w:lastRowFirstColumn="0" w:lastRowLastColumn="0"/>
        </w:trPr>
        <w:tc>
          <w:tcPr>
            <w:tcW w:w="1963" w:type="pct"/>
            <w:tcBorders>
              <w:bottom w:val="nil"/>
            </w:tcBorders>
            <w:shd w:val="clear" w:color="auto" w:fill="auto"/>
          </w:tcPr>
          <w:p w14:paraId="15777C38" w14:textId="77777777" w:rsidR="00C15F2E" w:rsidRPr="00D96063" w:rsidRDefault="00C15F2E" w:rsidP="00997D10">
            <w:pPr>
              <w:spacing w:before="30" w:after="30"/>
              <w:jc w:val="left"/>
              <w:rPr>
                <w:sz w:val="15"/>
                <w:szCs w:val="15"/>
              </w:rPr>
            </w:pPr>
            <w:r w:rsidRPr="00D96063">
              <w:rPr>
                <w:sz w:val="15"/>
                <w:szCs w:val="15"/>
              </w:rPr>
              <w:t xml:space="preserve">Any sign or combination of signs capable of distinguishing goods or services from others </w:t>
            </w:r>
          </w:p>
        </w:tc>
        <w:tc>
          <w:tcPr>
            <w:tcW w:w="943" w:type="pct"/>
            <w:tcBorders>
              <w:bottom w:val="nil"/>
            </w:tcBorders>
            <w:shd w:val="clear" w:color="auto" w:fill="auto"/>
          </w:tcPr>
          <w:p w14:paraId="23E53FC5" w14:textId="77777777" w:rsidR="00C15F2E" w:rsidRPr="00D96063" w:rsidRDefault="00C15F2E" w:rsidP="00997D10">
            <w:pPr>
              <w:spacing w:before="30" w:after="30"/>
              <w:jc w:val="left"/>
              <w:rPr>
                <w:sz w:val="15"/>
                <w:szCs w:val="15"/>
              </w:rPr>
            </w:pPr>
            <w:r w:rsidRPr="00D96063">
              <w:rPr>
                <w:sz w:val="15"/>
                <w:szCs w:val="15"/>
              </w:rPr>
              <w:t xml:space="preserve">10 years, renewable indefinitely </w:t>
            </w:r>
          </w:p>
        </w:tc>
        <w:tc>
          <w:tcPr>
            <w:tcW w:w="2094" w:type="pct"/>
            <w:tcBorders>
              <w:bottom w:val="nil"/>
            </w:tcBorders>
            <w:shd w:val="clear" w:color="auto" w:fill="auto"/>
          </w:tcPr>
          <w:p w14:paraId="2CCC30B9" w14:textId="77777777" w:rsidR="00C15F2E" w:rsidRPr="00D96063" w:rsidRDefault="00C15F2E" w:rsidP="00997D10">
            <w:pPr>
              <w:jc w:val="left"/>
              <w:rPr>
                <w:sz w:val="15"/>
                <w:szCs w:val="15"/>
              </w:rPr>
            </w:pPr>
            <w:r w:rsidRPr="00D96063">
              <w:rPr>
                <w:sz w:val="15"/>
                <w:szCs w:val="15"/>
              </w:rPr>
              <w:t>No trademark protection can be granted to descriptive or misleading names and names contrary to public order and morals.</w:t>
            </w:r>
          </w:p>
        </w:tc>
      </w:tr>
      <w:tr w:rsidR="00C15F2E" w:rsidRPr="00D96063" w14:paraId="5B69D7C7" w14:textId="77777777" w:rsidTr="00E97E90">
        <w:tc>
          <w:tcPr>
            <w:tcW w:w="5000" w:type="pct"/>
            <w:gridSpan w:val="3"/>
            <w:tcBorders>
              <w:top w:val="nil"/>
              <w:bottom w:val="nil"/>
            </w:tcBorders>
            <w:shd w:val="clear" w:color="auto" w:fill="C9DED4"/>
          </w:tcPr>
          <w:p w14:paraId="39E9DA56" w14:textId="77777777" w:rsidR="00C15F2E" w:rsidRPr="00D96063" w:rsidRDefault="00C15F2E" w:rsidP="00997D10">
            <w:pPr>
              <w:jc w:val="left"/>
              <w:rPr>
                <w:sz w:val="15"/>
                <w:szCs w:val="15"/>
              </w:rPr>
            </w:pPr>
            <w:r w:rsidRPr="00D96063">
              <w:rPr>
                <w:b/>
                <w:sz w:val="15"/>
                <w:szCs w:val="15"/>
              </w:rPr>
              <w:t xml:space="preserve">Geographical Indications Act, 2003 (Act 659): </w:t>
            </w:r>
            <w:hyperlink r:id="rId79" w:history="1">
              <w:r w:rsidRPr="00D96063">
                <w:rPr>
                  <w:color w:val="0000FF" w:themeColor="hyperlink"/>
                  <w:sz w:val="15"/>
                  <w:szCs w:val="15"/>
                  <w:u w:val="single"/>
                </w:rPr>
                <w:t>http://www.wipo.int/wipolex/en/text.jsp?file_id=223004</w:t>
              </w:r>
            </w:hyperlink>
          </w:p>
        </w:tc>
      </w:tr>
      <w:tr w:rsidR="00C15F2E" w:rsidRPr="00D96063" w14:paraId="38BC4E16" w14:textId="77777777" w:rsidTr="00E97E90">
        <w:trPr>
          <w:cnfStyle w:val="000000010000" w:firstRow="0" w:lastRow="0" w:firstColumn="0" w:lastColumn="0" w:oddVBand="0" w:evenVBand="0" w:oddHBand="0" w:evenHBand="1" w:firstRowFirstColumn="0" w:firstRowLastColumn="0" w:lastRowFirstColumn="0" w:lastRowLastColumn="0"/>
        </w:trPr>
        <w:tc>
          <w:tcPr>
            <w:tcW w:w="1963" w:type="pct"/>
            <w:tcBorders>
              <w:top w:val="nil"/>
              <w:bottom w:val="nil"/>
            </w:tcBorders>
          </w:tcPr>
          <w:p w14:paraId="0687D286" w14:textId="77777777" w:rsidR="00C15F2E" w:rsidRPr="00D96063" w:rsidRDefault="00C15F2E" w:rsidP="00997D10">
            <w:pPr>
              <w:spacing w:before="30" w:after="30"/>
              <w:jc w:val="left"/>
              <w:rPr>
                <w:sz w:val="15"/>
                <w:szCs w:val="15"/>
              </w:rPr>
            </w:pPr>
            <w:r w:rsidRPr="00D96063">
              <w:rPr>
                <w:sz w:val="15"/>
                <w:szCs w:val="15"/>
              </w:rPr>
              <w:t xml:space="preserve">Any indication that identifies a good as originating in the territory of a country, region, or locality </w:t>
            </w:r>
          </w:p>
        </w:tc>
        <w:tc>
          <w:tcPr>
            <w:tcW w:w="943" w:type="pct"/>
            <w:tcBorders>
              <w:top w:val="nil"/>
              <w:bottom w:val="nil"/>
            </w:tcBorders>
          </w:tcPr>
          <w:p w14:paraId="23A4215E" w14:textId="77777777" w:rsidR="00C15F2E" w:rsidRPr="00D96063" w:rsidRDefault="00C15F2E" w:rsidP="00997D10">
            <w:pPr>
              <w:spacing w:before="30" w:after="30"/>
              <w:jc w:val="left"/>
              <w:rPr>
                <w:sz w:val="15"/>
                <w:szCs w:val="15"/>
              </w:rPr>
            </w:pPr>
            <w:r w:rsidRPr="00D96063">
              <w:rPr>
                <w:sz w:val="15"/>
                <w:szCs w:val="15"/>
              </w:rPr>
              <w:t>Indefinite</w:t>
            </w:r>
          </w:p>
        </w:tc>
        <w:tc>
          <w:tcPr>
            <w:tcW w:w="2094" w:type="pct"/>
            <w:tcBorders>
              <w:top w:val="nil"/>
              <w:bottom w:val="nil"/>
            </w:tcBorders>
          </w:tcPr>
          <w:p w14:paraId="6AA0DFF3" w14:textId="77777777" w:rsidR="00C15F2E" w:rsidRPr="00D96063" w:rsidRDefault="00C15F2E" w:rsidP="00997D10">
            <w:pPr>
              <w:jc w:val="left"/>
              <w:rPr>
                <w:sz w:val="15"/>
                <w:szCs w:val="15"/>
              </w:rPr>
            </w:pPr>
            <w:r w:rsidRPr="00D96063">
              <w:rPr>
                <w:sz w:val="15"/>
                <w:szCs w:val="15"/>
              </w:rPr>
              <w:t>Indications that are contrary to public order or morality</w:t>
            </w:r>
            <w:r w:rsidRPr="00D96063">
              <w:rPr>
                <w:sz w:val="15"/>
                <w:szCs w:val="15"/>
              </w:rPr>
              <w:br/>
              <w:t>Indications that are not protected in their country of origin</w:t>
            </w:r>
          </w:p>
        </w:tc>
      </w:tr>
      <w:tr w:rsidR="00C15F2E" w:rsidRPr="00D96063" w14:paraId="17200143" w14:textId="77777777" w:rsidTr="00E97E90">
        <w:tc>
          <w:tcPr>
            <w:tcW w:w="5000" w:type="pct"/>
            <w:gridSpan w:val="3"/>
            <w:tcBorders>
              <w:top w:val="nil"/>
            </w:tcBorders>
            <w:shd w:val="clear" w:color="auto" w:fill="auto"/>
          </w:tcPr>
          <w:p w14:paraId="2B0C6F8B" w14:textId="77777777" w:rsidR="00C15F2E" w:rsidRPr="00D96063" w:rsidRDefault="00C15F2E" w:rsidP="00997D10">
            <w:pPr>
              <w:jc w:val="left"/>
              <w:rPr>
                <w:sz w:val="15"/>
                <w:szCs w:val="15"/>
              </w:rPr>
            </w:pPr>
            <w:r w:rsidRPr="00D96063">
              <w:rPr>
                <w:b/>
                <w:sz w:val="15"/>
                <w:szCs w:val="15"/>
              </w:rPr>
              <w:t>Layout-Designs (Topographies) of Integrated Circuits Act, 2004 (Act 667):</w:t>
            </w:r>
            <w:hyperlink r:id="rId80" w:history="1">
              <w:r w:rsidRPr="00D96063">
                <w:rPr>
                  <w:color w:val="0000FF" w:themeColor="hyperlink"/>
                  <w:sz w:val="15"/>
                  <w:szCs w:val="15"/>
                  <w:u w:val="single"/>
                </w:rPr>
                <w:t>http://www.wipo.int/wipolex/fr/text.jsp?file_id=223034</w:t>
              </w:r>
            </w:hyperlink>
            <w:r w:rsidRPr="00D96063">
              <w:rPr>
                <w:sz w:val="15"/>
                <w:szCs w:val="15"/>
              </w:rPr>
              <w:t xml:space="preserve"> </w:t>
            </w:r>
          </w:p>
        </w:tc>
      </w:tr>
      <w:tr w:rsidR="00C15F2E" w:rsidRPr="00D96063" w14:paraId="411E288A" w14:textId="77777777" w:rsidTr="00C027E5">
        <w:trPr>
          <w:cnfStyle w:val="000000010000" w:firstRow="0" w:lastRow="0" w:firstColumn="0" w:lastColumn="0" w:oddVBand="0" w:evenVBand="0" w:oddHBand="0" w:evenHBand="1" w:firstRowFirstColumn="0" w:firstRowLastColumn="0" w:lastRowFirstColumn="0" w:lastRowLastColumn="0"/>
        </w:trPr>
        <w:tc>
          <w:tcPr>
            <w:tcW w:w="1963" w:type="pct"/>
            <w:tcBorders>
              <w:bottom w:val="nil"/>
            </w:tcBorders>
            <w:shd w:val="clear" w:color="auto" w:fill="auto"/>
          </w:tcPr>
          <w:p w14:paraId="41DD320B" w14:textId="77777777" w:rsidR="00C15F2E" w:rsidRPr="00D96063" w:rsidRDefault="00C15F2E" w:rsidP="00997D10">
            <w:pPr>
              <w:jc w:val="left"/>
              <w:rPr>
                <w:b/>
                <w:sz w:val="15"/>
                <w:szCs w:val="15"/>
              </w:rPr>
            </w:pPr>
          </w:p>
        </w:tc>
        <w:tc>
          <w:tcPr>
            <w:tcW w:w="943" w:type="pct"/>
            <w:tcBorders>
              <w:bottom w:val="nil"/>
            </w:tcBorders>
            <w:shd w:val="clear" w:color="auto" w:fill="auto"/>
          </w:tcPr>
          <w:p w14:paraId="5DD5AD81" w14:textId="77777777" w:rsidR="00C15F2E" w:rsidRPr="00D96063" w:rsidRDefault="00C15F2E" w:rsidP="00997D10">
            <w:pPr>
              <w:jc w:val="left"/>
              <w:rPr>
                <w:sz w:val="15"/>
                <w:szCs w:val="15"/>
              </w:rPr>
            </w:pPr>
            <w:r w:rsidRPr="00D96063">
              <w:rPr>
                <w:sz w:val="15"/>
                <w:szCs w:val="15"/>
              </w:rPr>
              <w:t>10 years</w:t>
            </w:r>
          </w:p>
        </w:tc>
        <w:tc>
          <w:tcPr>
            <w:tcW w:w="2094" w:type="pct"/>
            <w:tcBorders>
              <w:bottom w:val="nil"/>
            </w:tcBorders>
            <w:shd w:val="clear" w:color="auto" w:fill="auto"/>
          </w:tcPr>
          <w:p w14:paraId="696E2213" w14:textId="77777777" w:rsidR="00C15F2E" w:rsidRPr="00D96063" w:rsidRDefault="00C15F2E" w:rsidP="00997D10">
            <w:pPr>
              <w:jc w:val="left"/>
              <w:rPr>
                <w:sz w:val="15"/>
                <w:szCs w:val="15"/>
              </w:rPr>
            </w:pPr>
          </w:p>
        </w:tc>
      </w:tr>
      <w:tr w:rsidR="00C15F2E" w:rsidRPr="00D96063" w14:paraId="2DA2497E" w14:textId="77777777" w:rsidTr="00C027E5">
        <w:tc>
          <w:tcPr>
            <w:tcW w:w="5000" w:type="pct"/>
            <w:gridSpan w:val="3"/>
            <w:tcBorders>
              <w:top w:val="nil"/>
              <w:bottom w:val="nil"/>
            </w:tcBorders>
            <w:shd w:val="clear" w:color="auto" w:fill="C9DED4"/>
          </w:tcPr>
          <w:p w14:paraId="3D0616B7" w14:textId="77777777" w:rsidR="00C15F2E" w:rsidRPr="00D96063" w:rsidRDefault="00C15F2E" w:rsidP="00997D10">
            <w:pPr>
              <w:jc w:val="left"/>
              <w:rPr>
                <w:sz w:val="15"/>
                <w:szCs w:val="15"/>
              </w:rPr>
            </w:pPr>
            <w:r w:rsidRPr="00D96063">
              <w:rPr>
                <w:b/>
                <w:sz w:val="15"/>
                <w:szCs w:val="15"/>
              </w:rPr>
              <w:t xml:space="preserve">Protection Against Unfair Competition Act, 2000 (Act 589): </w:t>
            </w:r>
            <w:hyperlink r:id="rId81" w:history="1">
              <w:r w:rsidRPr="00D96063">
                <w:rPr>
                  <w:color w:val="0000FF" w:themeColor="hyperlink"/>
                  <w:sz w:val="15"/>
                  <w:szCs w:val="15"/>
                  <w:u w:val="single"/>
                </w:rPr>
                <w:t>http://www.wipo.int/wipolex/en/text.jsp?file_id=223053</w:t>
              </w:r>
            </w:hyperlink>
          </w:p>
        </w:tc>
      </w:tr>
      <w:tr w:rsidR="00C15F2E" w:rsidRPr="00D96063" w14:paraId="0C0D7577" w14:textId="77777777" w:rsidTr="00C027E5">
        <w:trPr>
          <w:cnfStyle w:val="000000010000" w:firstRow="0" w:lastRow="0" w:firstColumn="0" w:lastColumn="0" w:oddVBand="0" w:evenVBand="0" w:oddHBand="0" w:evenHBand="1" w:firstRowFirstColumn="0" w:firstRowLastColumn="0" w:lastRowFirstColumn="0" w:lastRowLastColumn="0"/>
        </w:trPr>
        <w:tc>
          <w:tcPr>
            <w:tcW w:w="1963" w:type="pct"/>
            <w:tcBorders>
              <w:top w:val="nil"/>
              <w:bottom w:val="nil"/>
            </w:tcBorders>
            <w:shd w:val="clear" w:color="auto" w:fill="auto"/>
          </w:tcPr>
          <w:p w14:paraId="45EA268A" w14:textId="77777777" w:rsidR="00C15F2E" w:rsidRPr="00D96063" w:rsidRDefault="00C15F2E" w:rsidP="00E97E90">
            <w:pPr>
              <w:keepNext/>
              <w:spacing w:before="30" w:after="30"/>
              <w:jc w:val="left"/>
              <w:rPr>
                <w:b/>
                <w:sz w:val="15"/>
                <w:szCs w:val="15"/>
              </w:rPr>
            </w:pPr>
            <w:r w:rsidRPr="00D96063">
              <w:rPr>
                <w:b/>
                <w:sz w:val="15"/>
                <w:szCs w:val="15"/>
              </w:rPr>
              <w:t>Undisclosed information</w:t>
            </w:r>
          </w:p>
          <w:p w14:paraId="42D545B6" w14:textId="77777777" w:rsidR="00C15F2E" w:rsidRPr="00D96063" w:rsidRDefault="00C15F2E" w:rsidP="00E97E90">
            <w:pPr>
              <w:keepNext/>
              <w:spacing w:before="30" w:after="30"/>
              <w:jc w:val="left"/>
              <w:rPr>
                <w:sz w:val="15"/>
                <w:szCs w:val="15"/>
              </w:rPr>
            </w:pPr>
            <w:r w:rsidRPr="00D96063">
              <w:rPr>
                <w:sz w:val="15"/>
                <w:szCs w:val="15"/>
              </w:rPr>
              <w:t>Business secrets of commercial value, undisclosed data and tests</w:t>
            </w:r>
          </w:p>
        </w:tc>
        <w:tc>
          <w:tcPr>
            <w:tcW w:w="943" w:type="pct"/>
            <w:tcBorders>
              <w:top w:val="nil"/>
              <w:bottom w:val="nil"/>
            </w:tcBorders>
            <w:shd w:val="clear" w:color="auto" w:fill="auto"/>
          </w:tcPr>
          <w:p w14:paraId="0AE03F32" w14:textId="77777777" w:rsidR="00C15F2E" w:rsidRPr="00D96063" w:rsidRDefault="00C15F2E" w:rsidP="00E97E90">
            <w:pPr>
              <w:keepNext/>
              <w:spacing w:before="30" w:after="30"/>
              <w:jc w:val="left"/>
              <w:rPr>
                <w:sz w:val="15"/>
                <w:szCs w:val="15"/>
              </w:rPr>
            </w:pPr>
            <w:r w:rsidRPr="00D96063">
              <w:rPr>
                <w:sz w:val="15"/>
                <w:szCs w:val="15"/>
              </w:rPr>
              <w:t>No specific term</w:t>
            </w:r>
          </w:p>
        </w:tc>
        <w:tc>
          <w:tcPr>
            <w:tcW w:w="2094" w:type="pct"/>
            <w:tcBorders>
              <w:top w:val="nil"/>
              <w:bottom w:val="nil"/>
            </w:tcBorders>
            <w:shd w:val="clear" w:color="auto" w:fill="auto"/>
          </w:tcPr>
          <w:p w14:paraId="57E5201A" w14:textId="77777777" w:rsidR="00C15F2E" w:rsidRPr="00D96063" w:rsidRDefault="00C15F2E" w:rsidP="00E97E90">
            <w:pPr>
              <w:keepNext/>
              <w:jc w:val="left"/>
              <w:rPr>
                <w:sz w:val="15"/>
                <w:szCs w:val="15"/>
              </w:rPr>
            </w:pPr>
          </w:p>
        </w:tc>
      </w:tr>
      <w:tr w:rsidR="00C15F2E" w:rsidRPr="00D96063" w14:paraId="318EB1D4" w14:textId="77777777" w:rsidTr="00E97E90">
        <w:tc>
          <w:tcPr>
            <w:tcW w:w="5000" w:type="pct"/>
            <w:gridSpan w:val="3"/>
            <w:tcBorders>
              <w:top w:val="nil"/>
              <w:bottom w:val="nil"/>
            </w:tcBorders>
            <w:shd w:val="clear" w:color="auto" w:fill="C9DED4"/>
          </w:tcPr>
          <w:p w14:paraId="7B601EE8" w14:textId="77777777" w:rsidR="00C15F2E" w:rsidRPr="00D96063" w:rsidRDefault="00C15F2E" w:rsidP="00997D10">
            <w:pPr>
              <w:jc w:val="left"/>
              <w:rPr>
                <w:bCs/>
                <w:sz w:val="15"/>
                <w:szCs w:val="15"/>
              </w:rPr>
            </w:pPr>
            <w:r w:rsidRPr="00D96063">
              <w:rPr>
                <w:b/>
                <w:sz w:val="15"/>
                <w:szCs w:val="15"/>
              </w:rPr>
              <w:t xml:space="preserve">Plant Variety Protection Act, 2020 (Act 1050): </w:t>
            </w:r>
            <w:hyperlink r:id="rId82" w:history="1">
              <w:r w:rsidRPr="00D96063">
                <w:rPr>
                  <w:rStyle w:val="Hyperlink"/>
                  <w:sz w:val="15"/>
                  <w:szCs w:val="15"/>
                </w:rPr>
                <w:t>https://www.upov.int/edocs/mdocs/upov/en/c_55/law_of_ghana.pdf</w:t>
              </w:r>
            </w:hyperlink>
            <w:r w:rsidRPr="00D96063">
              <w:rPr>
                <w:rStyle w:val="Hyperlink"/>
                <w:sz w:val="15"/>
                <w:szCs w:val="15"/>
              </w:rPr>
              <w:t>.</w:t>
            </w:r>
          </w:p>
        </w:tc>
      </w:tr>
      <w:tr w:rsidR="00C15F2E" w:rsidRPr="00D96063" w14:paraId="1DB14E01" w14:textId="77777777" w:rsidTr="00E97E90">
        <w:trPr>
          <w:cnfStyle w:val="000000010000" w:firstRow="0" w:lastRow="0" w:firstColumn="0" w:lastColumn="0" w:oddVBand="0" w:evenVBand="0" w:oddHBand="0" w:evenHBand="1" w:firstRowFirstColumn="0" w:firstRowLastColumn="0" w:lastRowFirstColumn="0" w:lastRowLastColumn="0"/>
        </w:trPr>
        <w:tc>
          <w:tcPr>
            <w:tcW w:w="1963" w:type="pct"/>
            <w:tcBorders>
              <w:top w:val="nil"/>
              <w:bottom w:val="single" w:sz="4" w:space="0" w:color="auto"/>
            </w:tcBorders>
          </w:tcPr>
          <w:p w14:paraId="4A48DC1F" w14:textId="77777777" w:rsidR="00C15F2E" w:rsidRPr="00D96063" w:rsidRDefault="00C15F2E">
            <w:pPr>
              <w:spacing w:before="30" w:after="30"/>
              <w:jc w:val="left"/>
              <w:rPr>
                <w:b/>
                <w:sz w:val="15"/>
                <w:szCs w:val="15"/>
              </w:rPr>
            </w:pPr>
          </w:p>
        </w:tc>
        <w:tc>
          <w:tcPr>
            <w:tcW w:w="943" w:type="pct"/>
            <w:tcBorders>
              <w:top w:val="nil"/>
              <w:bottom w:val="single" w:sz="4" w:space="0" w:color="auto"/>
            </w:tcBorders>
          </w:tcPr>
          <w:p w14:paraId="68315D63" w14:textId="77777777" w:rsidR="00C15F2E" w:rsidRPr="00D96063" w:rsidRDefault="00C15F2E" w:rsidP="001606D1">
            <w:pPr>
              <w:spacing w:before="30" w:after="30"/>
              <w:jc w:val="left"/>
              <w:rPr>
                <w:bCs/>
                <w:sz w:val="15"/>
                <w:szCs w:val="15"/>
              </w:rPr>
            </w:pPr>
            <w:r w:rsidRPr="00D96063">
              <w:rPr>
                <w:bCs/>
                <w:sz w:val="15"/>
                <w:szCs w:val="15"/>
              </w:rPr>
              <w:t>25 years for trees and vines</w:t>
            </w:r>
          </w:p>
          <w:p w14:paraId="48D88DC9" w14:textId="77777777" w:rsidR="00C15F2E" w:rsidRPr="00D96063" w:rsidRDefault="00C15F2E" w:rsidP="001606D1">
            <w:pPr>
              <w:spacing w:before="30" w:after="30"/>
              <w:jc w:val="left"/>
              <w:rPr>
                <w:bCs/>
                <w:sz w:val="15"/>
                <w:szCs w:val="15"/>
              </w:rPr>
            </w:pPr>
            <w:r w:rsidRPr="00D96063">
              <w:rPr>
                <w:bCs/>
                <w:sz w:val="15"/>
                <w:szCs w:val="15"/>
              </w:rPr>
              <w:t>20 years for other crops</w:t>
            </w:r>
          </w:p>
        </w:tc>
        <w:tc>
          <w:tcPr>
            <w:tcW w:w="2094" w:type="pct"/>
            <w:tcBorders>
              <w:top w:val="nil"/>
              <w:bottom w:val="single" w:sz="4" w:space="0" w:color="auto"/>
            </w:tcBorders>
          </w:tcPr>
          <w:p w14:paraId="36C4244C" w14:textId="77777777" w:rsidR="00C15F2E" w:rsidRPr="00D96063" w:rsidRDefault="00C15F2E" w:rsidP="00997D10">
            <w:pPr>
              <w:jc w:val="left"/>
              <w:rPr>
                <w:bCs/>
                <w:sz w:val="15"/>
                <w:szCs w:val="15"/>
              </w:rPr>
            </w:pPr>
            <w:r w:rsidRPr="00D96063">
              <w:rPr>
                <w:bCs/>
                <w:sz w:val="15"/>
                <w:szCs w:val="15"/>
              </w:rPr>
              <w:t>Acts done privately for non-commercial purposes or for experimental and research purposes</w:t>
            </w:r>
          </w:p>
        </w:tc>
      </w:tr>
    </w:tbl>
    <w:p w14:paraId="360A4066" w14:textId="77777777" w:rsidR="00C15F2E" w:rsidRPr="00D96063" w:rsidRDefault="00C15F2E" w:rsidP="00E101A6">
      <w:pPr>
        <w:tabs>
          <w:tab w:val="left" w:pos="851"/>
        </w:tabs>
        <w:spacing w:before="120" w:after="240"/>
        <w:jc w:val="left"/>
        <w:rPr>
          <w:sz w:val="16"/>
        </w:rPr>
      </w:pPr>
      <w:r w:rsidRPr="00D96063">
        <w:rPr>
          <w:sz w:val="16"/>
        </w:rPr>
        <w:t>Source:</w:t>
      </w:r>
      <w:r w:rsidRPr="00D96063">
        <w:rPr>
          <w:sz w:val="16"/>
        </w:rPr>
        <w:tab/>
        <w:t>WTO Secretariat based on information provided by the authorities.</w:t>
      </w:r>
    </w:p>
    <w:p w14:paraId="42556032" w14:textId="77777777" w:rsidR="00C15F2E" w:rsidRPr="00D96063" w:rsidRDefault="00C15F2E" w:rsidP="003758E5">
      <w:pPr>
        <w:numPr>
          <w:ilvl w:val="6"/>
          <w:numId w:val="25"/>
        </w:numPr>
        <w:spacing w:after="240"/>
        <w:rPr>
          <w:lang w:eastAsia="fr-CH"/>
        </w:rPr>
      </w:pPr>
      <w:r w:rsidRPr="00D96063">
        <w:rPr>
          <w:lang w:eastAsia="fr-CH"/>
        </w:rPr>
        <w:t xml:space="preserve">The most important changes brought by the Trademarks (Amendment) Act, 2014 are the expansion of the scope of trademark protection to include non-traditional marks such as shape and sound marks, the incorporation of a definition for counterfeiting and provisions prohibiting such acts, the clarification of the definition for certification and collective marks, and the incorporation of the Madrid Protocol rules and regulations into the national law. According to the authorities, all applications for designations have been processed; however, as the new Act is not retroactive the </w:t>
      </w:r>
      <w:r w:rsidRPr="00D96063">
        <w:rPr>
          <w:lang w:eastAsia="fr-CH"/>
        </w:rPr>
        <w:lastRenderedPageBreak/>
        <w:t>status of registrations filed before 25 July 2014 is open to doubt.</w:t>
      </w:r>
      <w:r w:rsidRPr="00D96063">
        <w:rPr>
          <w:vertAlign w:val="superscript"/>
          <w:lang w:eastAsia="fr-CH"/>
        </w:rPr>
        <w:footnoteReference w:id="116"/>
      </w:r>
      <w:r w:rsidRPr="00D96063">
        <w:rPr>
          <w:lang w:eastAsia="fr-CH"/>
        </w:rPr>
        <w:t xml:space="preserve"> The implementing regulations have yet to be promulgated (March 2022).</w:t>
      </w:r>
    </w:p>
    <w:p w14:paraId="60584184" w14:textId="77777777" w:rsidR="00C15F2E" w:rsidRPr="00D96063" w:rsidRDefault="00C15F2E" w:rsidP="003758E5">
      <w:pPr>
        <w:pStyle w:val="BodyText"/>
        <w:rPr>
          <w:lang w:eastAsia="fr-CH"/>
        </w:rPr>
      </w:pPr>
      <w:r w:rsidRPr="00D96063">
        <w:rPr>
          <w:i/>
          <w:iCs/>
          <w:lang w:eastAsia="fr-CH"/>
        </w:rPr>
        <w:t>The Economic Contribution of Copyright Industries in Ghana</w:t>
      </w:r>
      <w:r w:rsidRPr="00D96063">
        <w:rPr>
          <w:lang w:eastAsia="fr-CH"/>
        </w:rPr>
        <w:t>, a 2018 study by the Ghana Copyright Office, highlighted that Ghana trades in many copyright products such as books, music, films, paintings, and other crafts.</w:t>
      </w:r>
      <w:r w:rsidRPr="00D96063">
        <w:rPr>
          <w:vertAlign w:val="superscript"/>
          <w:lang w:eastAsia="fr-CH"/>
        </w:rPr>
        <w:footnoteReference w:id="117"/>
      </w:r>
      <w:r w:rsidRPr="00D96063">
        <w:rPr>
          <w:lang w:eastAsia="fr-CH"/>
        </w:rPr>
        <w:t xml:space="preserve"> The study estimated that imports of copyright-protected goods reached close to GHS 3 billion in 2016; exports of copyright products in 2013-16 were estimated at about GHS 276 million. Jewellery contributes significantly to the exports of copyright-related goods.</w:t>
      </w:r>
    </w:p>
    <w:p w14:paraId="34D65F9D" w14:textId="77777777" w:rsidR="00C15F2E" w:rsidRPr="00D96063" w:rsidRDefault="00C15F2E" w:rsidP="003758E5">
      <w:pPr>
        <w:pStyle w:val="BodyText"/>
        <w:rPr>
          <w:lang w:eastAsia="fr-CH"/>
        </w:rPr>
      </w:pPr>
      <w:r w:rsidRPr="00D96063">
        <w:rPr>
          <w:lang w:eastAsia="fr-CH"/>
        </w:rPr>
        <w:t>Under Article 27 of the Copyright Act, imported blank video and audio cassettes are subject to a levy of 20% collected by Customs. Income derived from the levy is earmarked for activities of the Ghana Copyright Office. The Copyright Regulations, 2010 (L.I. 1962) set out the devices on which the levy is imposed and the procedure for the distribution of the proceeds of the levy to rightsholders. Currently, the levy constitutes the largest source of income for the three collective management organizations in Ghana:</w:t>
      </w:r>
    </w:p>
    <w:p w14:paraId="1F1ECAC7" w14:textId="77777777" w:rsidR="00C15F2E" w:rsidRPr="00D96063" w:rsidRDefault="00C15F2E" w:rsidP="003758E5">
      <w:pPr>
        <w:pStyle w:val="BodyText2"/>
      </w:pPr>
      <w:r w:rsidRPr="00D96063">
        <w:t>Ghana Music Rights Organization (GHAMRO), for music: its principal roles are to manage the rights of music owners and issue licences to music users. The membership of GHAMRO is made up of authors/composers and publishers. The organization's membership in 2015 was 3,277 and grew to nearly 6,000 in 2019.</w:t>
      </w:r>
    </w:p>
    <w:p w14:paraId="7B55E55E" w14:textId="77777777" w:rsidR="00C15F2E" w:rsidRPr="00D96063" w:rsidRDefault="00C15F2E" w:rsidP="003758E5">
      <w:pPr>
        <w:pStyle w:val="BodyText2"/>
      </w:pPr>
      <w:r w:rsidRPr="00D96063">
        <w:t>CopyGhana is mandated under the Copyright Act, 2005 (Act 690) and the Copyright Regulations to serve as the Collective Management Organization and to license photocopying and some digital copying in the country, and protect the interests of members in Ghana and abroad. The current member associations of CopyGhana are the Ghana Association of Writers; the Ghana Book Publishers Association; the Ghana Journalist Association; the Ghana Association of Visual Artists; and the Ghana Union of Professional Photographers.</w:t>
      </w:r>
    </w:p>
    <w:p w14:paraId="294D4661" w14:textId="77777777" w:rsidR="00C15F2E" w:rsidRPr="00D96063" w:rsidRDefault="00C15F2E" w:rsidP="003758E5">
      <w:pPr>
        <w:pStyle w:val="BodyText2"/>
      </w:pPr>
      <w:r w:rsidRPr="00D96063">
        <w:t>The operations of the Audiovisual Rights Society of Ghana (ARSOG), for audiovisual works, are enforced under the Copyright Act and Copyright Regulations. ARSOG's membership consists of producers, authors, and performers of the creative and performing arts industry. The organization had 1,368 members in 2022, up from 216 in 2015.</w:t>
      </w:r>
    </w:p>
    <w:p w14:paraId="1491BB34" w14:textId="77777777" w:rsidR="00C15F2E" w:rsidRPr="00D96063" w:rsidRDefault="00C15F2E" w:rsidP="00856701">
      <w:pPr>
        <w:pStyle w:val="Heading4"/>
      </w:pPr>
      <w:bookmarkStart w:id="174" w:name="_Toc103607706"/>
      <w:r w:rsidRPr="00D96063">
        <w:t>Enforcement</w:t>
      </w:r>
      <w:bookmarkEnd w:id="174"/>
    </w:p>
    <w:p w14:paraId="35C763B4" w14:textId="77777777" w:rsidR="00C15F2E" w:rsidRPr="00D96063" w:rsidRDefault="00C15F2E" w:rsidP="003758E5">
      <w:pPr>
        <w:pStyle w:val="BodyText"/>
        <w:rPr>
          <w:lang w:eastAsia="fr-CH"/>
        </w:rPr>
      </w:pPr>
      <w:r w:rsidRPr="00D96063">
        <w:t xml:space="preserve">The IPR regime provides for civil and criminal remedies in case of owners' rights infringements by third parties. </w:t>
      </w:r>
      <w:r w:rsidRPr="00D96063">
        <w:rPr>
          <w:lang w:eastAsia="fr-CH"/>
        </w:rPr>
        <w:t>In principle, IPR is a private right and owners are required to enforce their rights. Under the IPR regimes, Customs can also be notified by rights owners at the borders to enforce IPRs when infringing products are sighted or suspected by rights owners. The police also assist rights owners who have procured court orders to enforce their rights. The copyrights office also conducts raids with rights owners and the police enforces rights and confiscates pirated works/goods.</w:t>
      </w:r>
    </w:p>
    <w:p w14:paraId="3D48B181" w14:textId="77777777" w:rsidR="00C15F2E" w:rsidRPr="00D96063" w:rsidRDefault="00C15F2E" w:rsidP="003758E5">
      <w:pPr>
        <w:pStyle w:val="BodyText"/>
      </w:pPr>
      <w:r w:rsidRPr="00D96063">
        <w:t>Consumers continue to be constantly threatened by the illegal sale of fake products, particularly (mostly imported) potentially dangerous counterfeit pharmaceuticals products, raising important issues of IPR enforcement at the border. For example, after an Interpol-led operation in seven West African countries, more than 420 tonnes of illicit pharmaceutical products were seized in 2017.</w:t>
      </w:r>
      <w:r w:rsidRPr="00D96063">
        <w:rPr>
          <w:vertAlign w:val="superscript"/>
        </w:rPr>
        <w:footnoteReference w:id="118"/>
      </w:r>
      <w:r w:rsidRPr="00D96063">
        <w:t xml:space="preserve"> Some 30%-50% of all drugs sold on the Ghanaian market are reportedly substandard or counterfeit. To deal with the issue of fake medicines, a Ghanaian company has been successful in identifying them.</w:t>
      </w:r>
      <w:r w:rsidRPr="00D96063">
        <w:rPr>
          <w:vertAlign w:val="superscript"/>
        </w:rPr>
        <w:footnoteReference w:id="119"/>
      </w:r>
    </w:p>
    <w:p w14:paraId="28CE75C9" w14:textId="77777777" w:rsidR="00C15F2E" w:rsidRPr="00D96063" w:rsidRDefault="00C15F2E" w:rsidP="00352F58">
      <w:pPr>
        <w:sectPr w:rsidR="00C15F2E" w:rsidRPr="00D96063" w:rsidSect="007A1409">
          <w:footerReference w:type="even" r:id="rId83"/>
          <w:footerReference w:type="default" r:id="rId84"/>
          <w:headerReference w:type="first" r:id="rId85"/>
          <w:footerReference w:type="first" r:id="rId86"/>
          <w:footnotePr>
            <w:numRestart w:val="eachSect"/>
          </w:footnotePr>
          <w:type w:val="continuous"/>
          <w:pgSz w:w="11906" w:h="16838" w:code="9"/>
          <w:pgMar w:top="1701" w:right="1440" w:bottom="1440" w:left="1440" w:header="720" w:footer="720" w:gutter="0"/>
          <w:cols w:space="708"/>
          <w:docGrid w:linePitch="360"/>
        </w:sectPr>
      </w:pPr>
    </w:p>
    <w:p w14:paraId="13896448" w14:textId="77777777" w:rsidR="00C15F2E" w:rsidRPr="00D96063" w:rsidRDefault="00C15F2E" w:rsidP="00394E74">
      <w:pPr>
        <w:pStyle w:val="Heading1"/>
      </w:pPr>
      <w:bookmarkStart w:id="175" w:name="_Toc103607707"/>
      <w:r w:rsidRPr="00D96063">
        <w:lastRenderedPageBreak/>
        <w:t>TRADE POLICIES BY SECTOR</w:t>
      </w:r>
      <w:bookmarkEnd w:id="175"/>
    </w:p>
    <w:p w14:paraId="18D8E3D8" w14:textId="77777777" w:rsidR="00C15F2E" w:rsidRPr="00D96063" w:rsidRDefault="00C15F2E" w:rsidP="00D868BF">
      <w:pPr>
        <w:pStyle w:val="Heading2"/>
      </w:pPr>
      <w:bookmarkStart w:id="176" w:name="_Toc103607708"/>
      <w:bookmarkStart w:id="177" w:name="_Hlk100328674"/>
      <w:r w:rsidRPr="00D96063">
        <w:t>Main Features</w:t>
      </w:r>
      <w:bookmarkEnd w:id="176"/>
    </w:p>
    <w:p w14:paraId="53A98619" w14:textId="77777777" w:rsidR="00C15F2E" w:rsidRPr="00D96063" w:rsidRDefault="00C15F2E" w:rsidP="00D868BF">
      <w:pPr>
        <w:pStyle w:val="BodyText"/>
      </w:pPr>
      <w:bookmarkStart w:id="178" w:name="_Hlk97566291"/>
      <w:bookmarkStart w:id="179" w:name="_Hlk96004946"/>
      <w:r w:rsidRPr="00D96063">
        <w:t>The agriculture sector (including forestry and fishing) contributed 20.5% to GDP in 2020</w:t>
      </w:r>
      <w:bookmarkEnd w:id="178"/>
      <w:r w:rsidRPr="00D96063">
        <w:t xml:space="preserve"> (Table 1.1) and provided formal and informal employment for over 40% of the workforce. Subsistence agriculture, a few cash crops, and fish are the main source of livelihood for the majority of the population. About 90% of the farms are </w:t>
      </w:r>
      <w:r w:rsidRPr="00D96063">
        <w:rPr>
          <w:lang w:eastAsia="fr-CH"/>
        </w:rPr>
        <w:t>smallholdings</w:t>
      </w:r>
      <w:r w:rsidRPr="00D96063">
        <w:t xml:space="preserve"> of less than 2 hectares (ha), which are often net buyers of food and sensitive to food price inflation. Following the announcement of a partial lockdown in March 2020, Ghana experienced a spike in food price inflation, which lasted for about six months.</w:t>
      </w:r>
    </w:p>
    <w:p w14:paraId="298A4281" w14:textId="77777777" w:rsidR="00C15F2E" w:rsidRPr="00D96063" w:rsidRDefault="00C15F2E" w:rsidP="00D868BF">
      <w:pPr>
        <w:pStyle w:val="BodyText"/>
      </w:pPr>
      <w:r w:rsidRPr="00D96063">
        <w:t xml:space="preserve">Ghana's total land area of about 23.9 million ha includes about 14 million ha of agricultural land, of which 6.7 million is under cultivation. According to the authorities, Ghana has a large potential, especially in the semi-arid northern savannah, for extensions of the cultivated area. Ghanaian agriculture is at risk from drought as most crop production is rainfed. Pests, like an outbreak of the Fall Army </w:t>
      </w:r>
      <w:r w:rsidRPr="00D96063">
        <w:rPr>
          <w:lang w:eastAsia="fr-CH"/>
        </w:rPr>
        <w:t>Worm</w:t>
      </w:r>
      <w:r w:rsidRPr="00D96063">
        <w:t xml:space="preserve"> disease in 2017, nearly caused widespread disaster in crop production (maize and cocoa), which was averted through a government spraying campaign.</w:t>
      </w:r>
    </w:p>
    <w:p w14:paraId="3826050A" w14:textId="77777777" w:rsidR="00C15F2E" w:rsidRPr="00D96063" w:rsidRDefault="00C15F2E" w:rsidP="003758E5">
      <w:pPr>
        <w:numPr>
          <w:ilvl w:val="6"/>
          <w:numId w:val="18"/>
        </w:numPr>
        <w:spacing w:after="240"/>
      </w:pPr>
      <w:r w:rsidRPr="00D96063">
        <w:t>In the past, output growth in Ghanaian agriculture was driven more by an expansion of the cultivated area rather than by yield improvements. The improved performance in recent years, notably in the crop subsector, was in part also due to a new agricultural policy strategy aimed at improving yields, underpinned by input subsidies.</w:t>
      </w:r>
    </w:p>
    <w:p w14:paraId="259C10A0" w14:textId="77777777" w:rsidR="00C15F2E" w:rsidRPr="00D96063" w:rsidRDefault="00C15F2E" w:rsidP="00D868BF">
      <w:pPr>
        <w:pStyle w:val="BodyText"/>
      </w:pPr>
      <w:bookmarkStart w:id="180" w:name="_Hlk97566267"/>
      <w:r w:rsidRPr="00D96063">
        <w:t xml:space="preserve">The growth performance of the agriculture sector was modest in 2014-16, particularly in the crop subsector. </w:t>
      </w:r>
      <w:bookmarkStart w:id="181" w:name="_Hlk97566406"/>
      <w:r w:rsidRPr="00D96063">
        <w:t>The performance has since improved significantly, averaging 6.7% annually between 2017 and 2020</w:t>
      </w:r>
      <w:bookmarkEnd w:id="181"/>
      <w:r w:rsidRPr="00D96063">
        <w:t xml:space="preserve"> (Table 1.1). As shown in Table 4.1, the growth in crop production came mostly from cassava, yams, and plantains. These are the main staples, together with rice, maize, and other cereals (sorghum and millets). Maize and rice production also expanded strongly. Cocoa production, Ghana's main agricultural export commodity, was slightly lower in 2019 than in 2014. The livestock sector </w:t>
      </w:r>
      <w:r w:rsidRPr="00D96063">
        <w:rPr>
          <w:lang w:eastAsia="en-GB"/>
        </w:rPr>
        <w:t xml:space="preserve">grew by over 5% annually in 2014-20 (Table 1.1). </w:t>
      </w:r>
      <w:r w:rsidRPr="00D96063">
        <w:t>Growth was sluggish in the forestry sector and fluctuating in the fisheries sector (Table 1.1).</w:t>
      </w:r>
    </w:p>
    <w:p w14:paraId="6F36823E" w14:textId="077F3F58" w:rsidR="00C15F2E" w:rsidRPr="00D96063" w:rsidRDefault="00C15F2E" w:rsidP="00D868BF">
      <w:pPr>
        <w:pStyle w:val="BodyText"/>
        <w:rPr>
          <w:rFonts w:eastAsia="Times New Roman"/>
        </w:rPr>
      </w:pPr>
      <w:r w:rsidRPr="00D96063">
        <w:t>Ghana is a net</w:t>
      </w:r>
      <w:r w:rsidR="00DF07C6">
        <w:t xml:space="preserve"> </w:t>
      </w:r>
      <w:r w:rsidRPr="00D96063">
        <w:t xml:space="preserve">food importer </w:t>
      </w:r>
      <w:bookmarkEnd w:id="180"/>
      <w:r w:rsidRPr="00D96063">
        <w:t>with a rising trend due to population growth, urbanization, and rising per capita income, fuelled by the oil sector that has boosted demand. The country is self</w:t>
      </w:r>
      <w:r w:rsidRPr="00D96063">
        <w:noBreakHyphen/>
        <w:t>sufficient in the main staples, except rice and maize. The main cash crops are cocoa, palm oil, pineapple, mango, cassava, tomatoes, bananas, citrus, cashew nuts, and vegetables. Exports of agricultural products accounted for 23% of merchandise exports in 2019; cocoa alone contributed about 16% to export revenues (Table A1.1).</w:t>
      </w:r>
    </w:p>
    <w:p w14:paraId="192F869A" w14:textId="39F1755C" w:rsidR="00C15F2E" w:rsidRPr="00D96063" w:rsidRDefault="00C15F2E" w:rsidP="00F62C3B">
      <w:pPr>
        <w:pStyle w:val="BodyText"/>
      </w:pPr>
      <w:r w:rsidRPr="00D96063">
        <w:t>Most agricultural land is "stool land" owned by communal or customary authorities, which are responsible for the allocation and management of these lands. Land tenure tends to be complex. The Ministry of Lands and Natural Resources (MLNR) has overall responsibility for land issues, as well as for mines and forestry. There are plans to establish a Ghana Land Information Bank as a new information platform to improve access to land for commercial farming.</w:t>
      </w:r>
      <w:r w:rsidRPr="00D96063">
        <w:rPr>
          <w:rStyle w:val="FootnoteReference"/>
        </w:rPr>
        <w:footnoteReference w:id="120"/>
      </w:r>
    </w:p>
    <w:p w14:paraId="4F4B8202" w14:textId="77777777" w:rsidR="00C15F2E" w:rsidRPr="00D96063" w:rsidRDefault="00C15F2E" w:rsidP="003758E5">
      <w:pPr>
        <w:pStyle w:val="Heading3"/>
        <w:numPr>
          <w:ilvl w:val="2"/>
          <w:numId w:val="37"/>
        </w:numPr>
      </w:pPr>
      <w:bookmarkStart w:id="182" w:name="_Toc103607709"/>
      <w:r w:rsidRPr="00D96063">
        <w:t>Agricultural policy</w:t>
      </w:r>
      <w:bookmarkEnd w:id="182"/>
    </w:p>
    <w:p w14:paraId="1EC76C2F" w14:textId="77777777" w:rsidR="00C15F2E" w:rsidRPr="00D96063" w:rsidRDefault="00C15F2E" w:rsidP="00D868BF">
      <w:pPr>
        <w:pStyle w:val="BodyText"/>
      </w:pPr>
      <w:r w:rsidRPr="00D96063">
        <w:t xml:space="preserve">The Ministry of Food and Agriculture (MOFA) is responsible for agricultural policy and oversees the following state-owned enterprises (SOEs) and agencies: </w:t>
      </w:r>
      <w:bookmarkStart w:id="183" w:name="_Hlk97713915"/>
      <w:r w:rsidRPr="00D96063">
        <w:t xml:space="preserve">Ghana Cocoa Board (COCOBOD), </w:t>
      </w:r>
      <w:bookmarkEnd w:id="183"/>
      <w:r w:rsidRPr="00D96063">
        <w:t>Grains and Legumes Development Board (GLDB), Ghana Veterinary Council (GVC), Ghana Irrigation Development Authority (GIDA), Irrigation Company of Upper Region (ICOUR), Cotton Development Authority (CDA), and National Food Buffer Stock Company (NAFCO).</w:t>
      </w:r>
    </w:p>
    <w:p w14:paraId="638DF84D" w14:textId="3B1D25BA" w:rsidR="00C15F2E" w:rsidRPr="00D96063" w:rsidRDefault="00C15F2E" w:rsidP="00D868BF">
      <w:pPr>
        <w:pStyle w:val="Caption"/>
      </w:pPr>
      <w:bookmarkStart w:id="184" w:name="_Toc103607897"/>
      <w:r w:rsidRPr="00D96063">
        <w:lastRenderedPageBreak/>
        <w:t xml:space="preserve">Table </w:t>
      </w:r>
      <w:fldSimple w:instr=" STYLEREF 1 \s ">
        <w:r w:rsidR="004B63B1">
          <w:rPr>
            <w:noProof/>
          </w:rPr>
          <w:t>4</w:t>
        </w:r>
      </w:fldSimple>
      <w:r w:rsidR="00BF3184">
        <w:t>.</w:t>
      </w:r>
      <w:fldSimple w:instr=" SEQ Table \* ARABIC \s 1 ">
        <w:r w:rsidR="004B63B1">
          <w:rPr>
            <w:noProof/>
          </w:rPr>
          <w:t>1</w:t>
        </w:r>
      </w:fldSimple>
      <w:r w:rsidRPr="00D96063">
        <w:t xml:space="preserve"> Production of the main agricultural crops, 2014-20</w:t>
      </w:r>
      <w:bookmarkEnd w:id="184"/>
    </w:p>
    <w:p w14:paraId="587B88C6" w14:textId="77777777" w:rsidR="00C15F2E" w:rsidRPr="00D96063" w:rsidRDefault="00C15F2E" w:rsidP="00D868BF">
      <w:pPr>
        <w:keepNext/>
        <w:keepLines/>
        <w:rPr>
          <w:sz w:val="16"/>
          <w:szCs w:val="20"/>
          <w:lang w:eastAsia="en-GB"/>
        </w:rPr>
      </w:pPr>
      <w:r w:rsidRPr="00D96063">
        <w:rPr>
          <w:sz w:val="16"/>
          <w:szCs w:val="20"/>
          <w:lang w:eastAsia="en-GB"/>
        </w:rPr>
        <w:t>('000 tonnes, value in USD million, and %)</w:t>
      </w:r>
    </w:p>
    <w:tbl>
      <w:tblPr>
        <w:tblStyle w:val="WTOTable1"/>
        <w:tblW w:w="5000" w:type="pct"/>
        <w:tblLayout w:type="fixed"/>
        <w:tblLook w:val="04A0" w:firstRow="1" w:lastRow="0" w:firstColumn="1" w:lastColumn="0" w:noHBand="0" w:noVBand="1"/>
      </w:tblPr>
      <w:tblGrid>
        <w:gridCol w:w="987"/>
        <w:gridCol w:w="564"/>
        <w:gridCol w:w="709"/>
        <w:gridCol w:w="710"/>
        <w:gridCol w:w="709"/>
        <w:gridCol w:w="709"/>
        <w:gridCol w:w="709"/>
        <w:gridCol w:w="709"/>
        <w:gridCol w:w="848"/>
        <w:gridCol w:w="862"/>
        <w:gridCol w:w="849"/>
        <w:gridCol w:w="651"/>
      </w:tblGrid>
      <w:tr w:rsidR="00C15F2E" w:rsidRPr="00D96063" w14:paraId="68A69E6B" w14:textId="77777777" w:rsidTr="00920C65">
        <w:trPr>
          <w:cnfStyle w:val="100000000000" w:firstRow="1" w:lastRow="0" w:firstColumn="0" w:lastColumn="0" w:oddVBand="0" w:evenVBand="0" w:oddHBand="0" w:evenHBand="0" w:firstRowFirstColumn="0" w:firstRowLastColumn="0" w:lastRowFirstColumn="0" w:lastRowLastColumn="0"/>
          <w:trHeight w:val="293"/>
        </w:trPr>
        <w:tc>
          <w:tcPr>
            <w:tcW w:w="548" w:type="pct"/>
            <w:vMerge w:val="restart"/>
            <w:tcBorders>
              <w:top w:val="single" w:sz="4" w:space="0" w:color="auto"/>
              <w:left w:val="single" w:sz="4" w:space="0" w:color="auto"/>
              <w:bottom w:val="nil"/>
              <w:right w:val="single" w:sz="4" w:space="0" w:color="auto"/>
            </w:tcBorders>
            <w:hideMark/>
          </w:tcPr>
          <w:p w14:paraId="163AF5DD" w14:textId="77777777" w:rsidR="00C15F2E" w:rsidRPr="00D96063" w:rsidRDefault="00C15F2E" w:rsidP="00053198">
            <w:pPr>
              <w:rPr>
                <w:sz w:val="14"/>
              </w:rPr>
            </w:pPr>
          </w:p>
        </w:tc>
        <w:tc>
          <w:tcPr>
            <w:tcW w:w="3620" w:type="pct"/>
            <w:gridSpan w:val="9"/>
            <w:tcBorders>
              <w:top w:val="single" w:sz="4" w:space="0" w:color="auto"/>
              <w:left w:val="single" w:sz="4" w:space="0" w:color="auto"/>
              <w:bottom w:val="single" w:sz="4" w:space="0" w:color="auto"/>
              <w:right w:val="single" w:sz="4" w:space="0" w:color="auto"/>
            </w:tcBorders>
            <w:noWrap/>
            <w:vAlign w:val="center"/>
            <w:hideMark/>
          </w:tcPr>
          <w:p w14:paraId="6EF6E245" w14:textId="77777777" w:rsidR="00C15F2E" w:rsidRPr="00D96063" w:rsidRDefault="00C15F2E" w:rsidP="00053198">
            <w:pPr>
              <w:jc w:val="center"/>
              <w:rPr>
                <w:rFonts w:cs="Calibri"/>
                <w:sz w:val="14"/>
                <w:szCs w:val="14"/>
              </w:rPr>
            </w:pPr>
            <w:r w:rsidRPr="00D96063">
              <w:rPr>
                <w:rFonts w:cs="Calibri"/>
                <w:sz w:val="14"/>
                <w:szCs w:val="14"/>
              </w:rPr>
              <w:t>Production ('000 tonnes, unless otherwise indicated)</w:t>
            </w:r>
          </w:p>
        </w:tc>
        <w:tc>
          <w:tcPr>
            <w:tcW w:w="832" w:type="pct"/>
            <w:gridSpan w:val="2"/>
            <w:tcBorders>
              <w:top w:val="single" w:sz="4" w:space="0" w:color="auto"/>
              <w:left w:val="single" w:sz="4" w:space="0" w:color="auto"/>
              <w:bottom w:val="single" w:sz="4" w:space="0" w:color="auto"/>
              <w:right w:val="single" w:sz="4" w:space="0" w:color="auto"/>
            </w:tcBorders>
            <w:noWrap/>
            <w:hideMark/>
          </w:tcPr>
          <w:p w14:paraId="105359BF" w14:textId="77777777" w:rsidR="00C15F2E" w:rsidRPr="00D96063" w:rsidRDefault="00C15F2E" w:rsidP="00053198">
            <w:pPr>
              <w:jc w:val="center"/>
              <w:rPr>
                <w:rFonts w:cs="Calibri"/>
                <w:sz w:val="14"/>
                <w:szCs w:val="14"/>
              </w:rPr>
            </w:pPr>
            <w:r w:rsidRPr="00D96063">
              <w:rPr>
                <w:rFonts w:cs="Calibri"/>
                <w:sz w:val="14"/>
                <w:szCs w:val="14"/>
              </w:rPr>
              <w:t>Gross production value</w:t>
            </w:r>
          </w:p>
        </w:tc>
      </w:tr>
      <w:tr w:rsidR="007A1409" w:rsidRPr="00D96063" w14:paraId="107BCCB5" w14:textId="77777777" w:rsidTr="002C1DC3">
        <w:trPr>
          <w:trHeight w:val="481"/>
        </w:trPr>
        <w:tc>
          <w:tcPr>
            <w:tcW w:w="548" w:type="pct"/>
            <w:vMerge/>
            <w:tcBorders>
              <w:top w:val="single" w:sz="4" w:space="0" w:color="auto"/>
              <w:left w:val="single" w:sz="4" w:space="0" w:color="auto"/>
              <w:bottom w:val="nil"/>
              <w:right w:val="single" w:sz="4" w:space="0" w:color="auto"/>
            </w:tcBorders>
            <w:vAlign w:val="center"/>
            <w:hideMark/>
          </w:tcPr>
          <w:p w14:paraId="5B186B40" w14:textId="77777777" w:rsidR="00C15F2E" w:rsidRPr="00D96063" w:rsidRDefault="00C15F2E" w:rsidP="00053198">
            <w:pPr>
              <w:jc w:val="left"/>
              <w:rPr>
                <w:sz w:val="14"/>
                <w:szCs w:val="14"/>
              </w:rPr>
            </w:pPr>
          </w:p>
        </w:tc>
        <w:tc>
          <w:tcPr>
            <w:tcW w:w="313"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vAlign w:val="center"/>
            <w:hideMark/>
          </w:tcPr>
          <w:p w14:paraId="52D7642B" w14:textId="77777777"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2014</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vAlign w:val="center"/>
            <w:hideMark/>
          </w:tcPr>
          <w:p w14:paraId="2C2AB15F" w14:textId="77777777"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2015</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vAlign w:val="center"/>
            <w:hideMark/>
          </w:tcPr>
          <w:p w14:paraId="7CE344A0" w14:textId="77777777"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2016</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vAlign w:val="center"/>
            <w:hideMark/>
          </w:tcPr>
          <w:p w14:paraId="35CCBA64" w14:textId="77777777"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2017</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vAlign w:val="center"/>
            <w:hideMark/>
          </w:tcPr>
          <w:p w14:paraId="0A17695F" w14:textId="77777777"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2018</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vAlign w:val="center"/>
            <w:hideMark/>
          </w:tcPr>
          <w:p w14:paraId="3F320939" w14:textId="77777777"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2019</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vAlign w:val="center"/>
            <w:hideMark/>
          </w:tcPr>
          <w:p w14:paraId="7D98B3E2" w14:textId="77777777"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2020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vAlign w:val="center"/>
            <w:hideMark/>
          </w:tcPr>
          <w:p w14:paraId="6639DFAF" w14:textId="77777777"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 xml:space="preserve">Average </w:t>
            </w:r>
            <w:r w:rsidRPr="00D96063">
              <w:rPr>
                <w:rFonts w:cs="Calibri"/>
                <w:b/>
                <w:color w:val="FFFFFF" w:themeColor="background1"/>
                <w:sz w:val="14"/>
                <w:szCs w:val="14"/>
              </w:rPr>
              <w:br/>
              <w:t>2014-19</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hideMark/>
          </w:tcPr>
          <w:p w14:paraId="55471CB5" w14:textId="28C70364"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 xml:space="preserve">Share of world, </w:t>
            </w:r>
            <w:r w:rsidR="005D7BDB">
              <w:rPr>
                <w:rFonts w:cs="Calibri"/>
                <w:b/>
                <w:color w:val="FFFFFF" w:themeColor="background1"/>
                <w:sz w:val="14"/>
                <w:szCs w:val="14"/>
              </w:rPr>
              <w:br/>
            </w:r>
            <w:r w:rsidRPr="00D96063">
              <w:rPr>
                <w:rFonts w:cs="Calibri"/>
                <w:b/>
                <w:color w:val="FFFFFF" w:themeColor="background1"/>
                <w:sz w:val="14"/>
                <w:szCs w:val="14"/>
              </w:rPr>
              <w:t>2014-19 (%)</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hideMark/>
          </w:tcPr>
          <w:p w14:paraId="24252751" w14:textId="77777777"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USD million, 2014-16 constant prices</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006283"/>
            <w:textDirection w:val="btLr"/>
            <w:hideMark/>
          </w:tcPr>
          <w:p w14:paraId="406226EB" w14:textId="77777777" w:rsidR="00C15F2E" w:rsidRPr="00D96063" w:rsidRDefault="00C15F2E" w:rsidP="00053198">
            <w:pPr>
              <w:ind w:left="113" w:right="113"/>
              <w:jc w:val="center"/>
              <w:rPr>
                <w:rFonts w:cs="Calibri"/>
                <w:b/>
                <w:color w:val="FFFFFF" w:themeColor="background1"/>
                <w:sz w:val="14"/>
                <w:szCs w:val="14"/>
              </w:rPr>
            </w:pPr>
            <w:r w:rsidRPr="00D96063">
              <w:rPr>
                <w:rFonts w:cs="Calibri"/>
                <w:b/>
                <w:color w:val="FFFFFF" w:themeColor="background1"/>
                <w:sz w:val="14"/>
                <w:szCs w:val="14"/>
              </w:rPr>
              <w:t>Growth rate p.a. 2014-19</w:t>
            </w:r>
          </w:p>
        </w:tc>
      </w:tr>
      <w:tr w:rsidR="00C15F2E" w:rsidRPr="00D96063" w14:paraId="70A4E88E" w14:textId="77777777" w:rsidTr="00053198">
        <w:trPr>
          <w:cnfStyle w:val="000000010000" w:firstRow="0" w:lastRow="0" w:firstColumn="0" w:lastColumn="0" w:oddVBand="0" w:evenVBand="0" w:oddHBand="0" w:evenHBand="1" w:firstRowFirstColumn="0" w:firstRowLastColumn="0" w:lastRowFirstColumn="0" w:lastRowLastColumn="0"/>
          <w:trHeight w:val="867"/>
        </w:trPr>
        <w:tc>
          <w:tcPr>
            <w:tcW w:w="548" w:type="pct"/>
            <w:vMerge/>
            <w:tcBorders>
              <w:top w:val="single" w:sz="4" w:space="0" w:color="auto"/>
              <w:left w:val="single" w:sz="4" w:space="0" w:color="auto"/>
              <w:bottom w:val="nil"/>
              <w:right w:val="single" w:sz="4" w:space="0" w:color="auto"/>
            </w:tcBorders>
            <w:vAlign w:val="center"/>
            <w:hideMark/>
          </w:tcPr>
          <w:p w14:paraId="7868EC3B" w14:textId="77777777" w:rsidR="00C15F2E" w:rsidRPr="00D96063" w:rsidRDefault="00C15F2E" w:rsidP="00053198">
            <w:pPr>
              <w:jc w:val="left"/>
              <w:rPr>
                <w:sz w:val="14"/>
              </w:rPr>
            </w:pPr>
          </w:p>
        </w:tc>
        <w:tc>
          <w:tcPr>
            <w:tcW w:w="313" w:type="pct"/>
            <w:vMerge/>
            <w:tcBorders>
              <w:top w:val="nil"/>
              <w:left w:val="single" w:sz="4" w:space="0" w:color="auto"/>
              <w:bottom w:val="single" w:sz="4" w:space="0" w:color="auto"/>
              <w:right w:val="single" w:sz="4" w:space="0" w:color="auto"/>
            </w:tcBorders>
            <w:vAlign w:val="center"/>
            <w:hideMark/>
          </w:tcPr>
          <w:p w14:paraId="6C3B8147" w14:textId="77777777" w:rsidR="00C15F2E" w:rsidRPr="00D96063" w:rsidRDefault="00C15F2E" w:rsidP="00053198">
            <w:pPr>
              <w:jc w:val="left"/>
              <w:rPr>
                <w:b/>
                <w:color w:val="FFFFFF" w:themeColor="background1"/>
                <w:sz w:val="14"/>
              </w:rPr>
            </w:pPr>
          </w:p>
        </w:tc>
        <w:tc>
          <w:tcPr>
            <w:tcW w:w="393" w:type="pct"/>
            <w:vMerge/>
            <w:tcBorders>
              <w:top w:val="nil"/>
              <w:left w:val="single" w:sz="4" w:space="0" w:color="auto"/>
              <w:bottom w:val="single" w:sz="4" w:space="0" w:color="auto"/>
              <w:right w:val="single" w:sz="4" w:space="0" w:color="auto"/>
            </w:tcBorders>
            <w:vAlign w:val="center"/>
            <w:hideMark/>
          </w:tcPr>
          <w:p w14:paraId="41DB65B9" w14:textId="77777777" w:rsidR="00C15F2E" w:rsidRPr="00D96063" w:rsidRDefault="00C15F2E" w:rsidP="00053198">
            <w:pPr>
              <w:jc w:val="left"/>
              <w:rPr>
                <w:b/>
                <w:color w:val="FFFFFF" w:themeColor="background1"/>
                <w:sz w:val="14"/>
              </w:rPr>
            </w:pPr>
          </w:p>
        </w:tc>
        <w:tc>
          <w:tcPr>
            <w:tcW w:w="394" w:type="pct"/>
            <w:vMerge/>
            <w:tcBorders>
              <w:top w:val="nil"/>
              <w:left w:val="single" w:sz="4" w:space="0" w:color="auto"/>
              <w:bottom w:val="single" w:sz="4" w:space="0" w:color="auto"/>
              <w:right w:val="single" w:sz="4" w:space="0" w:color="auto"/>
            </w:tcBorders>
            <w:vAlign w:val="center"/>
            <w:hideMark/>
          </w:tcPr>
          <w:p w14:paraId="18DA3776" w14:textId="77777777" w:rsidR="00C15F2E" w:rsidRPr="00D96063" w:rsidRDefault="00C15F2E" w:rsidP="00053198">
            <w:pPr>
              <w:jc w:val="left"/>
              <w:rPr>
                <w:b/>
                <w:color w:val="FFFFFF" w:themeColor="background1"/>
                <w:sz w:val="14"/>
              </w:rPr>
            </w:pPr>
          </w:p>
        </w:tc>
        <w:tc>
          <w:tcPr>
            <w:tcW w:w="393" w:type="pct"/>
            <w:vMerge/>
            <w:tcBorders>
              <w:top w:val="nil"/>
              <w:left w:val="single" w:sz="4" w:space="0" w:color="auto"/>
              <w:bottom w:val="single" w:sz="4" w:space="0" w:color="auto"/>
              <w:right w:val="single" w:sz="4" w:space="0" w:color="auto"/>
            </w:tcBorders>
            <w:vAlign w:val="center"/>
            <w:hideMark/>
          </w:tcPr>
          <w:p w14:paraId="068E67C3" w14:textId="77777777" w:rsidR="00C15F2E" w:rsidRPr="00D96063" w:rsidRDefault="00C15F2E" w:rsidP="00053198">
            <w:pPr>
              <w:jc w:val="left"/>
              <w:rPr>
                <w:b/>
                <w:color w:val="FFFFFF" w:themeColor="background1"/>
                <w:sz w:val="14"/>
              </w:rPr>
            </w:pPr>
          </w:p>
        </w:tc>
        <w:tc>
          <w:tcPr>
            <w:tcW w:w="393" w:type="pct"/>
            <w:vMerge/>
            <w:tcBorders>
              <w:top w:val="nil"/>
              <w:left w:val="single" w:sz="4" w:space="0" w:color="auto"/>
              <w:bottom w:val="single" w:sz="4" w:space="0" w:color="auto"/>
              <w:right w:val="single" w:sz="4" w:space="0" w:color="auto"/>
            </w:tcBorders>
            <w:vAlign w:val="center"/>
            <w:hideMark/>
          </w:tcPr>
          <w:p w14:paraId="202F58AB" w14:textId="77777777" w:rsidR="00C15F2E" w:rsidRPr="00D96063" w:rsidRDefault="00C15F2E" w:rsidP="00053198">
            <w:pPr>
              <w:jc w:val="left"/>
              <w:rPr>
                <w:b/>
                <w:color w:val="FFFFFF" w:themeColor="background1"/>
                <w:sz w:val="14"/>
              </w:rPr>
            </w:pPr>
          </w:p>
        </w:tc>
        <w:tc>
          <w:tcPr>
            <w:tcW w:w="393" w:type="pct"/>
            <w:vMerge/>
            <w:tcBorders>
              <w:top w:val="nil"/>
              <w:left w:val="single" w:sz="4" w:space="0" w:color="auto"/>
              <w:bottom w:val="single" w:sz="4" w:space="0" w:color="auto"/>
              <w:right w:val="single" w:sz="4" w:space="0" w:color="auto"/>
            </w:tcBorders>
            <w:vAlign w:val="center"/>
            <w:hideMark/>
          </w:tcPr>
          <w:p w14:paraId="53694DC5" w14:textId="77777777" w:rsidR="00C15F2E" w:rsidRPr="00D96063" w:rsidRDefault="00C15F2E" w:rsidP="00053198">
            <w:pPr>
              <w:jc w:val="left"/>
              <w:rPr>
                <w:b/>
                <w:color w:val="FFFFFF" w:themeColor="background1"/>
                <w:sz w:val="14"/>
              </w:rPr>
            </w:pPr>
          </w:p>
        </w:tc>
        <w:tc>
          <w:tcPr>
            <w:tcW w:w="393" w:type="pct"/>
            <w:vMerge/>
            <w:tcBorders>
              <w:top w:val="nil"/>
              <w:left w:val="single" w:sz="4" w:space="0" w:color="auto"/>
              <w:bottom w:val="single" w:sz="4" w:space="0" w:color="auto"/>
              <w:right w:val="single" w:sz="4" w:space="0" w:color="auto"/>
            </w:tcBorders>
            <w:vAlign w:val="center"/>
            <w:hideMark/>
          </w:tcPr>
          <w:p w14:paraId="09D95A82" w14:textId="77777777" w:rsidR="00C15F2E" w:rsidRPr="00D96063" w:rsidRDefault="00C15F2E" w:rsidP="00053198">
            <w:pPr>
              <w:jc w:val="left"/>
              <w:rPr>
                <w:b/>
                <w:color w:val="FFFFFF" w:themeColor="background1"/>
                <w:sz w:val="14"/>
              </w:rPr>
            </w:pPr>
          </w:p>
        </w:tc>
        <w:tc>
          <w:tcPr>
            <w:tcW w:w="470" w:type="pct"/>
            <w:vMerge/>
            <w:tcBorders>
              <w:top w:val="nil"/>
              <w:left w:val="single" w:sz="4" w:space="0" w:color="auto"/>
              <w:bottom w:val="single" w:sz="4" w:space="0" w:color="auto"/>
              <w:right w:val="single" w:sz="4" w:space="0" w:color="auto"/>
            </w:tcBorders>
            <w:vAlign w:val="center"/>
            <w:hideMark/>
          </w:tcPr>
          <w:p w14:paraId="7271DBD4" w14:textId="77777777" w:rsidR="00C15F2E" w:rsidRPr="00D96063" w:rsidRDefault="00C15F2E" w:rsidP="00053198">
            <w:pPr>
              <w:jc w:val="left"/>
              <w:rPr>
                <w:b/>
                <w:color w:val="FFFFFF" w:themeColor="background1"/>
                <w:sz w:val="14"/>
              </w:rPr>
            </w:pPr>
          </w:p>
        </w:tc>
        <w:tc>
          <w:tcPr>
            <w:tcW w:w="477" w:type="pct"/>
            <w:vMerge/>
            <w:tcBorders>
              <w:top w:val="nil"/>
              <w:left w:val="single" w:sz="4" w:space="0" w:color="auto"/>
              <w:bottom w:val="single" w:sz="4" w:space="0" w:color="auto"/>
              <w:right w:val="single" w:sz="4" w:space="0" w:color="auto"/>
            </w:tcBorders>
            <w:vAlign w:val="center"/>
            <w:hideMark/>
          </w:tcPr>
          <w:p w14:paraId="150B5379" w14:textId="77777777" w:rsidR="00C15F2E" w:rsidRPr="00D96063" w:rsidRDefault="00C15F2E" w:rsidP="00053198">
            <w:pPr>
              <w:jc w:val="left"/>
              <w:rPr>
                <w:b/>
                <w:color w:val="FFFFFF" w:themeColor="background1"/>
                <w:sz w:val="14"/>
              </w:rPr>
            </w:pPr>
          </w:p>
        </w:tc>
        <w:tc>
          <w:tcPr>
            <w:tcW w:w="471" w:type="pct"/>
            <w:vMerge/>
            <w:tcBorders>
              <w:top w:val="nil"/>
              <w:left w:val="single" w:sz="4" w:space="0" w:color="auto"/>
              <w:bottom w:val="single" w:sz="4" w:space="0" w:color="auto"/>
              <w:right w:val="single" w:sz="4" w:space="0" w:color="auto"/>
            </w:tcBorders>
            <w:vAlign w:val="center"/>
            <w:hideMark/>
          </w:tcPr>
          <w:p w14:paraId="6E8DFB62" w14:textId="77777777" w:rsidR="00C15F2E" w:rsidRPr="00D96063" w:rsidRDefault="00C15F2E" w:rsidP="00053198">
            <w:pPr>
              <w:jc w:val="left"/>
              <w:rPr>
                <w:b/>
                <w:color w:val="FFFFFF" w:themeColor="background1"/>
                <w:sz w:val="14"/>
              </w:rPr>
            </w:pPr>
          </w:p>
        </w:tc>
        <w:tc>
          <w:tcPr>
            <w:tcW w:w="361" w:type="pct"/>
            <w:vMerge/>
            <w:tcBorders>
              <w:top w:val="nil"/>
              <w:left w:val="single" w:sz="4" w:space="0" w:color="auto"/>
              <w:bottom w:val="single" w:sz="4" w:space="0" w:color="auto"/>
              <w:right w:val="single" w:sz="4" w:space="0" w:color="auto"/>
            </w:tcBorders>
            <w:vAlign w:val="center"/>
            <w:hideMark/>
          </w:tcPr>
          <w:p w14:paraId="57F1C1CE" w14:textId="77777777" w:rsidR="00C15F2E" w:rsidRPr="00D96063" w:rsidRDefault="00C15F2E" w:rsidP="00053198">
            <w:pPr>
              <w:jc w:val="left"/>
              <w:rPr>
                <w:b/>
                <w:color w:val="FFFFFF" w:themeColor="background1"/>
                <w:sz w:val="14"/>
              </w:rPr>
            </w:pPr>
          </w:p>
        </w:tc>
      </w:tr>
      <w:tr w:rsidR="00C15F2E" w:rsidRPr="00D96063" w14:paraId="0DAEF679" w14:textId="77777777" w:rsidTr="00053198">
        <w:trPr>
          <w:trHeight w:val="240"/>
        </w:trPr>
        <w:tc>
          <w:tcPr>
            <w:tcW w:w="548" w:type="pct"/>
            <w:tcBorders>
              <w:top w:val="nil"/>
              <w:left w:val="single" w:sz="4" w:space="0" w:color="auto"/>
              <w:bottom w:val="nil"/>
              <w:right w:val="single" w:sz="4" w:space="0" w:color="auto"/>
            </w:tcBorders>
            <w:noWrap/>
            <w:hideMark/>
          </w:tcPr>
          <w:p w14:paraId="017A7EEF" w14:textId="77777777" w:rsidR="00C15F2E" w:rsidRPr="00D96063" w:rsidRDefault="00C15F2E" w:rsidP="00053198">
            <w:pPr>
              <w:jc w:val="left"/>
              <w:rPr>
                <w:sz w:val="14"/>
              </w:rPr>
            </w:pPr>
            <w:r w:rsidRPr="00D96063">
              <w:rPr>
                <w:sz w:val="14"/>
              </w:rPr>
              <w:t>Cassava</w:t>
            </w:r>
          </w:p>
        </w:tc>
        <w:tc>
          <w:tcPr>
            <w:tcW w:w="313" w:type="pct"/>
            <w:tcBorders>
              <w:top w:val="single" w:sz="4" w:space="0" w:color="auto"/>
              <w:left w:val="single" w:sz="4" w:space="0" w:color="auto"/>
              <w:bottom w:val="nil"/>
              <w:right w:val="single" w:sz="4" w:space="0" w:color="auto"/>
            </w:tcBorders>
            <w:noWrap/>
            <w:hideMark/>
          </w:tcPr>
          <w:p w14:paraId="5364474D" w14:textId="77777777" w:rsidR="00C15F2E" w:rsidRPr="00D96063" w:rsidRDefault="00C15F2E" w:rsidP="00053198">
            <w:pPr>
              <w:ind w:left="-113" w:right="-57"/>
              <w:jc w:val="right"/>
              <w:rPr>
                <w:sz w:val="14"/>
              </w:rPr>
            </w:pPr>
            <w:r w:rsidRPr="00D96063">
              <w:rPr>
                <w:sz w:val="14"/>
              </w:rPr>
              <w:t>17,798</w:t>
            </w:r>
          </w:p>
        </w:tc>
        <w:tc>
          <w:tcPr>
            <w:tcW w:w="393" w:type="pct"/>
            <w:tcBorders>
              <w:top w:val="single" w:sz="4" w:space="0" w:color="auto"/>
              <w:left w:val="single" w:sz="4" w:space="0" w:color="auto"/>
              <w:bottom w:val="nil"/>
              <w:right w:val="single" w:sz="4" w:space="0" w:color="auto"/>
            </w:tcBorders>
            <w:noWrap/>
            <w:hideMark/>
          </w:tcPr>
          <w:p w14:paraId="491042D2" w14:textId="77777777" w:rsidR="00C15F2E" w:rsidRPr="00D96063" w:rsidRDefault="00C15F2E" w:rsidP="00053198">
            <w:pPr>
              <w:ind w:left="-57"/>
              <w:jc w:val="right"/>
              <w:rPr>
                <w:sz w:val="14"/>
              </w:rPr>
            </w:pPr>
            <w:r w:rsidRPr="00D96063">
              <w:rPr>
                <w:sz w:val="14"/>
              </w:rPr>
              <w:t>17,213</w:t>
            </w:r>
          </w:p>
        </w:tc>
        <w:tc>
          <w:tcPr>
            <w:tcW w:w="394" w:type="pct"/>
            <w:tcBorders>
              <w:top w:val="single" w:sz="4" w:space="0" w:color="auto"/>
              <w:left w:val="single" w:sz="4" w:space="0" w:color="auto"/>
              <w:bottom w:val="nil"/>
              <w:right w:val="single" w:sz="4" w:space="0" w:color="auto"/>
            </w:tcBorders>
            <w:noWrap/>
            <w:hideMark/>
          </w:tcPr>
          <w:p w14:paraId="0FE03C2C" w14:textId="77777777" w:rsidR="00C15F2E" w:rsidRPr="00D96063" w:rsidRDefault="00C15F2E" w:rsidP="00053198">
            <w:pPr>
              <w:ind w:left="-57"/>
              <w:jc w:val="right"/>
              <w:rPr>
                <w:sz w:val="14"/>
              </w:rPr>
            </w:pPr>
            <w:r w:rsidRPr="00D96063">
              <w:rPr>
                <w:sz w:val="14"/>
              </w:rPr>
              <w:t>17,798</w:t>
            </w:r>
          </w:p>
        </w:tc>
        <w:tc>
          <w:tcPr>
            <w:tcW w:w="393" w:type="pct"/>
            <w:tcBorders>
              <w:top w:val="single" w:sz="4" w:space="0" w:color="auto"/>
              <w:left w:val="single" w:sz="4" w:space="0" w:color="auto"/>
              <w:bottom w:val="nil"/>
              <w:right w:val="single" w:sz="4" w:space="0" w:color="auto"/>
            </w:tcBorders>
            <w:noWrap/>
            <w:hideMark/>
          </w:tcPr>
          <w:p w14:paraId="28711B35" w14:textId="77777777" w:rsidR="00C15F2E" w:rsidRPr="00D96063" w:rsidRDefault="00C15F2E" w:rsidP="00053198">
            <w:pPr>
              <w:ind w:left="-57"/>
              <w:jc w:val="right"/>
              <w:rPr>
                <w:sz w:val="14"/>
              </w:rPr>
            </w:pPr>
            <w:r w:rsidRPr="00D96063">
              <w:rPr>
                <w:sz w:val="14"/>
              </w:rPr>
              <w:t>19,009</w:t>
            </w:r>
          </w:p>
        </w:tc>
        <w:tc>
          <w:tcPr>
            <w:tcW w:w="393" w:type="pct"/>
            <w:tcBorders>
              <w:top w:val="single" w:sz="4" w:space="0" w:color="auto"/>
              <w:left w:val="single" w:sz="4" w:space="0" w:color="auto"/>
              <w:bottom w:val="nil"/>
              <w:right w:val="single" w:sz="4" w:space="0" w:color="auto"/>
            </w:tcBorders>
            <w:noWrap/>
            <w:hideMark/>
          </w:tcPr>
          <w:p w14:paraId="162D9513" w14:textId="77777777" w:rsidR="00C15F2E" w:rsidRPr="00D96063" w:rsidRDefault="00C15F2E" w:rsidP="00053198">
            <w:pPr>
              <w:ind w:left="-57"/>
              <w:jc w:val="right"/>
              <w:rPr>
                <w:sz w:val="14"/>
              </w:rPr>
            </w:pPr>
            <w:r w:rsidRPr="00D96063">
              <w:rPr>
                <w:sz w:val="14"/>
              </w:rPr>
              <w:t>20,846</w:t>
            </w:r>
          </w:p>
        </w:tc>
        <w:tc>
          <w:tcPr>
            <w:tcW w:w="393" w:type="pct"/>
            <w:tcBorders>
              <w:top w:val="single" w:sz="4" w:space="0" w:color="auto"/>
              <w:left w:val="single" w:sz="4" w:space="0" w:color="auto"/>
              <w:bottom w:val="nil"/>
              <w:right w:val="single" w:sz="4" w:space="0" w:color="auto"/>
            </w:tcBorders>
            <w:noWrap/>
            <w:hideMark/>
          </w:tcPr>
          <w:p w14:paraId="6DBCC50E" w14:textId="77777777" w:rsidR="00C15F2E" w:rsidRPr="00D96063" w:rsidRDefault="00C15F2E" w:rsidP="00053198">
            <w:pPr>
              <w:ind w:left="-57"/>
              <w:jc w:val="right"/>
              <w:rPr>
                <w:sz w:val="14"/>
              </w:rPr>
            </w:pPr>
            <w:r w:rsidRPr="00D96063">
              <w:rPr>
                <w:sz w:val="14"/>
              </w:rPr>
              <w:t>22,448</w:t>
            </w:r>
          </w:p>
        </w:tc>
        <w:tc>
          <w:tcPr>
            <w:tcW w:w="393" w:type="pct"/>
            <w:tcBorders>
              <w:top w:val="single" w:sz="4" w:space="0" w:color="auto"/>
              <w:left w:val="single" w:sz="4" w:space="0" w:color="auto"/>
              <w:bottom w:val="nil"/>
              <w:right w:val="single" w:sz="4" w:space="0" w:color="auto"/>
            </w:tcBorders>
            <w:noWrap/>
            <w:hideMark/>
          </w:tcPr>
          <w:p w14:paraId="7DE08B0A" w14:textId="77777777" w:rsidR="00C15F2E" w:rsidRPr="00D96063" w:rsidRDefault="00C15F2E" w:rsidP="00053198">
            <w:pPr>
              <w:ind w:left="-57"/>
              <w:jc w:val="right"/>
              <w:rPr>
                <w:sz w:val="14"/>
              </w:rPr>
            </w:pPr>
            <w:r w:rsidRPr="00D96063">
              <w:rPr>
                <w:sz w:val="14"/>
              </w:rPr>
              <w:t>24,369</w:t>
            </w:r>
          </w:p>
        </w:tc>
        <w:tc>
          <w:tcPr>
            <w:tcW w:w="470" w:type="pct"/>
            <w:tcBorders>
              <w:top w:val="single" w:sz="4" w:space="0" w:color="auto"/>
              <w:left w:val="single" w:sz="4" w:space="0" w:color="auto"/>
              <w:bottom w:val="nil"/>
              <w:right w:val="single" w:sz="4" w:space="0" w:color="auto"/>
            </w:tcBorders>
            <w:noWrap/>
            <w:hideMark/>
          </w:tcPr>
          <w:p w14:paraId="2A4300A3" w14:textId="77777777" w:rsidR="00C15F2E" w:rsidRPr="00D96063" w:rsidRDefault="00C15F2E" w:rsidP="00053198">
            <w:pPr>
              <w:ind w:left="-57"/>
              <w:jc w:val="right"/>
              <w:rPr>
                <w:sz w:val="14"/>
              </w:rPr>
            </w:pPr>
            <w:r w:rsidRPr="00D96063">
              <w:rPr>
                <w:sz w:val="14"/>
              </w:rPr>
              <w:t>19,185</w:t>
            </w:r>
          </w:p>
        </w:tc>
        <w:tc>
          <w:tcPr>
            <w:tcW w:w="477" w:type="pct"/>
            <w:tcBorders>
              <w:top w:val="single" w:sz="4" w:space="0" w:color="auto"/>
              <w:left w:val="single" w:sz="4" w:space="0" w:color="auto"/>
              <w:bottom w:val="nil"/>
              <w:right w:val="single" w:sz="4" w:space="0" w:color="auto"/>
            </w:tcBorders>
            <w:noWrap/>
            <w:hideMark/>
          </w:tcPr>
          <w:p w14:paraId="677C2662" w14:textId="77777777" w:rsidR="00C15F2E" w:rsidRPr="00D96063" w:rsidRDefault="00C15F2E" w:rsidP="002C1DC3">
            <w:pPr>
              <w:ind w:left="-57" w:right="170"/>
              <w:jc w:val="right"/>
              <w:rPr>
                <w:sz w:val="14"/>
              </w:rPr>
            </w:pPr>
            <w:r w:rsidRPr="00D96063">
              <w:rPr>
                <w:sz w:val="14"/>
              </w:rPr>
              <w:t>6.6</w:t>
            </w:r>
          </w:p>
        </w:tc>
        <w:tc>
          <w:tcPr>
            <w:tcW w:w="471" w:type="pct"/>
            <w:tcBorders>
              <w:top w:val="single" w:sz="4" w:space="0" w:color="auto"/>
              <w:left w:val="single" w:sz="4" w:space="0" w:color="auto"/>
              <w:bottom w:val="nil"/>
              <w:right w:val="single" w:sz="4" w:space="0" w:color="auto"/>
            </w:tcBorders>
            <w:noWrap/>
            <w:hideMark/>
          </w:tcPr>
          <w:p w14:paraId="20D96E25" w14:textId="77777777" w:rsidR="00C15F2E" w:rsidRPr="00D96063" w:rsidRDefault="00C15F2E" w:rsidP="00053198">
            <w:pPr>
              <w:ind w:left="-57"/>
              <w:jc w:val="right"/>
              <w:rPr>
                <w:sz w:val="14"/>
              </w:rPr>
            </w:pPr>
            <w:r w:rsidRPr="00D96063">
              <w:rPr>
                <w:sz w:val="14"/>
              </w:rPr>
              <w:t>2,477.2</w:t>
            </w:r>
          </w:p>
        </w:tc>
        <w:tc>
          <w:tcPr>
            <w:tcW w:w="361" w:type="pct"/>
            <w:tcBorders>
              <w:top w:val="single" w:sz="4" w:space="0" w:color="auto"/>
              <w:left w:val="single" w:sz="4" w:space="0" w:color="auto"/>
              <w:bottom w:val="nil"/>
              <w:right w:val="single" w:sz="4" w:space="0" w:color="auto"/>
            </w:tcBorders>
            <w:noWrap/>
            <w:hideMark/>
          </w:tcPr>
          <w:p w14:paraId="50635489" w14:textId="77777777" w:rsidR="00C15F2E" w:rsidRPr="00D96063" w:rsidRDefault="00C15F2E" w:rsidP="00053198">
            <w:pPr>
              <w:ind w:left="-57"/>
              <w:jc w:val="right"/>
              <w:rPr>
                <w:sz w:val="14"/>
              </w:rPr>
            </w:pPr>
            <w:r w:rsidRPr="00D96063">
              <w:rPr>
                <w:sz w:val="14"/>
              </w:rPr>
              <w:t>4.8</w:t>
            </w:r>
          </w:p>
        </w:tc>
      </w:tr>
      <w:tr w:rsidR="00C15F2E" w:rsidRPr="00D96063" w14:paraId="4F749634"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0C322640" w14:textId="77777777" w:rsidR="00C15F2E" w:rsidRPr="00D96063" w:rsidRDefault="00C15F2E" w:rsidP="00053198">
            <w:pPr>
              <w:jc w:val="left"/>
              <w:rPr>
                <w:sz w:val="14"/>
              </w:rPr>
            </w:pPr>
            <w:r w:rsidRPr="00D96063">
              <w:rPr>
                <w:sz w:val="14"/>
              </w:rPr>
              <w:t>Yams</w:t>
            </w:r>
          </w:p>
        </w:tc>
        <w:tc>
          <w:tcPr>
            <w:tcW w:w="313" w:type="pct"/>
            <w:tcBorders>
              <w:top w:val="nil"/>
              <w:left w:val="single" w:sz="4" w:space="0" w:color="auto"/>
              <w:bottom w:val="nil"/>
              <w:right w:val="single" w:sz="4" w:space="0" w:color="auto"/>
            </w:tcBorders>
            <w:noWrap/>
            <w:hideMark/>
          </w:tcPr>
          <w:p w14:paraId="7AF211C1" w14:textId="77777777" w:rsidR="00C15F2E" w:rsidRPr="00D96063" w:rsidRDefault="00C15F2E" w:rsidP="00053198">
            <w:pPr>
              <w:ind w:left="-113" w:right="-57"/>
              <w:jc w:val="right"/>
              <w:rPr>
                <w:sz w:val="14"/>
              </w:rPr>
            </w:pPr>
            <w:r w:rsidRPr="00D96063">
              <w:rPr>
                <w:sz w:val="14"/>
              </w:rPr>
              <w:t>7,119</w:t>
            </w:r>
          </w:p>
        </w:tc>
        <w:tc>
          <w:tcPr>
            <w:tcW w:w="393" w:type="pct"/>
            <w:tcBorders>
              <w:top w:val="nil"/>
              <w:left w:val="single" w:sz="4" w:space="0" w:color="auto"/>
              <w:bottom w:val="nil"/>
              <w:right w:val="single" w:sz="4" w:space="0" w:color="auto"/>
            </w:tcBorders>
            <w:noWrap/>
            <w:hideMark/>
          </w:tcPr>
          <w:p w14:paraId="33A01545" w14:textId="77777777" w:rsidR="00C15F2E" w:rsidRPr="00D96063" w:rsidRDefault="00C15F2E" w:rsidP="00053198">
            <w:pPr>
              <w:jc w:val="right"/>
              <w:rPr>
                <w:sz w:val="14"/>
              </w:rPr>
            </w:pPr>
            <w:r w:rsidRPr="00D96063">
              <w:rPr>
                <w:sz w:val="14"/>
              </w:rPr>
              <w:t>7,296</w:t>
            </w:r>
          </w:p>
        </w:tc>
        <w:tc>
          <w:tcPr>
            <w:tcW w:w="394" w:type="pct"/>
            <w:tcBorders>
              <w:top w:val="nil"/>
              <w:left w:val="single" w:sz="4" w:space="0" w:color="auto"/>
              <w:bottom w:val="nil"/>
              <w:right w:val="single" w:sz="4" w:space="0" w:color="auto"/>
            </w:tcBorders>
            <w:noWrap/>
            <w:hideMark/>
          </w:tcPr>
          <w:p w14:paraId="1F5CD129" w14:textId="77777777" w:rsidR="00C15F2E" w:rsidRPr="00D96063" w:rsidRDefault="00C15F2E" w:rsidP="00053198">
            <w:pPr>
              <w:jc w:val="right"/>
              <w:rPr>
                <w:sz w:val="14"/>
              </w:rPr>
            </w:pPr>
            <w:r w:rsidRPr="00D96063">
              <w:rPr>
                <w:sz w:val="14"/>
              </w:rPr>
              <w:t>7,440</w:t>
            </w:r>
          </w:p>
        </w:tc>
        <w:tc>
          <w:tcPr>
            <w:tcW w:w="393" w:type="pct"/>
            <w:tcBorders>
              <w:top w:val="nil"/>
              <w:left w:val="single" w:sz="4" w:space="0" w:color="auto"/>
              <w:bottom w:val="nil"/>
              <w:right w:val="single" w:sz="4" w:space="0" w:color="auto"/>
            </w:tcBorders>
            <w:noWrap/>
            <w:hideMark/>
          </w:tcPr>
          <w:p w14:paraId="46D0C43F" w14:textId="77777777" w:rsidR="00C15F2E" w:rsidRPr="00D96063" w:rsidRDefault="00C15F2E" w:rsidP="00053198">
            <w:pPr>
              <w:ind w:left="-57"/>
              <w:jc w:val="right"/>
              <w:rPr>
                <w:sz w:val="14"/>
              </w:rPr>
            </w:pPr>
            <w:r w:rsidRPr="00D96063">
              <w:rPr>
                <w:sz w:val="14"/>
              </w:rPr>
              <w:t>7,857</w:t>
            </w:r>
          </w:p>
        </w:tc>
        <w:tc>
          <w:tcPr>
            <w:tcW w:w="393" w:type="pct"/>
            <w:tcBorders>
              <w:top w:val="nil"/>
              <w:left w:val="single" w:sz="4" w:space="0" w:color="auto"/>
              <w:bottom w:val="nil"/>
              <w:right w:val="single" w:sz="4" w:space="0" w:color="auto"/>
            </w:tcBorders>
            <w:noWrap/>
            <w:hideMark/>
          </w:tcPr>
          <w:p w14:paraId="5205811F" w14:textId="77777777" w:rsidR="00C15F2E" w:rsidRPr="00D96063" w:rsidRDefault="00C15F2E" w:rsidP="00053198">
            <w:pPr>
              <w:ind w:left="-57"/>
              <w:jc w:val="right"/>
              <w:rPr>
                <w:sz w:val="14"/>
              </w:rPr>
            </w:pPr>
            <w:r w:rsidRPr="00D96063">
              <w:rPr>
                <w:sz w:val="14"/>
              </w:rPr>
              <w:t>7,858</w:t>
            </w:r>
          </w:p>
        </w:tc>
        <w:tc>
          <w:tcPr>
            <w:tcW w:w="393" w:type="pct"/>
            <w:tcBorders>
              <w:top w:val="nil"/>
              <w:left w:val="single" w:sz="4" w:space="0" w:color="auto"/>
              <w:bottom w:val="nil"/>
              <w:right w:val="single" w:sz="4" w:space="0" w:color="auto"/>
            </w:tcBorders>
            <w:noWrap/>
            <w:hideMark/>
          </w:tcPr>
          <w:p w14:paraId="3837731B" w14:textId="77777777" w:rsidR="00C15F2E" w:rsidRPr="00D96063" w:rsidRDefault="00C15F2E" w:rsidP="00053198">
            <w:pPr>
              <w:ind w:left="-57"/>
              <w:jc w:val="right"/>
              <w:rPr>
                <w:sz w:val="14"/>
              </w:rPr>
            </w:pPr>
            <w:r w:rsidRPr="00D96063">
              <w:rPr>
                <w:sz w:val="14"/>
              </w:rPr>
              <w:t>8,288</w:t>
            </w:r>
          </w:p>
        </w:tc>
        <w:tc>
          <w:tcPr>
            <w:tcW w:w="393" w:type="pct"/>
            <w:tcBorders>
              <w:top w:val="nil"/>
              <w:left w:val="single" w:sz="4" w:space="0" w:color="auto"/>
              <w:bottom w:val="nil"/>
              <w:right w:val="single" w:sz="4" w:space="0" w:color="auto"/>
            </w:tcBorders>
            <w:noWrap/>
            <w:hideMark/>
          </w:tcPr>
          <w:p w14:paraId="42479B6A" w14:textId="77777777" w:rsidR="00C15F2E" w:rsidRPr="00D96063" w:rsidRDefault="00C15F2E" w:rsidP="00053198">
            <w:pPr>
              <w:ind w:left="-57"/>
              <w:jc w:val="right"/>
              <w:rPr>
                <w:sz w:val="14"/>
              </w:rPr>
            </w:pPr>
            <w:r w:rsidRPr="00D96063">
              <w:rPr>
                <w:sz w:val="14"/>
              </w:rPr>
              <w:t>8,946</w:t>
            </w:r>
          </w:p>
        </w:tc>
        <w:tc>
          <w:tcPr>
            <w:tcW w:w="470" w:type="pct"/>
            <w:tcBorders>
              <w:top w:val="nil"/>
              <w:left w:val="single" w:sz="4" w:space="0" w:color="auto"/>
              <w:bottom w:val="nil"/>
              <w:right w:val="single" w:sz="4" w:space="0" w:color="auto"/>
            </w:tcBorders>
            <w:noWrap/>
            <w:hideMark/>
          </w:tcPr>
          <w:p w14:paraId="50220BB9" w14:textId="77777777" w:rsidR="00C15F2E" w:rsidRPr="00D96063" w:rsidRDefault="00C15F2E" w:rsidP="00053198">
            <w:pPr>
              <w:jc w:val="right"/>
              <w:rPr>
                <w:sz w:val="14"/>
              </w:rPr>
            </w:pPr>
            <w:r w:rsidRPr="00D96063">
              <w:rPr>
                <w:sz w:val="14"/>
              </w:rPr>
              <w:t>7,643</w:t>
            </w:r>
          </w:p>
        </w:tc>
        <w:tc>
          <w:tcPr>
            <w:tcW w:w="477" w:type="pct"/>
            <w:tcBorders>
              <w:top w:val="nil"/>
              <w:left w:val="single" w:sz="4" w:space="0" w:color="auto"/>
              <w:bottom w:val="nil"/>
              <w:right w:val="single" w:sz="4" w:space="0" w:color="auto"/>
            </w:tcBorders>
            <w:noWrap/>
            <w:hideMark/>
          </w:tcPr>
          <w:p w14:paraId="4528865B" w14:textId="77777777" w:rsidR="00C15F2E" w:rsidRPr="00D96063" w:rsidRDefault="00C15F2E" w:rsidP="002C1DC3">
            <w:pPr>
              <w:ind w:right="170"/>
              <w:jc w:val="right"/>
              <w:rPr>
                <w:sz w:val="14"/>
              </w:rPr>
            </w:pPr>
            <w:r w:rsidRPr="00D96063">
              <w:rPr>
                <w:sz w:val="14"/>
              </w:rPr>
              <w:t>10.6</w:t>
            </w:r>
          </w:p>
        </w:tc>
        <w:tc>
          <w:tcPr>
            <w:tcW w:w="471" w:type="pct"/>
            <w:tcBorders>
              <w:top w:val="nil"/>
              <w:left w:val="single" w:sz="4" w:space="0" w:color="auto"/>
              <w:bottom w:val="nil"/>
              <w:right w:val="single" w:sz="4" w:space="0" w:color="auto"/>
            </w:tcBorders>
            <w:noWrap/>
            <w:hideMark/>
          </w:tcPr>
          <w:p w14:paraId="3EB73C35" w14:textId="77777777" w:rsidR="00C15F2E" w:rsidRPr="00D96063" w:rsidRDefault="00C15F2E" w:rsidP="00053198">
            <w:pPr>
              <w:jc w:val="right"/>
              <w:rPr>
                <w:sz w:val="14"/>
              </w:rPr>
            </w:pPr>
            <w:r w:rsidRPr="00D96063">
              <w:rPr>
                <w:sz w:val="14"/>
              </w:rPr>
              <w:t>2,210.1</w:t>
            </w:r>
          </w:p>
        </w:tc>
        <w:tc>
          <w:tcPr>
            <w:tcW w:w="361" w:type="pct"/>
            <w:tcBorders>
              <w:top w:val="nil"/>
              <w:left w:val="single" w:sz="4" w:space="0" w:color="auto"/>
              <w:bottom w:val="nil"/>
              <w:right w:val="single" w:sz="4" w:space="0" w:color="auto"/>
            </w:tcBorders>
            <w:noWrap/>
            <w:hideMark/>
          </w:tcPr>
          <w:p w14:paraId="168D8D5B" w14:textId="77777777" w:rsidR="00C15F2E" w:rsidRPr="00D96063" w:rsidRDefault="00C15F2E" w:rsidP="00053198">
            <w:pPr>
              <w:jc w:val="right"/>
              <w:rPr>
                <w:sz w:val="14"/>
              </w:rPr>
            </w:pPr>
            <w:r w:rsidRPr="00D96063">
              <w:rPr>
                <w:sz w:val="14"/>
              </w:rPr>
              <w:t>3.1</w:t>
            </w:r>
          </w:p>
        </w:tc>
      </w:tr>
      <w:tr w:rsidR="00C15F2E" w:rsidRPr="00D96063" w14:paraId="47FE1DBE" w14:textId="77777777" w:rsidTr="00053198">
        <w:trPr>
          <w:trHeight w:val="240"/>
        </w:trPr>
        <w:tc>
          <w:tcPr>
            <w:tcW w:w="548" w:type="pct"/>
            <w:tcBorders>
              <w:top w:val="nil"/>
              <w:left w:val="single" w:sz="4" w:space="0" w:color="auto"/>
              <w:bottom w:val="nil"/>
              <w:right w:val="single" w:sz="4" w:space="0" w:color="auto"/>
            </w:tcBorders>
            <w:noWrap/>
            <w:hideMark/>
          </w:tcPr>
          <w:p w14:paraId="46B320EE" w14:textId="77777777" w:rsidR="00C15F2E" w:rsidRPr="00D96063" w:rsidRDefault="00C15F2E" w:rsidP="00053198">
            <w:pPr>
              <w:jc w:val="left"/>
              <w:rPr>
                <w:sz w:val="14"/>
              </w:rPr>
            </w:pPr>
            <w:r w:rsidRPr="00D96063">
              <w:rPr>
                <w:sz w:val="14"/>
              </w:rPr>
              <w:t>Plantains and others</w:t>
            </w:r>
          </w:p>
        </w:tc>
        <w:tc>
          <w:tcPr>
            <w:tcW w:w="313" w:type="pct"/>
            <w:tcBorders>
              <w:top w:val="nil"/>
              <w:left w:val="single" w:sz="4" w:space="0" w:color="auto"/>
              <w:bottom w:val="nil"/>
              <w:right w:val="single" w:sz="4" w:space="0" w:color="auto"/>
            </w:tcBorders>
            <w:noWrap/>
            <w:hideMark/>
          </w:tcPr>
          <w:p w14:paraId="610334B5" w14:textId="77777777" w:rsidR="00C15F2E" w:rsidRPr="00D96063" w:rsidRDefault="00C15F2E" w:rsidP="00053198">
            <w:pPr>
              <w:ind w:left="-113" w:right="-57"/>
              <w:jc w:val="right"/>
              <w:rPr>
                <w:sz w:val="14"/>
              </w:rPr>
            </w:pPr>
            <w:r w:rsidRPr="00D96063">
              <w:rPr>
                <w:sz w:val="14"/>
              </w:rPr>
              <w:t>3,786</w:t>
            </w:r>
          </w:p>
        </w:tc>
        <w:tc>
          <w:tcPr>
            <w:tcW w:w="393" w:type="pct"/>
            <w:tcBorders>
              <w:top w:val="nil"/>
              <w:left w:val="single" w:sz="4" w:space="0" w:color="auto"/>
              <w:bottom w:val="nil"/>
              <w:right w:val="single" w:sz="4" w:space="0" w:color="auto"/>
            </w:tcBorders>
            <w:noWrap/>
            <w:hideMark/>
          </w:tcPr>
          <w:p w14:paraId="5309F352" w14:textId="77777777" w:rsidR="00C15F2E" w:rsidRPr="00D96063" w:rsidRDefault="00C15F2E" w:rsidP="00053198">
            <w:pPr>
              <w:jc w:val="right"/>
              <w:rPr>
                <w:sz w:val="14"/>
              </w:rPr>
            </w:pPr>
            <w:r w:rsidRPr="00D96063">
              <w:rPr>
                <w:sz w:val="14"/>
              </w:rPr>
              <w:t>3,952</w:t>
            </w:r>
          </w:p>
        </w:tc>
        <w:tc>
          <w:tcPr>
            <w:tcW w:w="394" w:type="pct"/>
            <w:tcBorders>
              <w:top w:val="nil"/>
              <w:left w:val="single" w:sz="4" w:space="0" w:color="auto"/>
              <w:bottom w:val="nil"/>
              <w:right w:val="single" w:sz="4" w:space="0" w:color="auto"/>
            </w:tcBorders>
            <w:noWrap/>
            <w:hideMark/>
          </w:tcPr>
          <w:p w14:paraId="3FC87C63" w14:textId="77777777" w:rsidR="00C15F2E" w:rsidRPr="00D96063" w:rsidRDefault="00C15F2E" w:rsidP="00053198">
            <w:pPr>
              <w:jc w:val="right"/>
              <w:rPr>
                <w:sz w:val="14"/>
              </w:rPr>
            </w:pPr>
            <w:r w:rsidRPr="00D96063">
              <w:rPr>
                <w:sz w:val="14"/>
              </w:rPr>
              <w:t>4,000</w:t>
            </w:r>
          </w:p>
        </w:tc>
        <w:tc>
          <w:tcPr>
            <w:tcW w:w="393" w:type="pct"/>
            <w:tcBorders>
              <w:top w:val="nil"/>
              <w:left w:val="single" w:sz="4" w:space="0" w:color="auto"/>
              <w:bottom w:val="nil"/>
              <w:right w:val="single" w:sz="4" w:space="0" w:color="auto"/>
            </w:tcBorders>
            <w:noWrap/>
            <w:hideMark/>
          </w:tcPr>
          <w:p w14:paraId="0958B583" w14:textId="77777777" w:rsidR="00C15F2E" w:rsidRPr="00D96063" w:rsidRDefault="00C15F2E" w:rsidP="00053198">
            <w:pPr>
              <w:ind w:left="-57"/>
              <w:jc w:val="right"/>
              <w:rPr>
                <w:sz w:val="14"/>
              </w:rPr>
            </w:pPr>
            <w:r w:rsidRPr="00D96063">
              <w:rPr>
                <w:sz w:val="14"/>
              </w:rPr>
              <w:t>4,279</w:t>
            </w:r>
          </w:p>
        </w:tc>
        <w:tc>
          <w:tcPr>
            <w:tcW w:w="393" w:type="pct"/>
            <w:tcBorders>
              <w:top w:val="nil"/>
              <w:left w:val="single" w:sz="4" w:space="0" w:color="auto"/>
              <w:bottom w:val="nil"/>
              <w:right w:val="single" w:sz="4" w:space="0" w:color="auto"/>
            </w:tcBorders>
            <w:noWrap/>
            <w:hideMark/>
          </w:tcPr>
          <w:p w14:paraId="2B382A5F" w14:textId="77777777" w:rsidR="00C15F2E" w:rsidRPr="00D96063" w:rsidRDefault="00C15F2E" w:rsidP="00053198">
            <w:pPr>
              <w:jc w:val="right"/>
              <w:rPr>
                <w:sz w:val="14"/>
              </w:rPr>
            </w:pPr>
            <w:r w:rsidRPr="00D96063">
              <w:rPr>
                <w:sz w:val="14"/>
              </w:rPr>
              <w:t>4,688</w:t>
            </w:r>
          </w:p>
        </w:tc>
        <w:tc>
          <w:tcPr>
            <w:tcW w:w="393" w:type="pct"/>
            <w:tcBorders>
              <w:top w:val="nil"/>
              <w:left w:val="single" w:sz="4" w:space="0" w:color="auto"/>
              <w:bottom w:val="nil"/>
              <w:right w:val="single" w:sz="4" w:space="0" w:color="auto"/>
            </w:tcBorders>
            <w:noWrap/>
            <w:hideMark/>
          </w:tcPr>
          <w:p w14:paraId="24BE58CD" w14:textId="77777777" w:rsidR="00C15F2E" w:rsidRPr="00D96063" w:rsidRDefault="00C15F2E" w:rsidP="00053198">
            <w:pPr>
              <w:ind w:left="-57"/>
              <w:jc w:val="right"/>
              <w:rPr>
                <w:sz w:val="14"/>
              </w:rPr>
            </w:pPr>
            <w:r w:rsidRPr="00D96063">
              <w:rPr>
                <w:sz w:val="14"/>
              </w:rPr>
              <w:t>4,872</w:t>
            </w:r>
          </w:p>
        </w:tc>
        <w:tc>
          <w:tcPr>
            <w:tcW w:w="393" w:type="pct"/>
            <w:tcBorders>
              <w:top w:val="nil"/>
              <w:left w:val="single" w:sz="4" w:space="0" w:color="auto"/>
              <w:bottom w:val="nil"/>
              <w:right w:val="single" w:sz="4" w:space="0" w:color="auto"/>
            </w:tcBorders>
            <w:noWrap/>
            <w:hideMark/>
          </w:tcPr>
          <w:p w14:paraId="35618598" w14:textId="77777777" w:rsidR="00C15F2E" w:rsidRPr="00D96063" w:rsidRDefault="00C15F2E" w:rsidP="00053198">
            <w:pPr>
              <w:jc w:val="right"/>
              <w:rPr>
                <w:sz w:val="14"/>
              </w:rPr>
            </w:pPr>
            <w:r w:rsidRPr="00D96063">
              <w:rPr>
                <w:sz w:val="14"/>
              </w:rPr>
              <w:t>5,882</w:t>
            </w:r>
          </w:p>
        </w:tc>
        <w:tc>
          <w:tcPr>
            <w:tcW w:w="470" w:type="pct"/>
            <w:tcBorders>
              <w:top w:val="nil"/>
              <w:left w:val="single" w:sz="4" w:space="0" w:color="auto"/>
              <w:bottom w:val="nil"/>
              <w:right w:val="single" w:sz="4" w:space="0" w:color="auto"/>
            </w:tcBorders>
            <w:noWrap/>
            <w:hideMark/>
          </w:tcPr>
          <w:p w14:paraId="794ED8E1" w14:textId="77777777" w:rsidR="00C15F2E" w:rsidRPr="00D96063" w:rsidRDefault="00C15F2E" w:rsidP="00053198">
            <w:pPr>
              <w:jc w:val="right"/>
              <w:rPr>
                <w:sz w:val="14"/>
              </w:rPr>
            </w:pPr>
            <w:r w:rsidRPr="00D96063">
              <w:rPr>
                <w:sz w:val="14"/>
              </w:rPr>
              <w:t>4,263</w:t>
            </w:r>
          </w:p>
        </w:tc>
        <w:tc>
          <w:tcPr>
            <w:tcW w:w="477" w:type="pct"/>
            <w:tcBorders>
              <w:top w:val="nil"/>
              <w:left w:val="single" w:sz="4" w:space="0" w:color="auto"/>
              <w:bottom w:val="nil"/>
              <w:right w:val="single" w:sz="4" w:space="0" w:color="auto"/>
            </w:tcBorders>
            <w:noWrap/>
            <w:hideMark/>
          </w:tcPr>
          <w:p w14:paraId="60E32693" w14:textId="77777777" w:rsidR="00C15F2E" w:rsidRPr="00D96063" w:rsidRDefault="00C15F2E" w:rsidP="002C1DC3">
            <w:pPr>
              <w:ind w:right="170"/>
              <w:jc w:val="right"/>
              <w:rPr>
                <w:sz w:val="14"/>
              </w:rPr>
            </w:pPr>
            <w:r w:rsidRPr="00D96063">
              <w:rPr>
                <w:sz w:val="14"/>
              </w:rPr>
              <w:t xml:space="preserve">10.5 </w:t>
            </w:r>
          </w:p>
        </w:tc>
        <w:tc>
          <w:tcPr>
            <w:tcW w:w="471" w:type="pct"/>
            <w:tcBorders>
              <w:top w:val="nil"/>
              <w:left w:val="single" w:sz="4" w:space="0" w:color="auto"/>
              <w:bottom w:val="nil"/>
              <w:right w:val="single" w:sz="4" w:space="0" w:color="auto"/>
            </w:tcBorders>
            <w:noWrap/>
            <w:hideMark/>
          </w:tcPr>
          <w:p w14:paraId="054BB28B" w14:textId="77777777" w:rsidR="00C15F2E" w:rsidRPr="00D96063" w:rsidRDefault="00C15F2E" w:rsidP="00053198">
            <w:pPr>
              <w:jc w:val="right"/>
              <w:rPr>
                <w:sz w:val="14"/>
              </w:rPr>
            </w:pPr>
            <w:r w:rsidRPr="00D96063">
              <w:rPr>
                <w:sz w:val="14"/>
              </w:rPr>
              <w:t>883.0</w:t>
            </w:r>
          </w:p>
        </w:tc>
        <w:tc>
          <w:tcPr>
            <w:tcW w:w="361" w:type="pct"/>
            <w:tcBorders>
              <w:top w:val="nil"/>
              <w:left w:val="single" w:sz="4" w:space="0" w:color="auto"/>
              <w:bottom w:val="nil"/>
              <w:right w:val="single" w:sz="4" w:space="0" w:color="auto"/>
            </w:tcBorders>
            <w:noWrap/>
            <w:hideMark/>
          </w:tcPr>
          <w:p w14:paraId="440D2981" w14:textId="77777777" w:rsidR="00C15F2E" w:rsidRPr="00D96063" w:rsidRDefault="00C15F2E" w:rsidP="00053198">
            <w:pPr>
              <w:jc w:val="right"/>
              <w:rPr>
                <w:sz w:val="14"/>
              </w:rPr>
            </w:pPr>
            <w:r w:rsidRPr="00D96063">
              <w:rPr>
                <w:sz w:val="14"/>
              </w:rPr>
              <w:t>5.2</w:t>
            </w:r>
          </w:p>
        </w:tc>
      </w:tr>
      <w:tr w:rsidR="00C15F2E" w:rsidRPr="00D96063" w14:paraId="3EF8466D"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7AC7E0BB" w14:textId="77777777" w:rsidR="00C15F2E" w:rsidRPr="00D96063" w:rsidRDefault="00C15F2E" w:rsidP="00053198">
            <w:pPr>
              <w:jc w:val="left"/>
              <w:rPr>
                <w:sz w:val="14"/>
              </w:rPr>
            </w:pPr>
            <w:r w:rsidRPr="00D96063">
              <w:rPr>
                <w:sz w:val="14"/>
              </w:rPr>
              <w:t>Oil palm fruit</w:t>
            </w:r>
          </w:p>
        </w:tc>
        <w:tc>
          <w:tcPr>
            <w:tcW w:w="313" w:type="pct"/>
            <w:tcBorders>
              <w:top w:val="nil"/>
              <w:left w:val="single" w:sz="4" w:space="0" w:color="auto"/>
              <w:bottom w:val="nil"/>
              <w:right w:val="single" w:sz="4" w:space="0" w:color="auto"/>
            </w:tcBorders>
            <w:noWrap/>
            <w:hideMark/>
          </w:tcPr>
          <w:p w14:paraId="6105568D" w14:textId="77777777" w:rsidR="00C15F2E" w:rsidRPr="00D96063" w:rsidRDefault="00C15F2E" w:rsidP="00053198">
            <w:pPr>
              <w:ind w:left="-57" w:right="-57"/>
              <w:jc w:val="right"/>
              <w:rPr>
                <w:sz w:val="14"/>
              </w:rPr>
            </w:pPr>
            <w:r w:rsidRPr="00D96063">
              <w:rPr>
                <w:sz w:val="14"/>
              </w:rPr>
              <w:t>2,443</w:t>
            </w:r>
          </w:p>
        </w:tc>
        <w:tc>
          <w:tcPr>
            <w:tcW w:w="393" w:type="pct"/>
            <w:tcBorders>
              <w:top w:val="nil"/>
              <w:left w:val="single" w:sz="4" w:space="0" w:color="auto"/>
              <w:bottom w:val="nil"/>
              <w:right w:val="single" w:sz="4" w:space="0" w:color="auto"/>
            </w:tcBorders>
            <w:noWrap/>
            <w:hideMark/>
          </w:tcPr>
          <w:p w14:paraId="24D6395D" w14:textId="77777777" w:rsidR="00C15F2E" w:rsidRPr="00D96063" w:rsidRDefault="00C15F2E" w:rsidP="00053198">
            <w:pPr>
              <w:jc w:val="right"/>
              <w:rPr>
                <w:sz w:val="14"/>
              </w:rPr>
            </w:pPr>
            <w:r w:rsidRPr="00D96063">
              <w:rPr>
                <w:sz w:val="14"/>
              </w:rPr>
              <w:t>2,443</w:t>
            </w:r>
          </w:p>
        </w:tc>
        <w:tc>
          <w:tcPr>
            <w:tcW w:w="394" w:type="pct"/>
            <w:tcBorders>
              <w:top w:val="nil"/>
              <w:left w:val="single" w:sz="4" w:space="0" w:color="auto"/>
              <w:bottom w:val="nil"/>
              <w:right w:val="single" w:sz="4" w:space="0" w:color="auto"/>
            </w:tcBorders>
            <w:noWrap/>
            <w:hideMark/>
          </w:tcPr>
          <w:p w14:paraId="49636BF7" w14:textId="77777777" w:rsidR="00C15F2E" w:rsidRPr="00D96063" w:rsidRDefault="00C15F2E" w:rsidP="00053198">
            <w:pPr>
              <w:jc w:val="right"/>
              <w:rPr>
                <w:sz w:val="14"/>
              </w:rPr>
            </w:pPr>
            <w:r w:rsidRPr="00D96063">
              <w:rPr>
                <w:sz w:val="14"/>
              </w:rPr>
              <w:t>2,443</w:t>
            </w:r>
          </w:p>
        </w:tc>
        <w:tc>
          <w:tcPr>
            <w:tcW w:w="393" w:type="pct"/>
            <w:tcBorders>
              <w:top w:val="nil"/>
              <w:left w:val="single" w:sz="4" w:space="0" w:color="auto"/>
              <w:bottom w:val="nil"/>
              <w:right w:val="single" w:sz="4" w:space="0" w:color="auto"/>
            </w:tcBorders>
            <w:noWrap/>
            <w:hideMark/>
          </w:tcPr>
          <w:p w14:paraId="0631D201" w14:textId="77777777" w:rsidR="00C15F2E" w:rsidRPr="00D96063" w:rsidRDefault="00C15F2E" w:rsidP="00053198">
            <w:pPr>
              <w:jc w:val="right"/>
              <w:rPr>
                <w:sz w:val="14"/>
              </w:rPr>
            </w:pPr>
            <w:r w:rsidRPr="00D96063">
              <w:rPr>
                <w:sz w:val="14"/>
              </w:rPr>
              <w:t>2,476</w:t>
            </w:r>
          </w:p>
        </w:tc>
        <w:tc>
          <w:tcPr>
            <w:tcW w:w="393" w:type="pct"/>
            <w:tcBorders>
              <w:top w:val="nil"/>
              <w:left w:val="single" w:sz="4" w:space="0" w:color="auto"/>
              <w:bottom w:val="nil"/>
              <w:right w:val="single" w:sz="4" w:space="0" w:color="auto"/>
            </w:tcBorders>
            <w:noWrap/>
            <w:hideMark/>
          </w:tcPr>
          <w:p w14:paraId="405219B9" w14:textId="77777777" w:rsidR="00C15F2E" w:rsidRPr="00D96063" w:rsidRDefault="00C15F2E" w:rsidP="00053198">
            <w:pPr>
              <w:jc w:val="right"/>
              <w:rPr>
                <w:sz w:val="14"/>
              </w:rPr>
            </w:pPr>
            <w:r w:rsidRPr="00D96063">
              <w:rPr>
                <w:sz w:val="14"/>
              </w:rPr>
              <w:t>2,647</w:t>
            </w:r>
          </w:p>
        </w:tc>
        <w:tc>
          <w:tcPr>
            <w:tcW w:w="393" w:type="pct"/>
            <w:tcBorders>
              <w:top w:val="nil"/>
              <w:left w:val="single" w:sz="4" w:space="0" w:color="auto"/>
              <w:bottom w:val="nil"/>
              <w:right w:val="single" w:sz="4" w:space="0" w:color="auto"/>
            </w:tcBorders>
            <w:noWrap/>
            <w:hideMark/>
          </w:tcPr>
          <w:p w14:paraId="28B1B23D" w14:textId="77777777" w:rsidR="00C15F2E" w:rsidRPr="00D96063" w:rsidRDefault="00C15F2E" w:rsidP="00053198">
            <w:pPr>
              <w:ind w:left="-57" w:right="-57"/>
              <w:jc w:val="right"/>
              <w:rPr>
                <w:sz w:val="14"/>
              </w:rPr>
            </w:pPr>
            <w:r w:rsidRPr="00D96063">
              <w:rPr>
                <w:sz w:val="14"/>
              </w:rPr>
              <w:t>2,655</w:t>
            </w:r>
          </w:p>
        </w:tc>
        <w:tc>
          <w:tcPr>
            <w:tcW w:w="393" w:type="pct"/>
            <w:tcBorders>
              <w:top w:val="nil"/>
              <w:left w:val="single" w:sz="4" w:space="0" w:color="auto"/>
              <w:bottom w:val="nil"/>
              <w:right w:val="single" w:sz="4" w:space="0" w:color="auto"/>
            </w:tcBorders>
            <w:noWrap/>
            <w:hideMark/>
          </w:tcPr>
          <w:p w14:paraId="440F9471" w14:textId="77777777" w:rsidR="00C15F2E" w:rsidRPr="00D96063" w:rsidRDefault="00C15F2E" w:rsidP="00053198">
            <w:pPr>
              <w:jc w:val="right"/>
              <w:rPr>
                <w:sz w:val="14"/>
              </w:rPr>
            </w:pPr>
            <w:r w:rsidRPr="00D96063">
              <w:rPr>
                <w:rFonts w:cs="Calibri"/>
                <w:sz w:val="14"/>
                <w:szCs w:val="14"/>
              </w:rPr>
              <w:t>2,472</w:t>
            </w:r>
          </w:p>
        </w:tc>
        <w:tc>
          <w:tcPr>
            <w:tcW w:w="470" w:type="pct"/>
            <w:tcBorders>
              <w:top w:val="nil"/>
              <w:left w:val="single" w:sz="4" w:space="0" w:color="auto"/>
              <w:bottom w:val="nil"/>
              <w:right w:val="single" w:sz="4" w:space="0" w:color="auto"/>
            </w:tcBorders>
            <w:noWrap/>
            <w:hideMark/>
          </w:tcPr>
          <w:p w14:paraId="24BE9B6E" w14:textId="77777777" w:rsidR="00C15F2E" w:rsidRPr="00D96063" w:rsidRDefault="00C15F2E" w:rsidP="00053198">
            <w:pPr>
              <w:jc w:val="right"/>
              <w:rPr>
                <w:sz w:val="14"/>
              </w:rPr>
            </w:pPr>
            <w:r w:rsidRPr="00D96063">
              <w:rPr>
                <w:sz w:val="14"/>
              </w:rPr>
              <w:t>2,518</w:t>
            </w:r>
          </w:p>
        </w:tc>
        <w:tc>
          <w:tcPr>
            <w:tcW w:w="477" w:type="pct"/>
            <w:tcBorders>
              <w:top w:val="nil"/>
              <w:left w:val="single" w:sz="4" w:space="0" w:color="auto"/>
              <w:bottom w:val="nil"/>
              <w:right w:val="single" w:sz="4" w:space="0" w:color="auto"/>
            </w:tcBorders>
            <w:noWrap/>
            <w:hideMark/>
          </w:tcPr>
          <w:p w14:paraId="3F5D7F69" w14:textId="77777777" w:rsidR="00C15F2E" w:rsidRPr="00D96063" w:rsidRDefault="00C15F2E" w:rsidP="002C1DC3">
            <w:pPr>
              <w:ind w:right="170"/>
              <w:jc w:val="right"/>
              <w:rPr>
                <w:sz w:val="14"/>
              </w:rPr>
            </w:pPr>
            <w:r w:rsidRPr="00D96063">
              <w:rPr>
                <w:sz w:val="14"/>
              </w:rPr>
              <w:t xml:space="preserve">0.7 </w:t>
            </w:r>
          </w:p>
        </w:tc>
        <w:tc>
          <w:tcPr>
            <w:tcW w:w="471" w:type="pct"/>
            <w:tcBorders>
              <w:top w:val="nil"/>
              <w:left w:val="single" w:sz="4" w:space="0" w:color="auto"/>
              <w:bottom w:val="nil"/>
              <w:right w:val="single" w:sz="4" w:space="0" w:color="auto"/>
            </w:tcBorders>
            <w:noWrap/>
            <w:hideMark/>
          </w:tcPr>
          <w:p w14:paraId="00EDBEAF" w14:textId="77777777" w:rsidR="00C15F2E" w:rsidRPr="00D96063" w:rsidRDefault="00C15F2E" w:rsidP="00053198">
            <w:pPr>
              <w:jc w:val="right"/>
              <w:rPr>
                <w:sz w:val="14"/>
              </w:rPr>
            </w:pPr>
            <w:r w:rsidRPr="00D96063">
              <w:rPr>
                <w:sz w:val="14"/>
              </w:rPr>
              <w:t>156.1</w:t>
            </w:r>
          </w:p>
        </w:tc>
        <w:tc>
          <w:tcPr>
            <w:tcW w:w="361" w:type="pct"/>
            <w:tcBorders>
              <w:top w:val="nil"/>
              <w:left w:val="single" w:sz="4" w:space="0" w:color="auto"/>
              <w:bottom w:val="nil"/>
              <w:right w:val="single" w:sz="4" w:space="0" w:color="auto"/>
            </w:tcBorders>
            <w:noWrap/>
            <w:hideMark/>
          </w:tcPr>
          <w:p w14:paraId="3BB8E364" w14:textId="77777777" w:rsidR="00C15F2E" w:rsidRPr="00D96063" w:rsidRDefault="00C15F2E" w:rsidP="00053198">
            <w:pPr>
              <w:jc w:val="right"/>
              <w:rPr>
                <w:sz w:val="14"/>
              </w:rPr>
            </w:pPr>
            <w:r w:rsidRPr="00D96063">
              <w:rPr>
                <w:sz w:val="14"/>
              </w:rPr>
              <w:t>1.7</w:t>
            </w:r>
          </w:p>
        </w:tc>
      </w:tr>
      <w:tr w:rsidR="00C15F2E" w:rsidRPr="00D96063" w14:paraId="6B37DA29" w14:textId="77777777" w:rsidTr="00053198">
        <w:trPr>
          <w:trHeight w:val="240"/>
        </w:trPr>
        <w:tc>
          <w:tcPr>
            <w:tcW w:w="548" w:type="pct"/>
            <w:tcBorders>
              <w:top w:val="nil"/>
              <w:left w:val="single" w:sz="4" w:space="0" w:color="auto"/>
              <w:bottom w:val="nil"/>
              <w:right w:val="single" w:sz="4" w:space="0" w:color="auto"/>
            </w:tcBorders>
            <w:noWrap/>
            <w:hideMark/>
          </w:tcPr>
          <w:p w14:paraId="55B29365" w14:textId="77777777" w:rsidR="00C15F2E" w:rsidRPr="00D96063" w:rsidRDefault="00C15F2E" w:rsidP="00053198">
            <w:pPr>
              <w:jc w:val="left"/>
              <w:rPr>
                <w:sz w:val="14"/>
              </w:rPr>
            </w:pPr>
            <w:r w:rsidRPr="00D96063">
              <w:rPr>
                <w:sz w:val="14"/>
              </w:rPr>
              <w:t>Maize</w:t>
            </w:r>
          </w:p>
        </w:tc>
        <w:tc>
          <w:tcPr>
            <w:tcW w:w="313" w:type="pct"/>
            <w:tcBorders>
              <w:top w:val="nil"/>
              <w:left w:val="single" w:sz="4" w:space="0" w:color="auto"/>
              <w:bottom w:val="nil"/>
              <w:right w:val="single" w:sz="4" w:space="0" w:color="auto"/>
            </w:tcBorders>
            <w:noWrap/>
            <w:hideMark/>
          </w:tcPr>
          <w:p w14:paraId="3ECD74B0" w14:textId="77777777" w:rsidR="00C15F2E" w:rsidRPr="00D96063" w:rsidRDefault="00C15F2E" w:rsidP="00053198">
            <w:pPr>
              <w:ind w:left="-57" w:right="-57"/>
              <w:jc w:val="right"/>
              <w:rPr>
                <w:sz w:val="14"/>
              </w:rPr>
            </w:pPr>
            <w:r w:rsidRPr="00D96063">
              <w:rPr>
                <w:sz w:val="14"/>
              </w:rPr>
              <w:t>1,762</w:t>
            </w:r>
          </w:p>
        </w:tc>
        <w:tc>
          <w:tcPr>
            <w:tcW w:w="393" w:type="pct"/>
            <w:tcBorders>
              <w:top w:val="nil"/>
              <w:left w:val="single" w:sz="4" w:space="0" w:color="auto"/>
              <w:bottom w:val="nil"/>
              <w:right w:val="single" w:sz="4" w:space="0" w:color="auto"/>
            </w:tcBorders>
            <w:noWrap/>
            <w:hideMark/>
          </w:tcPr>
          <w:p w14:paraId="6B026C76" w14:textId="77777777" w:rsidR="00C15F2E" w:rsidRPr="00D96063" w:rsidRDefault="00C15F2E" w:rsidP="00053198">
            <w:pPr>
              <w:jc w:val="right"/>
              <w:rPr>
                <w:sz w:val="14"/>
              </w:rPr>
            </w:pPr>
            <w:r w:rsidRPr="00D96063">
              <w:rPr>
                <w:sz w:val="14"/>
              </w:rPr>
              <w:t>1,692</w:t>
            </w:r>
          </w:p>
        </w:tc>
        <w:tc>
          <w:tcPr>
            <w:tcW w:w="394" w:type="pct"/>
            <w:tcBorders>
              <w:top w:val="nil"/>
              <w:left w:val="single" w:sz="4" w:space="0" w:color="auto"/>
              <w:bottom w:val="nil"/>
              <w:right w:val="single" w:sz="4" w:space="0" w:color="auto"/>
            </w:tcBorders>
            <w:noWrap/>
            <w:hideMark/>
          </w:tcPr>
          <w:p w14:paraId="5707D39E" w14:textId="77777777" w:rsidR="00C15F2E" w:rsidRPr="00D96063" w:rsidRDefault="00C15F2E" w:rsidP="00053198">
            <w:pPr>
              <w:jc w:val="right"/>
              <w:rPr>
                <w:sz w:val="14"/>
              </w:rPr>
            </w:pPr>
            <w:r w:rsidRPr="00D96063">
              <w:rPr>
                <w:sz w:val="14"/>
              </w:rPr>
              <w:t>1,722</w:t>
            </w:r>
          </w:p>
        </w:tc>
        <w:tc>
          <w:tcPr>
            <w:tcW w:w="393" w:type="pct"/>
            <w:tcBorders>
              <w:top w:val="nil"/>
              <w:left w:val="single" w:sz="4" w:space="0" w:color="auto"/>
              <w:bottom w:val="nil"/>
              <w:right w:val="single" w:sz="4" w:space="0" w:color="auto"/>
            </w:tcBorders>
            <w:noWrap/>
            <w:hideMark/>
          </w:tcPr>
          <w:p w14:paraId="624E2BD7" w14:textId="77777777" w:rsidR="00C15F2E" w:rsidRPr="00D96063" w:rsidRDefault="00C15F2E" w:rsidP="00053198">
            <w:pPr>
              <w:jc w:val="right"/>
              <w:rPr>
                <w:sz w:val="14"/>
              </w:rPr>
            </w:pPr>
            <w:r w:rsidRPr="00D96063">
              <w:rPr>
                <w:sz w:val="14"/>
              </w:rPr>
              <w:t>2,011</w:t>
            </w:r>
          </w:p>
        </w:tc>
        <w:tc>
          <w:tcPr>
            <w:tcW w:w="393" w:type="pct"/>
            <w:tcBorders>
              <w:top w:val="nil"/>
              <w:left w:val="single" w:sz="4" w:space="0" w:color="auto"/>
              <w:bottom w:val="nil"/>
              <w:right w:val="single" w:sz="4" w:space="0" w:color="auto"/>
            </w:tcBorders>
            <w:noWrap/>
            <w:hideMark/>
          </w:tcPr>
          <w:p w14:paraId="6BF4AFF8" w14:textId="77777777" w:rsidR="00C15F2E" w:rsidRPr="00D96063" w:rsidRDefault="00C15F2E" w:rsidP="00053198">
            <w:pPr>
              <w:jc w:val="right"/>
              <w:rPr>
                <w:sz w:val="14"/>
              </w:rPr>
            </w:pPr>
            <w:r w:rsidRPr="00D96063">
              <w:rPr>
                <w:sz w:val="14"/>
              </w:rPr>
              <w:t>2,306</w:t>
            </w:r>
          </w:p>
        </w:tc>
        <w:tc>
          <w:tcPr>
            <w:tcW w:w="393" w:type="pct"/>
            <w:tcBorders>
              <w:top w:val="nil"/>
              <w:left w:val="single" w:sz="4" w:space="0" w:color="auto"/>
              <w:bottom w:val="nil"/>
              <w:right w:val="single" w:sz="4" w:space="0" w:color="auto"/>
            </w:tcBorders>
            <w:noWrap/>
            <w:hideMark/>
          </w:tcPr>
          <w:p w14:paraId="250FA745" w14:textId="77777777" w:rsidR="00C15F2E" w:rsidRPr="00D96063" w:rsidRDefault="00C15F2E" w:rsidP="00053198">
            <w:pPr>
              <w:ind w:left="-57" w:right="-57"/>
              <w:jc w:val="right"/>
              <w:rPr>
                <w:sz w:val="14"/>
              </w:rPr>
            </w:pPr>
            <w:r w:rsidRPr="00D96063">
              <w:rPr>
                <w:sz w:val="14"/>
              </w:rPr>
              <w:t>2,760</w:t>
            </w:r>
          </w:p>
        </w:tc>
        <w:tc>
          <w:tcPr>
            <w:tcW w:w="393" w:type="pct"/>
            <w:tcBorders>
              <w:top w:val="nil"/>
              <w:left w:val="single" w:sz="4" w:space="0" w:color="auto"/>
              <w:bottom w:val="nil"/>
              <w:right w:val="single" w:sz="4" w:space="0" w:color="auto"/>
            </w:tcBorders>
            <w:noWrap/>
            <w:hideMark/>
          </w:tcPr>
          <w:p w14:paraId="6490C460" w14:textId="77777777" w:rsidR="00C15F2E" w:rsidRPr="00D96063" w:rsidRDefault="00C15F2E" w:rsidP="00053198">
            <w:pPr>
              <w:jc w:val="right"/>
              <w:rPr>
                <w:sz w:val="14"/>
              </w:rPr>
            </w:pPr>
            <w:r w:rsidRPr="00D96063">
              <w:rPr>
                <w:rFonts w:cs="Calibri"/>
                <w:sz w:val="14"/>
                <w:szCs w:val="14"/>
              </w:rPr>
              <w:t>3,071</w:t>
            </w:r>
          </w:p>
        </w:tc>
        <w:tc>
          <w:tcPr>
            <w:tcW w:w="470" w:type="pct"/>
            <w:tcBorders>
              <w:top w:val="nil"/>
              <w:left w:val="single" w:sz="4" w:space="0" w:color="auto"/>
              <w:bottom w:val="nil"/>
              <w:right w:val="single" w:sz="4" w:space="0" w:color="auto"/>
            </w:tcBorders>
            <w:noWrap/>
            <w:hideMark/>
          </w:tcPr>
          <w:p w14:paraId="20CA8D90" w14:textId="77777777" w:rsidR="00C15F2E" w:rsidRPr="00D96063" w:rsidRDefault="00C15F2E" w:rsidP="00053198">
            <w:pPr>
              <w:jc w:val="right"/>
              <w:rPr>
                <w:sz w:val="14"/>
              </w:rPr>
            </w:pPr>
            <w:r w:rsidRPr="00D96063">
              <w:rPr>
                <w:sz w:val="14"/>
              </w:rPr>
              <w:t>2,042</w:t>
            </w:r>
          </w:p>
        </w:tc>
        <w:tc>
          <w:tcPr>
            <w:tcW w:w="477" w:type="pct"/>
            <w:tcBorders>
              <w:top w:val="nil"/>
              <w:left w:val="single" w:sz="4" w:space="0" w:color="auto"/>
              <w:bottom w:val="nil"/>
              <w:right w:val="single" w:sz="4" w:space="0" w:color="auto"/>
            </w:tcBorders>
            <w:noWrap/>
            <w:hideMark/>
          </w:tcPr>
          <w:p w14:paraId="15A59C5D" w14:textId="77777777" w:rsidR="00C15F2E" w:rsidRPr="00D96063" w:rsidRDefault="00C15F2E" w:rsidP="002C1DC3">
            <w:pPr>
              <w:ind w:right="170"/>
              <w:jc w:val="right"/>
              <w:rPr>
                <w:sz w:val="14"/>
              </w:rPr>
            </w:pPr>
            <w:r w:rsidRPr="00D96063">
              <w:rPr>
                <w:sz w:val="14"/>
              </w:rPr>
              <w:t xml:space="preserve">0.2 </w:t>
            </w:r>
          </w:p>
        </w:tc>
        <w:tc>
          <w:tcPr>
            <w:tcW w:w="471" w:type="pct"/>
            <w:tcBorders>
              <w:top w:val="nil"/>
              <w:left w:val="single" w:sz="4" w:space="0" w:color="auto"/>
              <w:bottom w:val="nil"/>
              <w:right w:val="single" w:sz="4" w:space="0" w:color="auto"/>
            </w:tcBorders>
            <w:noWrap/>
            <w:hideMark/>
          </w:tcPr>
          <w:p w14:paraId="0D6C6777" w14:textId="77777777" w:rsidR="00C15F2E" w:rsidRPr="00D96063" w:rsidRDefault="00C15F2E" w:rsidP="00053198">
            <w:pPr>
              <w:jc w:val="right"/>
              <w:rPr>
                <w:sz w:val="14"/>
              </w:rPr>
            </w:pPr>
            <w:r w:rsidRPr="00D96063">
              <w:rPr>
                <w:sz w:val="14"/>
              </w:rPr>
              <w:t>550.0</w:t>
            </w:r>
          </w:p>
        </w:tc>
        <w:tc>
          <w:tcPr>
            <w:tcW w:w="361" w:type="pct"/>
            <w:tcBorders>
              <w:top w:val="nil"/>
              <w:left w:val="single" w:sz="4" w:space="0" w:color="auto"/>
              <w:bottom w:val="nil"/>
              <w:right w:val="single" w:sz="4" w:space="0" w:color="auto"/>
            </w:tcBorders>
            <w:noWrap/>
            <w:hideMark/>
          </w:tcPr>
          <w:p w14:paraId="12CA053E" w14:textId="77777777" w:rsidR="00C15F2E" w:rsidRPr="00D96063" w:rsidRDefault="00C15F2E" w:rsidP="00053198">
            <w:pPr>
              <w:jc w:val="right"/>
              <w:rPr>
                <w:sz w:val="14"/>
              </w:rPr>
            </w:pPr>
            <w:r w:rsidRPr="00D96063">
              <w:rPr>
                <w:sz w:val="14"/>
              </w:rPr>
              <w:t>9.4</w:t>
            </w:r>
          </w:p>
        </w:tc>
      </w:tr>
      <w:tr w:rsidR="00C15F2E" w:rsidRPr="00D96063" w14:paraId="40882682"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58B95167" w14:textId="77777777" w:rsidR="00C15F2E" w:rsidRPr="00D96063" w:rsidRDefault="00C15F2E" w:rsidP="00053198">
            <w:pPr>
              <w:jc w:val="left"/>
              <w:rPr>
                <w:sz w:val="14"/>
              </w:rPr>
            </w:pPr>
            <w:r w:rsidRPr="00D96063">
              <w:rPr>
                <w:sz w:val="14"/>
              </w:rPr>
              <w:t>Taro (cocoyam)</w:t>
            </w:r>
          </w:p>
        </w:tc>
        <w:tc>
          <w:tcPr>
            <w:tcW w:w="313" w:type="pct"/>
            <w:tcBorders>
              <w:top w:val="nil"/>
              <w:left w:val="single" w:sz="4" w:space="0" w:color="auto"/>
              <w:bottom w:val="nil"/>
              <w:right w:val="single" w:sz="4" w:space="0" w:color="auto"/>
            </w:tcBorders>
            <w:noWrap/>
            <w:hideMark/>
          </w:tcPr>
          <w:p w14:paraId="5874B5A8" w14:textId="77777777" w:rsidR="00C15F2E" w:rsidRPr="00D96063" w:rsidRDefault="00C15F2E" w:rsidP="00053198">
            <w:pPr>
              <w:ind w:left="-57" w:right="-57"/>
              <w:jc w:val="right"/>
              <w:rPr>
                <w:sz w:val="14"/>
              </w:rPr>
            </w:pPr>
            <w:r w:rsidRPr="00D96063">
              <w:rPr>
                <w:sz w:val="14"/>
              </w:rPr>
              <w:t>1,299</w:t>
            </w:r>
          </w:p>
        </w:tc>
        <w:tc>
          <w:tcPr>
            <w:tcW w:w="393" w:type="pct"/>
            <w:tcBorders>
              <w:top w:val="nil"/>
              <w:left w:val="single" w:sz="4" w:space="0" w:color="auto"/>
              <w:bottom w:val="nil"/>
              <w:right w:val="single" w:sz="4" w:space="0" w:color="auto"/>
            </w:tcBorders>
            <w:noWrap/>
            <w:hideMark/>
          </w:tcPr>
          <w:p w14:paraId="1069D4B0" w14:textId="77777777" w:rsidR="00C15F2E" w:rsidRPr="00D96063" w:rsidRDefault="00C15F2E" w:rsidP="00053198">
            <w:pPr>
              <w:jc w:val="right"/>
              <w:rPr>
                <w:sz w:val="14"/>
              </w:rPr>
            </w:pPr>
            <w:r w:rsidRPr="00D96063">
              <w:rPr>
                <w:sz w:val="14"/>
              </w:rPr>
              <w:t>1,301</w:t>
            </w:r>
          </w:p>
        </w:tc>
        <w:tc>
          <w:tcPr>
            <w:tcW w:w="394" w:type="pct"/>
            <w:tcBorders>
              <w:top w:val="nil"/>
              <w:left w:val="single" w:sz="4" w:space="0" w:color="auto"/>
              <w:bottom w:val="nil"/>
              <w:right w:val="single" w:sz="4" w:space="0" w:color="auto"/>
            </w:tcBorders>
            <w:noWrap/>
            <w:hideMark/>
          </w:tcPr>
          <w:p w14:paraId="47111192" w14:textId="77777777" w:rsidR="00C15F2E" w:rsidRPr="00D96063" w:rsidRDefault="00C15F2E" w:rsidP="00053198">
            <w:pPr>
              <w:jc w:val="right"/>
              <w:rPr>
                <w:sz w:val="14"/>
              </w:rPr>
            </w:pPr>
            <w:r w:rsidRPr="00D96063">
              <w:rPr>
                <w:sz w:val="14"/>
              </w:rPr>
              <w:t>1,301</w:t>
            </w:r>
          </w:p>
        </w:tc>
        <w:tc>
          <w:tcPr>
            <w:tcW w:w="393" w:type="pct"/>
            <w:tcBorders>
              <w:top w:val="nil"/>
              <w:left w:val="single" w:sz="4" w:space="0" w:color="auto"/>
              <w:bottom w:val="nil"/>
              <w:right w:val="single" w:sz="4" w:space="0" w:color="auto"/>
            </w:tcBorders>
            <w:noWrap/>
            <w:hideMark/>
          </w:tcPr>
          <w:p w14:paraId="74DBD944" w14:textId="77777777" w:rsidR="00C15F2E" w:rsidRPr="00D96063" w:rsidRDefault="00C15F2E" w:rsidP="00053198">
            <w:pPr>
              <w:jc w:val="right"/>
              <w:rPr>
                <w:sz w:val="14"/>
              </w:rPr>
            </w:pPr>
            <w:r w:rsidRPr="00D96063">
              <w:rPr>
                <w:sz w:val="14"/>
              </w:rPr>
              <w:t>1,387</w:t>
            </w:r>
          </w:p>
        </w:tc>
        <w:tc>
          <w:tcPr>
            <w:tcW w:w="393" w:type="pct"/>
            <w:tcBorders>
              <w:top w:val="nil"/>
              <w:left w:val="single" w:sz="4" w:space="0" w:color="auto"/>
              <w:bottom w:val="nil"/>
              <w:right w:val="single" w:sz="4" w:space="0" w:color="auto"/>
            </w:tcBorders>
            <w:noWrap/>
            <w:hideMark/>
          </w:tcPr>
          <w:p w14:paraId="312AEDA1" w14:textId="77777777" w:rsidR="00C15F2E" w:rsidRPr="00D96063" w:rsidRDefault="00C15F2E" w:rsidP="00053198">
            <w:pPr>
              <w:jc w:val="right"/>
              <w:rPr>
                <w:sz w:val="14"/>
              </w:rPr>
            </w:pPr>
            <w:r w:rsidRPr="00D96063">
              <w:rPr>
                <w:sz w:val="14"/>
              </w:rPr>
              <w:t>1,461</w:t>
            </w:r>
          </w:p>
        </w:tc>
        <w:tc>
          <w:tcPr>
            <w:tcW w:w="393" w:type="pct"/>
            <w:tcBorders>
              <w:top w:val="nil"/>
              <w:left w:val="single" w:sz="4" w:space="0" w:color="auto"/>
              <w:bottom w:val="nil"/>
              <w:right w:val="single" w:sz="4" w:space="0" w:color="auto"/>
            </w:tcBorders>
            <w:noWrap/>
            <w:hideMark/>
          </w:tcPr>
          <w:p w14:paraId="56EB10EE" w14:textId="77777777" w:rsidR="00C15F2E" w:rsidRPr="00D96063" w:rsidRDefault="00C15F2E" w:rsidP="00053198">
            <w:pPr>
              <w:ind w:left="-57" w:right="-57"/>
              <w:jc w:val="right"/>
              <w:rPr>
                <w:sz w:val="14"/>
              </w:rPr>
            </w:pPr>
            <w:r w:rsidRPr="00D96063">
              <w:rPr>
                <w:sz w:val="14"/>
              </w:rPr>
              <w:t>1,518</w:t>
            </w:r>
          </w:p>
        </w:tc>
        <w:tc>
          <w:tcPr>
            <w:tcW w:w="393" w:type="pct"/>
            <w:tcBorders>
              <w:top w:val="nil"/>
              <w:left w:val="single" w:sz="4" w:space="0" w:color="auto"/>
              <w:bottom w:val="nil"/>
              <w:right w:val="single" w:sz="4" w:space="0" w:color="auto"/>
            </w:tcBorders>
            <w:noWrap/>
            <w:hideMark/>
          </w:tcPr>
          <w:p w14:paraId="12F55354" w14:textId="77777777" w:rsidR="00C15F2E" w:rsidRPr="00D96063" w:rsidRDefault="00C15F2E" w:rsidP="00053198">
            <w:pPr>
              <w:jc w:val="right"/>
              <w:rPr>
                <w:sz w:val="14"/>
              </w:rPr>
            </w:pPr>
            <w:r w:rsidRPr="00D96063">
              <w:rPr>
                <w:rFonts w:cs="Calibri"/>
                <w:sz w:val="14"/>
                <w:szCs w:val="14"/>
              </w:rPr>
              <w:t>1,596</w:t>
            </w:r>
          </w:p>
        </w:tc>
        <w:tc>
          <w:tcPr>
            <w:tcW w:w="470" w:type="pct"/>
            <w:tcBorders>
              <w:top w:val="nil"/>
              <w:left w:val="single" w:sz="4" w:space="0" w:color="auto"/>
              <w:bottom w:val="nil"/>
              <w:right w:val="single" w:sz="4" w:space="0" w:color="auto"/>
            </w:tcBorders>
            <w:noWrap/>
            <w:hideMark/>
          </w:tcPr>
          <w:p w14:paraId="688A8153" w14:textId="77777777" w:rsidR="00C15F2E" w:rsidRPr="00D96063" w:rsidRDefault="00C15F2E" w:rsidP="00053198">
            <w:pPr>
              <w:jc w:val="right"/>
              <w:rPr>
                <w:sz w:val="14"/>
              </w:rPr>
            </w:pPr>
            <w:r w:rsidRPr="00D96063">
              <w:rPr>
                <w:sz w:val="14"/>
              </w:rPr>
              <w:t>1,378</w:t>
            </w:r>
          </w:p>
        </w:tc>
        <w:tc>
          <w:tcPr>
            <w:tcW w:w="477" w:type="pct"/>
            <w:tcBorders>
              <w:top w:val="nil"/>
              <w:left w:val="single" w:sz="4" w:space="0" w:color="auto"/>
              <w:bottom w:val="nil"/>
              <w:right w:val="single" w:sz="4" w:space="0" w:color="auto"/>
            </w:tcBorders>
            <w:noWrap/>
            <w:hideMark/>
          </w:tcPr>
          <w:p w14:paraId="249035C1" w14:textId="77777777" w:rsidR="00C15F2E" w:rsidRPr="00D96063" w:rsidRDefault="00C15F2E" w:rsidP="002C1DC3">
            <w:pPr>
              <w:ind w:right="170"/>
              <w:jc w:val="right"/>
              <w:rPr>
                <w:sz w:val="14"/>
              </w:rPr>
            </w:pPr>
            <w:r w:rsidRPr="00D96063">
              <w:rPr>
                <w:sz w:val="14"/>
              </w:rPr>
              <w:t xml:space="preserve">13.2 </w:t>
            </w:r>
          </w:p>
        </w:tc>
        <w:tc>
          <w:tcPr>
            <w:tcW w:w="471" w:type="pct"/>
            <w:tcBorders>
              <w:top w:val="nil"/>
              <w:left w:val="single" w:sz="4" w:space="0" w:color="auto"/>
              <w:bottom w:val="nil"/>
              <w:right w:val="single" w:sz="4" w:space="0" w:color="auto"/>
            </w:tcBorders>
            <w:noWrap/>
            <w:hideMark/>
          </w:tcPr>
          <w:p w14:paraId="4B6AF678" w14:textId="77777777" w:rsidR="00C15F2E" w:rsidRPr="00D96063" w:rsidRDefault="00C15F2E" w:rsidP="00053198">
            <w:pPr>
              <w:jc w:val="right"/>
              <w:rPr>
                <w:sz w:val="14"/>
              </w:rPr>
            </w:pPr>
            <w:r w:rsidRPr="00D96063">
              <w:rPr>
                <w:sz w:val="14"/>
              </w:rPr>
              <w:t>441.0</w:t>
            </w:r>
          </w:p>
        </w:tc>
        <w:tc>
          <w:tcPr>
            <w:tcW w:w="361" w:type="pct"/>
            <w:tcBorders>
              <w:top w:val="nil"/>
              <w:left w:val="single" w:sz="4" w:space="0" w:color="auto"/>
              <w:bottom w:val="nil"/>
              <w:right w:val="single" w:sz="4" w:space="0" w:color="auto"/>
            </w:tcBorders>
            <w:noWrap/>
            <w:hideMark/>
          </w:tcPr>
          <w:p w14:paraId="617E2CC3" w14:textId="77777777" w:rsidR="00C15F2E" w:rsidRPr="00D96063" w:rsidRDefault="00C15F2E" w:rsidP="00053198">
            <w:pPr>
              <w:jc w:val="right"/>
              <w:rPr>
                <w:sz w:val="14"/>
              </w:rPr>
            </w:pPr>
            <w:r w:rsidRPr="00D96063">
              <w:rPr>
                <w:sz w:val="14"/>
              </w:rPr>
              <w:t>3.2</w:t>
            </w:r>
          </w:p>
        </w:tc>
      </w:tr>
      <w:tr w:rsidR="00C15F2E" w:rsidRPr="00D96063" w14:paraId="50DA7B23" w14:textId="77777777" w:rsidTr="00053198">
        <w:trPr>
          <w:trHeight w:val="240"/>
        </w:trPr>
        <w:tc>
          <w:tcPr>
            <w:tcW w:w="548" w:type="pct"/>
            <w:tcBorders>
              <w:top w:val="nil"/>
              <w:left w:val="single" w:sz="4" w:space="0" w:color="auto"/>
              <w:bottom w:val="nil"/>
              <w:right w:val="single" w:sz="4" w:space="0" w:color="auto"/>
            </w:tcBorders>
            <w:noWrap/>
            <w:hideMark/>
          </w:tcPr>
          <w:p w14:paraId="423A11C2" w14:textId="77777777" w:rsidR="00C15F2E" w:rsidRPr="00D96063" w:rsidRDefault="00C15F2E" w:rsidP="00053198">
            <w:pPr>
              <w:jc w:val="left"/>
              <w:rPr>
                <w:sz w:val="14"/>
              </w:rPr>
            </w:pPr>
            <w:r w:rsidRPr="00D96063">
              <w:rPr>
                <w:sz w:val="14"/>
              </w:rPr>
              <w:t>Cocoa beans</w:t>
            </w:r>
          </w:p>
        </w:tc>
        <w:tc>
          <w:tcPr>
            <w:tcW w:w="313" w:type="pct"/>
            <w:tcBorders>
              <w:top w:val="nil"/>
              <w:left w:val="single" w:sz="4" w:space="0" w:color="auto"/>
              <w:bottom w:val="nil"/>
              <w:right w:val="single" w:sz="4" w:space="0" w:color="auto"/>
            </w:tcBorders>
            <w:noWrap/>
            <w:hideMark/>
          </w:tcPr>
          <w:p w14:paraId="48C812B9" w14:textId="77777777" w:rsidR="00C15F2E" w:rsidRPr="00D96063" w:rsidRDefault="00C15F2E" w:rsidP="00053198">
            <w:pPr>
              <w:jc w:val="right"/>
              <w:rPr>
                <w:sz w:val="14"/>
              </w:rPr>
            </w:pPr>
            <w:r w:rsidRPr="00D96063">
              <w:rPr>
                <w:sz w:val="14"/>
              </w:rPr>
              <w:t>859</w:t>
            </w:r>
          </w:p>
        </w:tc>
        <w:tc>
          <w:tcPr>
            <w:tcW w:w="393" w:type="pct"/>
            <w:tcBorders>
              <w:top w:val="nil"/>
              <w:left w:val="single" w:sz="4" w:space="0" w:color="auto"/>
              <w:bottom w:val="nil"/>
              <w:right w:val="single" w:sz="4" w:space="0" w:color="auto"/>
            </w:tcBorders>
            <w:noWrap/>
            <w:hideMark/>
          </w:tcPr>
          <w:p w14:paraId="3E83157B" w14:textId="77777777" w:rsidR="00C15F2E" w:rsidRPr="00D96063" w:rsidRDefault="00C15F2E" w:rsidP="00053198">
            <w:pPr>
              <w:jc w:val="right"/>
              <w:rPr>
                <w:sz w:val="14"/>
              </w:rPr>
            </w:pPr>
            <w:r w:rsidRPr="00D96063">
              <w:rPr>
                <w:sz w:val="14"/>
              </w:rPr>
              <w:t>859</w:t>
            </w:r>
          </w:p>
        </w:tc>
        <w:tc>
          <w:tcPr>
            <w:tcW w:w="394" w:type="pct"/>
            <w:tcBorders>
              <w:top w:val="nil"/>
              <w:left w:val="single" w:sz="4" w:space="0" w:color="auto"/>
              <w:bottom w:val="nil"/>
              <w:right w:val="single" w:sz="4" w:space="0" w:color="auto"/>
            </w:tcBorders>
            <w:noWrap/>
            <w:hideMark/>
          </w:tcPr>
          <w:p w14:paraId="45DBD418" w14:textId="77777777" w:rsidR="00C15F2E" w:rsidRPr="00D96063" w:rsidRDefault="00C15F2E" w:rsidP="00053198">
            <w:pPr>
              <w:jc w:val="right"/>
              <w:rPr>
                <w:sz w:val="14"/>
              </w:rPr>
            </w:pPr>
            <w:r w:rsidRPr="00D96063">
              <w:rPr>
                <w:sz w:val="14"/>
              </w:rPr>
              <w:t>859</w:t>
            </w:r>
          </w:p>
        </w:tc>
        <w:tc>
          <w:tcPr>
            <w:tcW w:w="393" w:type="pct"/>
            <w:tcBorders>
              <w:top w:val="nil"/>
              <w:left w:val="single" w:sz="4" w:space="0" w:color="auto"/>
              <w:bottom w:val="nil"/>
              <w:right w:val="single" w:sz="4" w:space="0" w:color="auto"/>
            </w:tcBorders>
            <w:noWrap/>
            <w:hideMark/>
          </w:tcPr>
          <w:p w14:paraId="1D647057" w14:textId="77777777" w:rsidR="00C15F2E" w:rsidRPr="00D96063" w:rsidRDefault="00C15F2E" w:rsidP="00053198">
            <w:pPr>
              <w:jc w:val="right"/>
              <w:rPr>
                <w:sz w:val="14"/>
              </w:rPr>
            </w:pPr>
            <w:r w:rsidRPr="00D96063">
              <w:rPr>
                <w:sz w:val="14"/>
              </w:rPr>
              <w:t>969</w:t>
            </w:r>
          </w:p>
        </w:tc>
        <w:tc>
          <w:tcPr>
            <w:tcW w:w="393" w:type="pct"/>
            <w:tcBorders>
              <w:top w:val="nil"/>
              <w:left w:val="single" w:sz="4" w:space="0" w:color="auto"/>
              <w:bottom w:val="nil"/>
              <w:right w:val="single" w:sz="4" w:space="0" w:color="auto"/>
            </w:tcBorders>
            <w:noWrap/>
            <w:hideMark/>
          </w:tcPr>
          <w:p w14:paraId="3136885B" w14:textId="77777777" w:rsidR="00C15F2E" w:rsidRPr="00D96063" w:rsidRDefault="00C15F2E" w:rsidP="00053198">
            <w:pPr>
              <w:jc w:val="right"/>
              <w:rPr>
                <w:sz w:val="14"/>
              </w:rPr>
            </w:pPr>
            <w:r w:rsidRPr="00D96063">
              <w:rPr>
                <w:sz w:val="14"/>
              </w:rPr>
              <w:t>905</w:t>
            </w:r>
          </w:p>
        </w:tc>
        <w:tc>
          <w:tcPr>
            <w:tcW w:w="393" w:type="pct"/>
            <w:tcBorders>
              <w:top w:val="nil"/>
              <w:left w:val="single" w:sz="4" w:space="0" w:color="auto"/>
              <w:bottom w:val="nil"/>
              <w:right w:val="single" w:sz="4" w:space="0" w:color="auto"/>
            </w:tcBorders>
            <w:noWrap/>
            <w:hideMark/>
          </w:tcPr>
          <w:p w14:paraId="1419E13B" w14:textId="77777777" w:rsidR="00C15F2E" w:rsidRPr="00D96063" w:rsidRDefault="00C15F2E" w:rsidP="00053198">
            <w:pPr>
              <w:jc w:val="right"/>
              <w:rPr>
                <w:sz w:val="14"/>
              </w:rPr>
            </w:pPr>
            <w:r w:rsidRPr="00D96063">
              <w:rPr>
                <w:sz w:val="14"/>
              </w:rPr>
              <w:t>812</w:t>
            </w:r>
          </w:p>
        </w:tc>
        <w:tc>
          <w:tcPr>
            <w:tcW w:w="393" w:type="pct"/>
            <w:tcBorders>
              <w:top w:val="nil"/>
              <w:left w:val="single" w:sz="4" w:space="0" w:color="auto"/>
              <w:bottom w:val="nil"/>
              <w:right w:val="single" w:sz="4" w:space="0" w:color="auto"/>
            </w:tcBorders>
            <w:noWrap/>
            <w:hideMark/>
          </w:tcPr>
          <w:p w14:paraId="3FE24390"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nil"/>
              <w:right w:val="single" w:sz="4" w:space="0" w:color="auto"/>
            </w:tcBorders>
            <w:noWrap/>
            <w:hideMark/>
          </w:tcPr>
          <w:p w14:paraId="6646CED1" w14:textId="77777777" w:rsidR="00C15F2E" w:rsidRPr="00D96063" w:rsidRDefault="00C15F2E" w:rsidP="00053198">
            <w:pPr>
              <w:jc w:val="right"/>
              <w:rPr>
                <w:sz w:val="14"/>
              </w:rPr>
            </w:pPr>
            <w:r w:rsidRPr="00D96063">
              <w:rPr>
                <w:sz w:val="14"/>
              </w:rPr>
              <w:t>877</w:t>
            </w:r>
          </w:p>
        </w:tc>
        <w:tc>
          <w:tcPr>
            <w:tcW w:w="477" w:type="pct"/>
            <w:tcBorders>
              <w:top w:val="nil"/>
              <w:left w:val="single" w:sz="4" w:space="0" w:color="auto"/>
              <w:bottom w:val="nil"/>
              <w:right w:val="single" w:sz="4" w:space="0" w:color="auto"/>
            </w:tcBorders>
            <w:noWrap/>
            <w:hideMark/>
          </w:tcPr>
          <w:p w14:paraId="45790A28" w14:textId="77777777" w:rsidR="00C15F2E" w:rsidRPr="00D96063" w:rsidRDefault="00C15F2E" w:rsidP="002C1DC3">
            <w:pPr>
              <w:ind w:right="170"/>
              <w:jc w:val="right"/>
              <w:rPr>
                <w:sz w:val="14"/>
              </w:rPr>
            </w:pPr>
            <w:r w:rsidRPr="00D96063">
              <w:rPr>
                <w:sz w:val="14"/>
              </w:rPr>
              <w:t xml:space="preserve">17.2 </w:t>
            </w:r>
          </w:p>
        </w:tc>
        <w:tc>
          <w:tcPr>
            <w:tcW w:w="471" w:type="pct"/>
            <w:tcBorders>
              <w:top w:val="nil"/>
              <w:left w:val="single" w:sz="4" w:space="0" w:color="auto"/>
              <w:bottom w:val="nil"/>
              <w:right w:val="single" w:sz="4" w:space="0" w:color="auto"/>
            </w:tcBorders>
            <w:noWrap/>
            <w:hideMark/>
          </w:tcPr>
          <w:p w14:paraId="4F877F64" w14:textId="77777777" w:rsidR="00C15F2E" w:rsidRPr="00D96063" w:rsidRDefault="00C15F2E" w:rsidP="00053198">
            <w:pPr>
              <w:jc w:val="right"/>
              <w:rPr>
                <w:sz w:val="14"/>
              </w:rPr>
            </w:pPr>
            <w:r w:rsidRPr="00D96063">
              <w:rPr>
                <w:sz w:val="14"/>
              </w:rPr>
              <w:t>753.7</w:t>
            </w:r>
          </w:p>
        </w:tc>
        <w:tc>
          <w:tcPr>
            <w:tcW w:w="361" w:type="pct"/>
            <w:tcBorders>
              <w:top w:val="nil"/>
              <w:left w:val="single" w:sz="4" w:space="0" w:color="auto"/>
              <w:bottom w:val="nil"/>
              <w:right w:val="single" w:sz="4" w:space="0" w:color="auto"/>
            </w:tcBorders>
            <w:noWrap/>
            <w:hideMark/>
          </w:tcPr>
          <w:p w14:paraId="1C2EF785" w14:textId="77777777" w:rsidR="00C15F2E" w:rsidRPr="00D96063" w:rsidRDefault="00C15F2E" w:rsidP="00053198">
            <w:pPr>
              <w:jc w:val="right"/>
              <w:rPr>
                <w:sz w:val="14"/>
              </w:rPr>
            </w:pPr>
            <w:r w:rsidRPr="00D96063">
              <w:rPr>
                <w:sz w:val="14"/>
              </w:rPr>
              <w:t>-1.1</w:t>
            </w:r>
          </w:p>
        </w:tc>
      </w:tr>
      <w:tr w:rsidR="00C15F2E" w:rsidRPr="00D96063" w14:paraId="54A9FE94"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68B2D50A" w14:textId="77777777" w:rsidR="00C15F2E" w:rsidRPr="00D96063" w:rsidRDefault="00C15F2E" w:rsidP="00053198">
            <w:pPr>
              <w:jc w:val="left"/>
              <w:rPr>
                <w:sz w:val="14"/>
              </w:rPr>
            </w:pPr>
            <w:r w:rsidRPr="00D96063">
              <w:rPr>
                <w:sz w:val="14"/>
              </w:rPr>
              <w:t>Paddy rice</w:t>
            </w:r>
          </w:p>
        </w:tc>
        <w:tc>
          <w:tcPr>
            <w:tcW w:w="313" w:type="pct"/>
            <w:tcBorders>
              <w:top w:val="nil"/>
              <w:left w:val="single" w:sz="4" w:space="0" w:color="auto"/>
              <w:bottom w:val="nil"/>
              <w:right w:val="single" w:sz="4" w:space="0" w:color="auto"/>
            </w:tcBorders>
            <w:noWrap/>
            <w:hideMark/>
          </w:tcPr>
          <w:p w14:paraId="2FA3CCFB" w14:textId="77777777" w:rsidR="00C15F2E" w:rsidRPr="00D96063" w:rsidRDefault="00C15F2E" w:rsidP="00053198">
            <w:pPr>
              <w:jc w:val="right"/>
              <w:rPr>
                <w:sz w:val="14"/>
              </w:rPr>
            </w:pPr>
            <w:r w:rsidRPr="00D96063">
              <w:rPr>
                <w:sz w:val="14"/>
              </w:rPr>
              <w:t>604</w:t>
            </w:r>
          </w:p>
        </w:tc>
        <w:tc>
          <w:tcPr>
            <w:tcW w:w="393" w:type="pct"/>
            <w:tcBorders>
              <w:top w:val="nil"/>
              <w:left w:val="single" w:sz="4" w:space="0" w:color="auto"/>
              <w:bottom w:val="nil"/>
              <w:right w:val="single" w:sz="4" w:space="0" w:color="auto"/>
            </w:tcBorders>
            <w:noWrap/>
            <w:hideMark/>
          </w:tcPr>
          <w:p w14:paraId="39FB85B0" w14:textId="77777777" w:rsidR="00C15F2E" w:rsidRPr="00D96063" w:rsidRDefault="00C15F2E" w:rsidP="00053198">
            <w:pPr>
              <w:jc w:val="right"/>
              <w:rPr>
                <w:sz w:val="14"/>
              </w:rPr>
            </w:pPr>
            <w:r w:rsidRPr="00D96063">
              <w:rPr>
                <w:sz w:val="14"/>
              </w:rPr>
              <w:t>641</w:t>
            </w:r>
          </w:p>
        </w:tc>
        <w:tc>
          <w:tcPr>
            <w:tcW w:w="394" w:type="pct"/>
            <w:tcBorders>
              <w:top w:val="nil"/>
              <w:left w:val="single" w:sz="4" w:space="0" w:color="auto"/>
              <w:bottom w:val="nil"/>
              <w:right w:val="single" w:sz="4" w:space="0" w:color="auto"/>
            </w:tcBorders>
            <w:noWrap/>
            <w:hideMark/>
          </w:tcPr>
          <w:p w14:paraId="014475E0" w14:textId="77777777" w:rsidR="00C15F2E" w:rsidRPr="00D96063" w:rsidRDefault="00C15F2E" w:rsidP="00053198">
            <w:pPr>
              <w:jc w:val="right"/>
              <w:rPr>
                <w:sz w:val="14"/>
              </w:rPr>
            </w:pPr>
            <w:r w:rsidRPr="00D96063">
              <w:rPr>
                <w:sz w:val="14"/>
              </w:rPr>
              <w:t>688</w:t>
            </w:r>
          </w:p>
        </w:tc>
        <w:tc>
          <w:tcPr>
            <w:tcW w:w="393" w:type="pct"/>
            <w:tcBorders>
              <w:top w:val="nil"/>
              <w:left w:val="single" w:sz="4" w:space="0" w:color="auto"/>
              <w:bottom w:val="nil"/>
              <w:right w:val="single" w:sz="4" w:space="0" w:color="auto"/>
            </w:tcBorders>
            <w:noWrap/>
            <w:hideMark/>
          </w:tcPr>
          <w:p w14:paraId="3A6ACA0C" w14:textId="77777777" w:rsidR="00C15F2E" w:rsidRPr="00D96063" w:rsidRDefault="00C15F2E" w:rsidP="00053198">
            <w:pPr>
              <w:jc w:val="right"/>
              <w:rPr>
                <w:sz w:val="14"/>
              </w:rPr>
            </w:pPr>
            <w:r w:rsidRPr="00D96063">
              <w:rPr>
                <w:sz w:val="14"/>
              </w:rPr>
              <w:t>722</w:t>
            </w:r>
          </w:p>
        </w:tc>
        <w:tc>
          <w:tcPr>
            <w:tcW w:w="393" w:type="pct"/>
            <w:tcBorders>
              <w:top w:val="nil"/>
              <w:left w:val="single" w:sz="4" w:space="0" w:color="auto"/>
              <w:bottom w:val="nil"/>
              <w:right w:val="single" w:sz="4" w:space="0" w:color="auto"/>
            </w:tcBorders>
            <w:noWrap/>
            <w:hideMark/>
          </w:tcPr>
          <w:p w14:paraId="2DD606A1" w14:textId="77777777" w:rsidR="00C15F2E" w:rsidRPr="00D96063" w:rsidRDefault="00C15F2E" w:rsidP="00053198">
            <w:pPr>
              <w:jc w:val="right"/>
              <w:rPr>
                <w:sz w:val="14"/>
              </w:rPr>
            </w:pPr>
            <w:r w:rsidRPr="00D96063">
              <w:rPr>
                <w:sz w:val="14"/>
              </w:rPr>
              <w:t>769</w:t>
            </w:r>
          </w:p>
        </w:tc>
        <w:tc>
          <w:tcPr>
            <w:tcW w:w="393" w:type="pct"/>
            <w:tcBorders>
              <w:top w:val="nil"/>
              <w:left w:val="single" w:sz="4" w:space="0" w:color="auto"/>
              <w:bottom w:val="nil"/>
              <w:right w:val="single" w:sz="4" w:space="0" w:color="auto"/>
            </w:tcBorders>
            <w:noWrap/>
            <w:hideMark/>
          </w:tcPr>
          <w:p w14:paraId="06C90C62" w14:textId="77777777" w:rsidR="00C15F2E" w:rsidRPr="00D96063" w:rsidRDefault="00C15F2E" w:rsidP="00053198">
            <w:pPr>
              <w:jc w:val="right"/>
              <w:rPr>
                <w:sz w:val="14"/>
              </w:rPr>
            </w:pPr>
            <w:r w:rsidRPr="00D96063">
              <w:rPr>
                <w:sz w:val="14"/>
              </w:rPr>
              <w:t>925</w:t>
            </w:r>
          </w:p>
        </w:tc>
        <w:tc>
          <w:tcPr>
            <w:tcW w:w="393" w:type="pct"/>
            <w:tcBorders>
              <w:top w:val="nil"/>
              <w:left w:val="single" w:sz="4" w:space="0" w:color="auto"/>
              <w:bottom w:val="nil"/>
              <w:right w:val="single" w:sz="4" w:space="0" w:color="auto"/>
            </w:tcBorders>
            <w:noWrap/>
            <w:hideMark/>
          </w:tcPr>
          <w:p w14:paraId="69ECC06C" w14:textId="77777777" w:rsidR="00C15F2E" w:rsidRPr="00D96063" w:rsidRDefault="00C15F2E" w:rsidP="00053198">
            <w:pPr>
              <w:jc w:val="right"/>
              <w:rPr>
                <w:sz w:val="14"/>
              </w:rPr>
            </w:pPr>
            <w:r w:rsidRPr="00D96063">
              <w:rPr>
                <w:rFonts w:cs="Calibri"/>
                <w:sz w:val="14"/>
                <w:szCs w:val="14"/>
              </w:rPr>
              <w:t>973</w:t>
            </w:r>
          </w:p>
        </w:tc>
        <w:tc>
          <w:tcPr>
            <w:tcW w:w="470" w:type="pct"/>
            <w:tcBorders>
              <w:top w:val="nil"/>
              <w:left w:val="single" w:sz="4" w:space="0" w:color="auto"/>
              <w:bottom w:val="nil"/>
              <w:right w:val="single" w:sz="4" w:space="0" w:color="auto"/>
            </w:tcBorders>
            <w:noWrap/>
            <w:hideMark/>
          </w:tcPr>
          <w:p w14:paraId="3A9EF19C" w14:textId="77777777" w:rsidR="00C15F2E" w:rsidRPr="00D96063" w:rsidRDefault="00C15F2E" w:rsidP="00053198">
            <w:pPr>
              <w:jc w:val="right"/>
              <w:rPr>
                <w:sz w:val="14"/>
              </w:rPr>
            </w:pPr>
            <w:r w:rsidRPr="00D96063">
              <w:rPr>
                <w:sz w:val="14"/>
              </w:rPr>
              <w:t>725</w:t>
            </w:r>
          </w:p>
        </w:tc>
        <w:tc>
          <w:tcPr>
            <w:tcW w:w="477" w:type="pct"/>
            <w:tcBorders>
              <w:top w:val="nil"/>
              <w:left w:val="single" w:sz="4" w:space="0" w:color="auto"/>
              <w:bottom w:val="nil"/>
              <w:right w:val="single" w:sz="4" w:space="0" w:color="auto"/>
            </w:tcBorders>
            <w:noWrap/>
            <w:hideMark/>
          </w:tcPr>
          <w:p w14:paraId="7EA7C99B" w14:textId="77777777" w:rsidR="00C15F2E" w:rsidRPr="00D96063" w:rsidRDefault="00C15F2E" w:rsidP="002C1DC3">
            <w:pPr>
              <w:ind w:right="170"/>
              <w:jc w:val="right"/>
              <w:rPr>
                <w:sz w:val="14"/>
              </w:rPr>
            </w:pPr>
            <w:r w:rsidRPr="00D96063">
              <w:rPr>
                <w:sz w:val="14"/>
              </w:rPr>
              <w:t xml:space="preserve">0.1 </w:t>
            </w:r>
          </w:p>
        </w:tc>
        <w:tc>
          <w:tcPr>
            <w:tcW w:w="471" w:type="pct"/>
            <w:tcBorders>
              <w:top w:val="nil"/>
              <w:left w:val="single" w:sz="4" w:space="0" w:color="auto"/>
              <w:bottom w:val="nil"/>
              <w:right w:val="single" w:sz="4" w:space="0" w:color="auto"/>
            </w:tcBorders>
            <w:noWrap/>
            <w:hideMark/>
          </w:tcPr>
          <w:p w14:paraId="05EE3AA5" w14:textId="77777777" w:rsidR="00C15F2E" w:rsidRPr="00D96063" w:rsidRDefault="00C15F2E" w:rsidP="00053198">
            <w:pPr>
              <w:jc w:val="right"/>
              <w:rPr>
                <w:sz w:val="14"/>
              </w:rPr>
            </w:pPr>
            <w:r w:rsidRPr="00D96063">
              <w:rPr>
                <w:sz w:val="14"/>
              </w:rPr>
              <w:t>173.0</w:t>
            </w:r>
          </w:p>
        </w:tc>
        <w:tc>
          <w:tcPr>
            <w:tcW w:w="361" w:type="pct"/>
            <w:tcBorders>
              <w:top w:val="nil"/>
              <w:left w:val="single" w:sz="4" w:space="0" w:color="auto"/>
              <w:bottom w:val="nil"/>
              <w:right w:val="single" w:sz="4" w:space="0" w:color="auto"/>
            </w:tcBorders>
            <w:noWrap/>
            <w:hideMark/>
          </w:tcPr>
          <w:p w14:paraId="1F4C7ED2" w14:textId="77777777" w:rsidR="00C15F2E" w:rsidRPr="00D96063" w:rsidRDefault="00C15F2E" w:rsidP="00053198">
            <w:pPr>
              <w:jc w:val="right"/>
              <w:rPr>
                <w:sz w:val="14"/>
              </w:rPr>
            </w:pPr>
            <w:r w:rsidRPr="00D96063">
              <w:rPr>
                <w:sz w:val="14"/>
              </w:rPr>
              <w:t>8.9</w:t>
            </w:r>
          </w:p>
        </w:tc>
      </w:tr>
      <w:tr w:rsidR="00C15F2E" w:rsidRPr="00D96063" w14:paraId="4C0682B0" w14:textId="77777777" w:rsidTr="00053198">
        <w:trPr>
          <w:trHeight w:val="240"/>
        </w:trPr>
        <w:tc>
          <w:tcPr>
            <w:tcW w:w="548" w:type="pct"/>
            <w:tcBorders>
              <w:top w:val="nil"/>
              <w:left w:val="single" w:sz="4" w:space="0" w:color="auto"/>
              <w:bottom w:val="nil"/>
              <w:right w:val="single" w:sz="4" w:space="0" w:color="auto"/>
            </w:tcBorders>
            <w:noWrap/>
            <w:hideMark/>
          </w:tcPr>
          <w:p w14:paraId="189847C3" w14:textId="77777777" w:rsidR="00C15F2E" w:rsidRPr="00D96063" w:rsidRDefault="00C15F2E" w:rsidP="00053198">
            <w:pPr>
              <w:jc w:val="left"/>
              <w:rPr>
                <w:sz w:val="14"/>
              </w:rPr>
            </w:pPr>
            <w:r w:rsidRPr="00D96063">
              <w:rPr>
                <w:sz w:val="14"/>
              </w:rPr>
              <w:t>Oranges</w:t>
            </w:r>
          </w:p>
        </w:tc>
        <w:tc>
          <w:tcPr>
            <w:tcW w:w="313" w:type="pct"/>
            <w:tcBorders>
              <w:top w:val="nil"/>
              <w:left w:val="single" w:sz="4" w:space="0" w:color="auto"/>
              <w:bottom w:val="nil"/>
              <w:right w:val="single" w:sz="4" w:space="0" w:color="auto"/>
            </w:tcBorders>
            <w:noWrap/>
            <w:hideMark/>
          </w:tcPr>
          <w:p w14:paraId="2505CF12" w14:textId="77777777" w:rsidR="00C15F2E" w:rsidRPr="00D96063" w:rsidRDefault="00C15F2E" w:rsidP="00053198">
            <w:pPr>
              <w:jc w:val="right"/>
              <w:rPr>
                <w:sz w:val="14"/>
              </w:rPr>
            </w:pPr>
            <w:r w:rsidRPr="00D96063">
              <w:rPr>
                <w:sz w:val="14"/>
              </w:rPr>
              <w:t>690</w:t>
            </w:r>
          </w:p>
        </w:tc>
        <w:tc>
          <w:tcPr>
            <w:tcW w:w="393" w:type="pct"/>
            <w:tcBorders>
              <w:top w:val="nil"/>
              <w:left w:val="single" w:sz="4" w:space="0" w:color="auto"/>
              <w:bottom w:val="nil"/>
              <w:right w:val="single" w:sz="4" w:space="0" w:color="auto"/>
            </w:tcBorders>
            <w:noWrap/>
            <w:hideMark/>
          </w:tcPr>
          <w:p w14:paraId="6AE5A719" w14:textId="77777777" w:rsidR="00C15F2E" w:rsidRPr="00D96063" w:rsidRDefault="00C15F2E" w:rsidP="00053198">
            <w:pPr>
              <w:jc w:val="right"/>
              <w:rPr>
                <w:sz w:val="14"/>
              </w:rPr>
            </w:pPr>
            <w:r w:rsidRPr="00D96063">
              <w:rPr>
                <w:sz w:val="14"/>
              </w:rPr>
              <w:t>690</w:t>
            </w:r>
          </w:p>
        </w:tc>
        <w:tc>
          <w:tcPr>
            <w:tcW w:w="394" w:type="pct"/>
            <w:tcBorders>
              <w:top w:val="nil"/>
              <w:left w:val="single" w:sz="4" w:space="0" w:color="auto"/>
              <w:bottom w:val="nil"/>
              <w:right w:val="single" w:sz="4" w:space="0" w:color="auto"/>
            </w:tcBorders>
            <w:noWrap/>
            <w:hideMark/>
          </w:tcPr>
          <w:p w14:paraId="074867D1" w14:textId="77777777" w:rsidR="00C15F2E" w:rsidRPr="00D96063" w:rsidRDefault="00C15F2E" w:rsidP="00053198">
            <w:pPr>
              <w:jc w:val="right"/>
              <w:rPr>
                <w:sz w:val="14"/>
              </w:rPr>
            </w:pPr>
            <w:r w:rsidRPr="00D96063">
              <w:rPr>
                <w:sz w:val="14"/>
              </w:rPr>
              <w:t>690</w:t>
            </w:r>
          </w:p>
        </w:tc>
        <w:tc>
          <w:tcPr>
            <w:tcW w:w="393" w:type="pct"/>
            <w:tcBorders>
              <w:top w:val="nil"/>
              <w:left w:val="single" w:sz="4" w:space="0" w:color="auto"/>
              <w:bottom w:val="nil"/>
              <w:right w:val="single" w:sz="4" w:space="0" w:color="auto"/>
            </w:tcBorders>
            <w:noWrap/>
            <w:hideMark/>
          </w:tcPr>
          <w:p w14:paraId="7FC3689B" w14:textId="77777777" w:rsidR="00C15F2E" w:rsidRPr="00D96063" w:rsidRDefault="00C15F2E" w:rsidP="00053198">
            <w:pPr>
              <w:jc w:val="right"/>
              <w:rPr>
                <w:sz w:val="14"/>
              </w:rPr>
            </w:pPr>
            <w:r w:rsidRPr="00D96063">
              <w:rPr>
                <w:sz w:val="14"/>
              </w:rPr>
              <w:t>702</w:t>
            </w:r>
          </w:p>
        </w:tc>
        <w:tc>
          <w:tcPr>
            <w:tcW w:w="393" w:type="pct"/>
            <w:tcBorders>
              <w:top w:val="nil"/>
              <w:left w:val="single" w:sz="4" w:space="0" w:color="auto"/>
              <w:bottom w:val="nil"/>
              <w:right w:val="single" w:sz="4" w:space="0" w:color="auto"/>
            </w:tcBorders>
            <w:noWrap/>
            <w:hideMark/>
          </w:tcPr>
          <w:p w14:paraId="0690FE8B" w14:textId="77777777" w:rsidR="00C15F2E" w:rsidRPr="00D96063" w:rsidRDefault="00C15F2E" w:rsidP="00053198">
            <w:pPr>
              <w:jc w:val="right"/>
              <w:rPr>
                <w:sz w:val="14"/>
              </w:rPr>
            </w:pPr>
            <w:r w:rsidRPr="00D96063">
              <w:rPr>
                <w:sz w:val="14"/>
              </w:rPr>
              <w:t>757</w:t>
            </w:r>
          </w:p>
        </w:tc>
        <w:tc>
          <w:tcPr>
            <w:tcW w:w="393" w:type="pct"/>
            <w:tcBorders>
              <w:top w:val="nil"/>
              <w:left w:val="single" w:sz="4" w:space="0" w:color="auto"/>
              <w:bottom w:val="nil"/>
              <w:right w:val="single" w:sz="4" w:space="0" w:color="auto"/>
            </w:tcBorders>
            <w:noWrap/>
            <w:hideMark/>
          </w:tcPr>
          <w:p w14:paraId="0381D445" w14:textId="77777777" w:rsidR="00C15F2E" w:rsidRPr="00D96063" w:rsidRDefault="00C15F2E" w:rsidP="00053198">
            <w:pPr>
              <w:jc w:val="right"/>
              <w:rPr>
                <w:sz w:val="14"/>
              </w:rPr>
            </w:pPr>
            <w:r w:rsidRPr="00D96063">
              <w:rPr>
                <w:sz w:val="14"/>
              </w:rPr>
              <w:t>776</w:t>
            </w:r>
          </w:p>
        </w:tc>
        <w:tc>
          <w:tcPr>
            <w:tcW w:w="393" w:type="pct"/>
            <w:tcBorders>
              <w:top w:val="nil"/>
              <w:left w:val="single" w:sz="4" w:space="0" w:color="auto"/>
              <w:bottom w:val="nil"/>
              <w:right w:val="single" w:sz="4" w:space="0" w:color="auto"/>
            </w:tcBorders>
            <w:noWrap/>
            <w:hideMark/>
          </w:tcPr>
          <w:p w14:paraId="26B91044" w14:textId="77777777" w:rsidR="00C15F2E" w:rsidRPr="00D96063" w:rsidRDefault="00C15F2E" w:rsidP="00053198">
            <w:pPr>
              <w:jc w:val="right"/>
              <w:rPr>
                <w:sz w:val="14"/>
              </w:rPr>
            </w:pPr>
            <w:r w:rsidRPr="00D96063">
              <w:rPr>
                <w:rFonts w:cs="Calibri"/>
                <w:sz w:val="14"/>
                <w:szCs w:val="14"/>
              </w:rPr>
              <w:t>698</w:t>
            </w:r>
          </w:p>
        </w:tc>
        <w:tc>
          <w:tcPr>
            <w:tcW w:w="470" w:type="pct"/>
            <w:tcBorders>
              <w:top w:val="nil"/>
              <w:left w:val="single" w:sz="4" w:space="0" w:color="auto"/>
              <w:bottom w:val="nil"/>
              <w:right w:val="single" w:sz="4" w:space="0" w:color="auto"/>
            </w:tcBorders>
            <w:noWrap/>
            <w:hideMark/>
          </w:tcPr>
          <w:p w14:paraId="24B1D932" w14:textId="77777777" w:rsidR="00C15F2E" w:rsidRPr="00D96063" w:rsidRDefault="00C15F2E" w:rsidP="00053198">
            <w:pPr>
              <w:jc w:val="right"/>
              <w:rPr>
                <w:sz w:val="14"/>
              </w:rPr>
            </w:pPr>
            <w:r w:rsidRPr="00D96063">
              <w:rPr>
                <w:sz w:val="14"/>
              </w:rPr>
              <w:t>718</w:t>
            </w:r>
          </w:p>
        </w:tc>
        <w:tc>
          <w:tcPr>
            <w:tcW w:w="477" w:type="pct"/>
            <w:tcBorders>
              <w:top w:val="nil"/>
              <w:left w:val="single" w:sz="4" w:space="0" w:color="auto"/>
              <w:bottom w:val="nil"/>
              <w:right w:val="single" w:sz="4" w:space="0" w:color="auto"/>
            </w:tcBorders>
            <w:noWrap/>
            <w:hideMark/>
          </w:tcPr>
          <w:p w14:paraId="55E61A7F" w14:textId="77777777" w:rsidR="00C15F2E" w:rsidRPr="00D96063" w:rsidRDefault="00C15F2E" w:rsidP="002C1DC3">
            <w:pPr>
              <w:ind w:right="170"/>
              <w:jc w:val="right"/>
              <w:rPr>
                <w:sz w:val="14"/>
              </w:rPr>
            </w:pPr>
            <w:r w:rsidRPr="00D96063">
              <w:rPr>
                <w:sz w:val="14"/>
              </w:rPr>
              <w:t xml:space="preserve">1.0 </w:t>
            </w:r>
          </w:p>
        </w:tc>
        <w:tc>
          <w:tcPr>
            <w:tcW w:w="471" w:type="pct"/>
            <w:tcBorders>
              <w:top w:val="nil"/>
              <w:left w:val="single" w:sz="4" w:space="0" w:color="auto"/>
              <w:bottom w:val="nil"/>
              <w:right w:val="single" w:sz="4" w:space="0" w:color="auto"/>
            </w:tcBorders>
            <w:noWrap/>
            <w:hideMark/>
          </w:tcPr>
          <w:p w14:paraId="779350FA" w14:textId="77777777" w:rsidR="00C15F2E" w:rsidRPr="00D96063" w:rsidRDefault="00C15F2E" w:rsidP="00053198">
            <w:pPr>
              <w:jc w:val="right"/>
              <w:rPr>
                <w:sz w:val="14"/>
              </w:rPr>
            </w:pPr>
            <w:r w:rsidRPr="00D96063">
              <w:rPr>
                <w:sz w:val="14"/>
              </w:rPr>
              <w:t>114.9</w:t>
            </w:r>
          </w:p>
        </w:tc>
        <w:tc>
          <w:tcPr>
            <w:tcW w:w="361" w:type="pct"/>
            <w:tcBorders>
              <w:top w:val="nil"/>
              <w:left w:val="single" w:sz="4" w:space="0" w:color="auto"/>
              <w:bottom w:val="nil"/>
              <w:right w:val="single" w:sz="4" w:space="0" w:color="auto"/>
            </w:tcBorders>
            <w:noWrap/>
            <w:hideMark/>
          </w:tcPr>
          <w:p w14:paraId="699674AA" w14:textId="77777777" w:rsidR="00C15F2E" w:rsidRPr="00D96063" w:rsidRDefault="00C15F2E" w:rsidP="00053198">
            <w:pPr>
              <w:jc w:val="right"/>
              <w:rPr>
                <w:sz w:val="14"/>
              </w:rPr>
            </w:pPr>
            <w:r w:rsidRPr="00D96063">
              <w:rPr>
                <w:sz w:val="14"/>
              </w:rPr>
              <w:t>2.4</w:t>
            </w:r>
          </w:p>
        </w:tc>
      </w:tr>
      <w:tr w:rsidR="00C15F2E" w:rsidRPr="00D96063" w14:paraId="295E8EFA"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30D0671D" w14:textId="77777777" w:rsidR="00C15F2E" w:rsidRPr="00D96063" w:rsidRDefault="00C15F2E" w:rsidP="00053198">
            <w:pPr>
              <w:jc w:val="left"/>
              <w:rPr>
                <w:sz w:val="14"/>
              </w:rPr>
            </w:pPr>
            <w:r w:rsidRPr="00D96063">
              <w:rPr>
                <w:sz w:val="14"/>
              </w:rPr>
              <w:t>Pineapples</w:t>
            </w:r>
          </w:p>
        </w:tc>
        <w:tc>
          <w:tcPr>
            <w:tcW w:w="313" w:type="pct"/>
            <w:tcBorders>
              <w:top w:val="nil"/>
              <w:left w:val="single" w:sz="4" w:space="0" w:color="auto"/>
              <w:bottom w:val="nil"/>
              <w:right w:val="single" w:sz="4" w:space="0" w:color="auto"/>
            </w:tcBorders>
            <w:noWrap/>
            <w:hideMark/>
          </w:tcPr>
          <w:p w14:paraId="4610A0D2" w14:textId="77777777" w:rsidR="00C15F2E" w:rsidRPr="00D96063" w:rsidRDefault="00C15F2E" w:rsidP="00053198">
            <w:pPr>
              <w:jc w:val="right"/>
              <w:rPr>
                <w:sz w:val="14"/>
              </w:rPr>
            </w:pPr>
            <w:r w:rsidRPr="00D96063">
              <w:rPr>
                <w:sz w:val="14"/>
              </w:rPr>
              <w:t>662</w:t>
            </w:r>
          </w:p>
        </w:tc>
        <w:tc>
          <w:tcPr>
            <w:tcW w:w="393" w:type="pct"/>
            <w:tcBorders>
              <w:top w:val="nil"/>
              <w:left w:val="single" w:sz="4" w:space="0" w:color="auto"/>
              <w:bottom w:val="nil"/>
              <w:right w:val="single" w:sz="4" w:space="0" w:color="auto"/>
            </w:tcBorders>
            <w:noWrap/>
            <w:hideMark/>
          </w:tcPr>
          <w:p w14:paraId="06F6779A" w14:textId="77777777" w:rsidR="00C15F2E" w:rsidRPr="00D96063" w:rsidRDefault="00C15F2E" w:rsidP="00053198">
            <w:pPr>
              <w:jc w:val="right"/>
              <w:rPr>
                <w:sz w:val="14"/>
              </w:rPr>
            </w:pPr>
            <w:r w:rsidRPr="00D96063">
              <w:rPr>
                <w:sz w:val="14"/>
              </w:rPr>
              <w:t>662</w:t>
            </w:r>
          </w:p>
        </w:tc>
        <w:tc>
          <w:tcPr>
            <w:tcW w:w="394" w:type="pct"/>
            <w:tcBorders>
              <w:top w:val="nil"/>
              <w:left w:val="single" w:sz="4" w:space="0" w:color="auto"/>
              <w:bottom w:val="nil"/>
              <w:right w:val="single" w:sz="4" w:space="0" w:color="auto"/>
            </w:tcBorders>
            <w:noWrap/>
            <w:hideMark/>
          </w:tcPr>
          <w:p w14:paraId="38570438" w14:textId="77777777" w:rsidR="00C15F2E" w:rsidRPr="00D96063" w:rsidRDefault="00C15F2E" w:rsidP="00053198">
            <w:pPr>
              <w:jc w:val="right"/>
              <w:rPr>
                <w:sz w:val="14"/>
              </w:rPr>
            </w:pPr>
            <w:r w:rsidRPr="00D96063">
              <w:rPr>
                <w:sz w:val="14"/>
              </w:rPr>
              <w:t>662</w:t>
            </w:r>
          </w:p>
        </w:tc>
        <w:tc>
          <w:tcPr>
            <w:tcW w:w="393" w:type="pct"/>
            <w:tcBorders>
              <w:top w:val="nil"/>
              <w:left w:val="single" w:sz="4" w:space="0" w:color="auto"/>
              <w:bottom w:val="nil"/>
              <w:right w:val="single" w:sz="4" w:space="0" w:color="auto"/>
            </w:tcBorders>
            <w:noWrap/>
            <w:hideMark/>
          </w:tcPr>
          <w:p w14:paraId="7D49B7CD" w14:textId="77777777" w:rsidR="00C15F2E" w:rsidRPr="00D96063" w:rsidRDefault="00C15F2E" w:rsidP="00053198">
            <w:pPr>
              <w:jc w:val="right"/>
              <w:rPr>
                <w:sz w:val="14"/>
              </w:rPr>
            </w:pPr>
            <w:r w:rsidRPr="00D96063">
              <w:rPr>
                <w:sz w:val="14"/>
              </w:rPr>
              <w:t>670</w:t>
            </w:r>
          </w:p>
        </w:tc>
        <w:tc>
          <w:tcPr>
            <w:tcW w:w="393" w:type="pct"/>
            <w:tcBorders>
              <w:top w:val="nil"/>
              <w:left w:val="single" w:sz="4" w:space="0" w:color="auto"/>
              <w:bottom w:val="nil"/>
              <w:right w:val="single" w:sz="4" w:space="0" w:color="auto"/>
            </w:tcBorders>
            <w:noWrap/>
            <w:hideMark/>
          </w:tcPr>
          <w:p w14:paraId="101D1D0D" w14:textId="77777777" w:rsidR="00C15F2E" w:rsidRPr="00D96063" w:rsidRDefault="00C15F2E" w:rsidP="00053198">
            <w:pPr>
              <w:jc w:val="right"/>
              <w:rPr>
                <w:sz w:val="14"/>
              </w:rPr>
            </w:pPr>
            <w:r w:rsidRPr="00D96063">
              <w:rPr>
                <w:sz w:val="14"/>
              </w:rPr>
              <w:t>764</w:t>
            </w:r>
          </w:p>
        </w:tc>
        <w:tc>
          <w:tcPr>
            <w:tcW w:w="393" w:type="pct"/>
            <w:tcBorders>
              <w:top w:val="nil"/>
              <w:left w:val="single" w:sz="4" w:space="0" w:color="auto"/>
              <w:bottom w:val="nil"/>
              <w:right w:val="single" w:sz="4" w:space="0" w:color="auto"/>
            </w:tcBorders>
            <w:noWrap/>
            <w:hideMark/>
          </w:tcPr>
          <w:p w14:paraId="47F02CA7" w14:textId="77777777" w:rsidR="00C15F2E" w:rsidRPr="00D96063" w:rsidRDefault="00C15F2E" w:rsidP="00053198">
            <w:pPr>
              <w:jc w:val="right"/>
              <w:rPr>
                <w:sz w:val="14"/>
              </w:rPr>
            </w:pPr>
            <w:r w:rsidRPr="00D96063">
              <w:rPr>
                <w:sz w:val="14"/>
              </w:rPr>
              <w:t>743</w:t>
            </w:r>
          </w:p>
        </w:tc>
        <w:tc>
          <w:tcPr>
            <w:tcW w:w="393" w:type="pct"/>
            <w:tcBorders>
              <w:top w:val="nil"/>
              <w:left w:val="single" w:sz="4" w:space="0" w:color="auto"/>
              <w:bottom w:val="nil"/>
              <w:right w:val="single" w:sz="4" w:space="0" w:color="auto"/>
            </w:tcBorders>
            <w:noWrap/>
            <w:hideMark/>
          </w:tcPr>
          <w:p w14:paraId="63EDCD98" w14:textId="77777777" w:rsidR="00C15F2E" w:rsidRPr="00D96063" w:rsidRDefault="00C15F2E" w:rsidP="00053198">
            <w:pPr>
              <w:jc w:val="right"/>
              <w:rPr>
                <w:sz w:val="14"/>
              </w:rPr>
            </w:pPr>
            <w:r w:rsidRPr="00D96063">
              <w:rPr>
                <w:rFonts w:cs="Calibri"/>
                <w:sz w:val="14"/>
                <w:szCs w:val="14"/>
              </w:rPr>
              <w:t>669</w:t>
            </w:r>
          </w:p>
        </w:tc>
        <w:tc>
          <w:tcPr>
            <w:tcW w:w="470" w:type="pct"/>
            <w:tcBorders>
              <w:top w:val="nil"/>
              <w:left w:val="single" w:sz="4" w:space="0" w:color="auto"/>
              <w:bottom w:val="nil"/>
              <w:right w:val="single" w:sz="4" w:space="0" w:color="auto"/>
            </w:tcBorders>
            <w:noWrap/>
            <w:hideMark/>
          </w:tcPr>
          <w:p w14:paraId="34F532A3" w14:textId="77777777" w:rsidR="00C15F2E" w:rsidRPr="00D96063" w:rsidRDefault="00C15F2E" w:rsidP="00053198">
            <w:pPr>
              <w:jc w:val="right"/>
              <w:rPr>
                <w:sz w:val="14"/>
              </w:rPr>
            </w:pPr>
            <w:r w:rsidRPr="00D96063">
              <w:rPr>
                <w:sz w:val="14"/>
              </w:rPr>
              <w:t>694</w:t>
            </w:r>
          </w:p>
        </w:tc>
        <w:tc>
          <w:tcPr>
            <w:tcW w:w="477" w:type="pct"/>
            <w:tcBorders>
              <w:top w:val="nil"/>
              <w:left w:val="single" w:sz="4" w:space="0" w:color="auto"/>
              <w:bottom w:val="nil"/>
              <w:right w:val="single" w:sz="4" w:space="0" w:color="auto"/>
            </w:tcBorders>
            <w:noWrap/>
            <w:hideMark/>
          </w:tcPr>
          <w:p w14:paraId="3DA458B4" w14:textId="77777777" w:rsidR="00C15F2E" w:rsidRPr="00D96063" w:rsidRDefault="00C15F2E" w:rsidP="002C1DC3">
            <w:pPr>
              <w:ind w:right="170"/>
              <w:jc w:val="right"/>
              <w:rPr>
                <w:sz w:val="14"/>
              </w:rPr>
            </w:pPr>
            <w:r w:rsidRPr="00D96063">
              <w:rPr>
                <w:sz w:val="14"/>
              </w:rPr>
              <w:t xml:space="preserve">2.6 </w:t>
            </w:r>
          </w:p>
        </w:tc>
        <w:tc>
          <w:tcPr>
            <w:tcW w:w="471" w:type="pct"/>
            <w:tcBorders>
              <w:top w:val="nil"/>
              <w:left w:val="single" w:sz="4" w:space="0" w:color="auto"/>
              <w:bottom w:val="nil"/>
              <w:right w:val="single" w:sz="4" w:space="0" w:color="auto"/>
            </w:tcBorders>
            <w:noWrap/>
            <w:hideMark/>
          </w:tcPr>
          <w:p w14:paraId="64EBC1C9" w14:textId="77777777" w:rsidR="00C15F2E" w:rsidRPr="00D96063" w:rsidRDefault="00C15F2E" w:rsidP="00053198">
            <w:pPr>
              <w:jc w:val="right"/>
              <w:rPr>
                <w:sz w:val="14"/>
              </w:rPr>
            </w:pPr>
            <w:r w:rsidRPr="00D96063">
              <w:rPr>
                <w:sz w:val="14"/>
              </w:rPr>
              <w:t>110.8</w:t>
            </w:r>
          </w:p>
        </w:tc>
        <w:tc>
          <w:tcPr>
            <w:tcW w:w="361" w:type="pct"/>
            <w:tcBorders>
              <w:top w:val="nil"/>
              <w:left w:val="single" w:sz="4" w:space="0" w:color="auto"/>
              <w:bottom w:val="nil"/>
              <w:right w:val="single" w:sz="4" w:space="0" w:color="auto"/>
            </w:tcBorders>
            <w:noWrap/>
            <w:hideMark/>
          </w:tcPr>
          <w:p w14:paraId="43763867" w14:textId="77777777" w:rsidR="00C15F2E" w:rsidRPr="00D96063" w:rsidRDefault="00C15F2E" w:rsidP="00053198">
            <w:pPr>
              <w:jc w:val="right"/>
              <w:rPr>
                <w:sz w:val="14"/>
              </w:rPr>
            </w:pPr>
            <w:r w:rsidRPr="00D96063">
              <w:rPr>
                <w:sz w:val="14"/>
              </w:rPr>
              <w:t>2.4</w:t>
            </w:r>
          </w:p>
        </w:tc>
      </w:tr>
      <w:tr w:rsidR="00C15F2E" w:rsidRPr="00D96063" w14:paraId="710C33B4" w14:textId="77777777" w:rsidTr="00053198">
        <w:trPr>
          <w:trHeight w:val="240"/>
        </w:trPr>
        <w:tc>
          <w:tcPr>
            <w:tcW w:w="548" w:type="pct"/>
            <w:tcBorders>
              <w:top w:val="nil"/>
              <w:left w:val="single" w:sz="4" w:space="0" w:color="auto"/>
              <w:bottom w:val="nil"/>
              <w:right w:val="single" w:sz="4" w:space="0" w:color="auto"/>
            </w:tcBorders>
            <w:noWrap/>
            <w:hideMark/>
          </w:tcPr>
          <w:p w14:paraId="2B9FD235" w14:textId="77777777" w:rsidR="00C15F2E" w:rsidRPr="00D96063" w:rsidRDefault="00C15F2E" w:rsidP="00053198">
            <w:pPr>
              <w:jc w:val="left"/>
              <w:rPr>
                <w:sz w:val="12"/>
                <w:szCs w:val="12"/>
              </w:rPr>
            </w:pPr>
            <w:r w:rsidRPr="00D96063">
              <w:rPr>
                <w:sz w:val="12"/>
                <w:szCs w:val="12"/>
              </w:rPr>
              <w:t>Groundnuts</w:t>
            </w:r>
          </w:p>
        </w:tc>
        <w:tc>
          <w:tcPr>
            <w:tcW w:w="313" w:type="pct"/>
            <w:tcBorders>
              <w:top w:val="nil"/>
              <w:left w:val="single" w:sz="4" w:space="0" w:color="auto"/>
              <w:bottom w:val="nil"/>
              <w:right w:val="single" w:sz="4" w:space="0" w:color="auto"/>
            </w:tcBorders>
            <w:noWrap/>
            <w:hideMark/>
          </w:tcPr>
          <w:p w14:paraId="2D4FF660" w14:textId="77777777" w:rsidR="00C15F2E" w:rsidRPr="00D96063" w:rsidRDefault="00C15F2E" w:rsidP="00053198">
            <w:pPr>
              <w:jc w:val="right"/>
              <w:rPr>
                <w:sz w:val="14"/>
              </w:rPr>
            </w:pPr>
            <w:r w:rsidRPr="00D96063">
              <w:rPr>
                <w:sz w:val="14"/>
              </w:rPr>
              <w:t>426</w:t>
            </w:r>
          </w:p>
        </w:tc>
        <w:tc>
          <w:tcPr>
            <w:tcW w:w="393" w:type="pct"/>
            <w:tcBorders>
              <w:top w:val="nil"/>
              <w:left w:val="single" w:sz="4" w:space="0" w:color="auto"/>
              <w:bottom w:val="nil"/>
              <w:right w:val="single" w:sz="4" w:space="0" w:color="auto"/>
            </w:tcBorders>
            <w:noWrap/>
            <w:hideMark/>
          </w:tcPr>
          <w:p w14:paraId="6FAB8069" w14:textId="77777777" w:rsidR="00C15F2E" w:rsidRPr="00D96063" w:rsidRDefault="00C15F2E" w:rsidP="00053198">
            <w:pPr>
              <w:jc w:val="right"/>
              <w:rPr>
                <w:sz w:val="14"/>
              </w:rPr>
            </w:pPr>
            <w:r w:rsidRPr="00D96063">
              <w:rPr>
                <w:sz w:val="14"/>
              </w:rPr>
              <w:t>417</w:t>
            </w:r>
          </w:p>
        </w:tc>
        <w:tc>
          <w:tcPr>
            <w:tcW w:w="394" w:type="pct"/>
            <w:tcBorders>
              <w:top w:val="nil"/>
              <w:left w:val="single" w:sz="4" w:space="0" w:color="auto"/>
              <w:bottom w:val="nil"/>
              <w:right w:val="single" w:sz="4" w:space="0" w:color="auto"/>
            </w:tcBorders>
            <w:noWrap/>
            <w:hideMark/>
          </w:tcPr>
          <w:p w14:paraId="216A3D8C" w14:textId="77777777" w:rsidR="00C15F2E" w:rsidRPr="00D96063" w:rsidRDefault="00C15F2E" w:rsidP="00053198">
            <w:pPr>
              <w:jc w:val="right"/>
              <w:rPr>
                <w:sz w:val="14"/>
              </w:rPr>
            </w:pPr>
            <w:r w:rsidRPr="00D96063">
              <w:rPr>
                <w:sz w:val="14"/>
              </w:rPr>
              <w:t>426</w:t>
            </w:r>
          </w:p>
        </w:tc>
        <w:tc>
          <w:tcPr>
            <w:tcW w:w="393" w:type="pct"/>
            <w:tcBorders>
              <w:top w:val="nil"/>
              <w:left w:val="single" w:sz="4" w:space="0" w:color="auto"/>
              <w:bottom w:val="nil"/>
              <w:right w:val="single" w:sz="4" w:space="0" w:color="auto"/>
            </w:tcBorders>
            <w:noWrap/>
            <w:hideMark/>
          </w:tcPr>
          <w:p w14:paraId="03C7F203" w14:textId="77777777" w:rsidR="00C15F2E" w:rsidRPr="00D96063" w:rsidRDefault="00C15F2E" w:rsidP="00053198">
            <w:pPr>
              <w:jc w:val="right"/>
              <w:rPr>
                <w:sz w:val="14"/>
              </w:rPr>
            </w:pPr>
            <w:r w:rsidRPr="00D96063">
              <w:rPr>
                <w:sz w:val="14"/>
              </w:rPr>
              <w:t>434</w:t>
            </w:r>
          </w:p>
        </w:tc>
        <w:tc>
          <w:tcPr>
            <w:tcW w:w="393" w:type="pct"/>
            <w:tcBorders>
              <w:top w:val="nil"/>
              <w:left w:val="single" w:sz="4" w:space="0" w:color="auto"/>
              <w:bottom w:val="nil"/>
              <w:right w:val="single" w:sz="4" w:space="0" w:color="auto"/>
            </w:tcBorders>
            <w:noWrap/>
            <w:hideMark/>
          </w:tcPr>
          <w:p w14:paraId="289C21E0" w14:textId="77777777" w:rsidR="00C15F2E" w:rsidRPr="00D96063" w:rsidRDefault="00C15F2E" w:rsidP="00053198">
            <w:pPr>
              <w:jc w:val="right"/>
              <w:rPr>
                <w:sz w:val="14"/>
              </w:rPr>
            </w:pPr>
            <w:r w:rsidRPr="00D96063">
              <w:rPr>
                <w:sz w:val="14"/>
              </w:rPr>
              <w:t>521</w:t>
            </w:r>
          </w:p>
        </w:tc>
        <w:tc>
          <w:tcPr>
            <w:tcW w:w="393" w:type="pct"/>
            <w:tcBorders>
              <w:top w:val="nil"/>
              <w:left w:val="single" w:sz="4" w:space="0" w:color="auto"/>
              <w:bottom w:val="nil"/>
              <w:right w:val="single" w:sz="4" w:space="0" w:color="auto"/>
            </w:tcBorders>
            <w:noWrap/>
            <w:hideMark/>
          </w:tcPr>
          <w:p w14:paraId="08CC5E7A" w14:textId="77777777" w:rsidR="00C15F2E" w:rsidRPr="00D96063" w:rsidRDefault="00C15F2E" w:rsidP="00053198">
            <w:pPr>
              <w:jc w:val="right"/>
              <w:rPr>
                <w:sz w:val="14"/>
              </w:rPr>
            </w:pPr>
            <w:r w:rsidRPr="00D96063">
              <w:rPr>
                <w:sz w:val="14"/>
              </w:rPr>
              <w:t>536</w:t>
            </w:r>
          </w:p>
        </w:tc>
        <w:tc>
          <w:tcPr>
            <w:tcW w:w="393" w:type="pct"/>
            <w:tcBorders>
              <w:top w:val="nil"/>
              <w:left w:val="single" w:sz="4" w:space="0" w:color="auto"/>
              <w:bottom w:val="nil"/>
              <w:right w:val="single" w:sz="4" w:space="0" w:color="auto"/>
            </w:tcBorders>
            <w:noWrap/>
            <w:hideMark/>
          </w:tcPr>
          <w:p w14:paraId="23512877" w14:textId="77777777" w:rsidR="00C15F2E" w:rsidRPr="00D96063" w:rsidRDefault="00C15F2E" w:rsidP="00053198">
            <w:pPr>
              <w:jc w:val="right"/>
              <w:rPr>
                <w:sz w:val="14"/>
              </w:rPr>
            </w:pPr>
            <w:r w:rsidRPr="00D96063">
              <w:rPr>
                <w:rFonts w:cs="Calibri"/>
                <w:sz w:val="14"/>
                <w:szCs w:val="14"/>
              </w:rPr>
              <w:t>566</w:t>
            </w:r>
          </w:p>
        </w:tc>
        <w:tc>
          <w:tcPr>
            <w:tcW w:w="470" w:type="pct"/>
            <w:tcBorders>
              <w:top w:val="nil"/>
              <w:left w:val="single" w:sz="4" w:space="0" w:color="auto"/>
              <w:bottom w:val="nil"/>
              <w:right w:val="single" w:sz="4" w:space="0" w:color="auto"/>
            </w:tcBorders>
            <w:noWrap/>
            <w:hideMark/>
          </w:tcPr>
          <w:p w14:paraId="7B8A3545" w14:textId="77777777" w:rsidR="00C15F2E" w:rsidRPr="00D96063" w:rsidRDefault="00C15F2E" w:rsidP="00053198">
            <w:pPr>
              <w:jc w:val="right"/>
              <w:rPr>
                <w:sz w:val="14"/>
              </w:rPr>
            </w:pPr>
            <w:r w:rsidRPr="00D96063">
              <w:rPr>
                <w:sz w:val="14"/>
              </w:rPr>
              <w:t>460</w:t>
            </w:r>
          </w:p>
        </w:tc>
        <w:tc>
          <w:tcPr>
            <w:tcW w:w="477" w:type="pct"/>
            <w:tcBorders>
              <w:top w:val="nil"/>
              <w:left w:val="single" w:sz="4" w:space="0" w:color="auto"/>
              <w:bottom w:val="nil"/>
              <w:right w:val="single" w:sz="4" w:space="0" w:color="auto"/>
            </w:tcBorders>
            <w:noWrap/>
            <w:hideMark/>
          </w:tcPr>
          <w:p w14:paraId="002A8252" w14:textId="77777777" w:rsidR="00C15F2E" w:rsidRPr="00D96063" w:rsidRDefault="00C15F2E" w:rsidP="002C1DC3">
            <w:pPr>
              <w:ind w:right="170"/>
              <w:jc w:val="right"/>
              <w:rPr>
                <w:sz w:val="14"/>
              </w:rPr>
            </w:pPr>
            <w:r w:rsidRPr="00D96063">
              <w:rPr>
                <w:sz w:val="14"/>
              </w:rPr>
              <w:t xml:space="preserve">1.0 </w:t>
            </w:r>
          </w:p>
        </w:tc>
        <w:tc>
          <w:tcPr>
            <w:tcW w:w="471" w:type="pct"/>
            <w:tcBorders>
              <w:top w:val="nil"/>
              <w:left w:val="single" w:sz="4" w:space="0" w:color="auto"/>
              <w:bottom w:val="nil"/>
              <w:right w:val="single" w:sz="4" w:space="0" w:color="auto"/>
            </w:tcBorders>
            <w:noWrap/>
            <w:hideMark/>
          </w:tcPr>
          <w:p w14:paraId="79D626C7" w14:textId="77777777" w:rsidR="00C15F2E" w:rsidRPr="00D96063" w:rsidRDefault="00C15F2E" w:rsidP="00053198">
            <w:pPr>
              <w:jc w:val="right"/>
              <w:rPr>
                <w:sz w:val="14"/>
              </w:rPr>
            </w:pPr>
            <w:r w:rsidRPr="00D96063">
              <w:rPr>
                <w:sz w:val="14"/>
              </w:rPr>
              <w:t>399.0</w:t>
            </w:r>
          </w:p>
        </w:tc>
        <w:tc>
          <w:tcPr>
            <w:tcW w:w="361" w:type="pct"/>
            <w:tcBorders>
              <w:top w:val="nil"/>
              <w:left w:val="single" w:sz="4" w:space="0" w:color="auto"/>
              <w:bottom w:val="nil"/>
              <w:right w:val="single" w:sz="4" w:space="0" w:color="auto"/>
            </w:tcBorders>
            <w:noWrap/>
            <w:hideMark/>
          </w:tcPr>
          <w:p w14:paraId="279A99D4" w14:textId="77777777" w:rsidR="00C15F2E" w:rsidRPr="00D96063" w:rsidRDefault="00C15F2E" w:rsidP="00053198">
            <w:pPr>
              <w:jc w:val="right"/>
              <w:rPr>
                <w:sz w:val="14"/>
              </w:rPr>
            </w:pPr>
            <w:r w:rsidRPr="00D96063">
              <w:rPr>
                <w:sz w:val="14"/>
              </w:rPr>
              <w:t>4.7</w:t>
            </w:r>
          </w:p>
        </w:tc>
      </w:tr>
      <w:tr w:rsidR="00C15F2E" w:rsidRPr="00D96063" w14:paraId="69B8A1CE"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7C286A7C" w14:textId="77777777" w:rsidR="00C15F2E" w:rsidRPr="00D96063" w:rsidRDefault="00C15F2E" w:rsidP="00053198">
            <w:pPr>
              <w:jc w:val="left"/>
              <w:rPr>
                <w:sz w:val="14"/>
              </w:rPr>
            </w:pPr>
            <w:r w:rsidRPr="00D96063">
              <w:rPr>
                <w:sz w:val="14"/>
              </w:rPr>
              <w:t>Coconuts</w:t>
            </w:r>
          </w:p>
        </w:tc>
        <w:tc>
          <w:tcPr>
            <w:tcW w:w="313" w:type="pct"/>
            <w:tcBorders>
              <w:top w:val="nil"/>
              <w:left w:val="single" w:sz="4" w:space="0" w:color="auto"/>
              <w:bottom w:val="nil"/>
              <w:right w:val="single" w:sz="4" w:space="0" w:color="auto"/>
            </w:tcBorders>
            <w:noWrap/>
            <w:hideMark/>
          </w:tcPr>
          <w:p w14:paraId="358A1F0B" w14:textId="77777777" w:rsidR="00C15F2E" w:rsidRPr="00D96063" w:rsidRDefault="00C15F2E" w:rsidP="00053198">
            <w:pPr>
              <w:jc w:val="right"/>
              <w:rPr>
                <w:sz w:val="14"/>
              </w:rPr>
            </w:pPr>
            <w:r w:rsidRPr="00D96063">
              <w:rPr>
                <w:sz w:val="14"/>
              </w:rPr>
              <w:t>380</w:t>
            </w:r>
          </w:p>
        </w:tc>
        <w:tc>
          <w:tcPr>
            <w:tcW w:w="393" w:type="pct"/>
            <w:tcBorders>
              <w:top w:val="nil"/>
              <w:left w:val="single" w:sz="4" w:space="0" w:color="auto"/>
              <w:bottom w:val="nil"/>
              <w:right w:val="single" w:sz="4" w:space="0" w:color="auto"/>
            </w:tcBorders>
            <w:noWrap/>
            <w:hideMark/>
          </w:tcPr>
          <w:p w14:paraId="0ED5B68D" w14:textId="77777777" w:rsidR="00C15F2E" w:rsidRPr="00D96063" w:rsidRDefault="00C15F2E" w:rsidP="00053198">
            <w:pPr>
              <w:jc w:val="right"/>
              <w:rPr>
                <w:sz w:val="14"/>
              </w:rPr>
            </w:pPr>
            <w:r w:rsidRPr="00D96063">
              <w:rPr>
                <w:sz w:val="14"/>
              </w:rPr>
              <w:t>380</w:t>
            </w:r>
          </w:p>
        </w:tc>
        <w:tc>
          <w:tcPr>
            <w:tcW w:w="394" w:type="pct"/>
            <w:tcBorders>
              <w:top w:val="nil"/>
              <w:left w:val="single" w:sz="4" w:space="0" w:color="auto"/>
              <w:bottom w:val="nil"/>
              <w:right w:val="single" w:sz="4" w:space="0" w:color="auto"/>
            </w:tcBorders>
            <w:noWrap/>
            <w:hideMark/>
          </w:tcPr>
          <w:p w14:paraId="37C8F2A0" w14:textId="77777777" w:rsidR="00C15F2E" w:rsidRPr="00D96063" w:rsidRDefault="00C15F2E" w:rsidP="00053198">
            <w:pPr>
              <w:jc w:val="right"/>
              <w:rPr>
                <w:sz w:val="14"/>
              </w:rPr>
            </w:pPr>
            <w:r w:rsidRPr="00D96063">
              <w:rPr>
                <w:sz w:val="14"/>
              </w:rPr>
              <w:t>380</w:t>
            </w:r>
          </w:p>
        </w:tc>
        <w:tc>
          <w:tcPr>
            <w:tcW w:w="393" w:type="pct"/>
            <w:tcBorders>
              <w:top w:val="nil"/>
              <w:left w:val="single" w:sz="4" w:space="0" w:color="auto"/>
              <w:bottom w:val="nil"/>
              <w:right w:val="single" w:sz="4" w:space="0" w:color="auto"/>
            </w:tcBorders>
            <w:noWrap/>
            <w:hideMark/>
          </w:tcPr>
          <w:p w14:paraId="3310AED4" w14:textId="77777777" w:rsidR="00C15F2E" w:rsidRPr="00D96063" w:rsidRDefault="00C15F2E" w:rsidP="00053198">
            <w:pPr>
              <w:jc w:val="right"/>
              <w:rPr>
                <w:sz w:val="14"/>
              </w:rPr>
            </w:pPr>
            <w:r w:rsidRPr="00D96063">
              <w:rPr>
                <w:sz w:val="14"/>
              </w:rPr>
              <w:t>384</w:t>
            </w:r>
          </w:p>
        </w:tc>
        <w:tc>
          <w:tcPr>
            <w:tcW w:w="393" w:type="pct"/>
            <w:tcBorders>
              <w:top w:val="nil"/>
              <w:left w:val="single" w:sz="4" w:space="0" w:color="auto"/>
              <w:bottom w:val="nil"/>
              <w:right w:val="single" w:sz="4" w:space="0" w:color="auto"/>
            </w:tcBorders>
            <w:noWrap/>
            <w:hideMark/>
          </w:tcPr>
          <w:p w14:paraId="220FD887" w14:textId="77777777" w:rsidR="00C15F2E" w:rsidRPr="00D96063" w:rsidRDefault="00C15F2E" w:rsidP="00053198">
            <w:pPr>
              <w:jc w:val="right"/>
              <w:rPr>
                <w:sz w:val="14"/>
              </w:rPr>
            </w:pPr>
            <w:r w:rsidRPr="00D96063">
              <w:rPr>
                <w:sz w:val="14"/>
              </w:rPr>
              <w:t>395</w:t>
            </w:r>
          </w:p>
        </w:tc>
        <w:tc>
          <w:tcPr>
            <w:tcW w:w="393" w:type="pct"/>
            <w:tcBorders>
              <w:top w:val="nil"/>
              <w:left w:val="single" w:sz="4" w:space="0" w:color="auto"/>
              <w:bottom w:val="nil"/>
              <w:right w:val="single" w:sz="4" w:space="0" w:color="auto"/>
            </w:tcBorders>
            <w:noWrap/>
            <w:hideMark/>
          </w:tcPr>
          <w:p w14:paraId="54F280E4" w14:textId="77777777" w:rsidR="00C15F2E" w:rsidRPr="00D96063" w:rsidRDefault="00C15F2E" w:rsidP="00053198">
            <w:pPr>
              <w:jc w:val="right"/>
              <w:rPr>
                <w:sz w:val="14"/>
              </w:rPr>
            </w:pPr>
            <w:r w:rsidRPr="00D96063">
              <w:rPr>
                <w:sz w:val="14"/>
              </w:rPr>
              <w:t>404</w:t>
            </w:r>
          </w:p>
        </w:tc>
        <w:tc>
          <w:tcPr>
            <w:tcW w:w="393" w:type="pct"/>
            <w:tcBorders>
              <w:top w:val="nil"/>
              <w:left w:val="single" w:sz="4" w:space="0" w:color="auto"/>
              <w:bottom w:val="nil"/>
              <w:right w:val="single" w:sz="4" w:space="0" w:color="auto"/>
            </w:tcBorders>
            <w:noWrap/>
            <w:hideMark/>
          </w:tcPr>
          <w:p w14:paraId="7647A076" w14:textId="77777777" w:rsidR="00C15F2E" w:rsidRPr="00D96063" w:rsidRDefault="00C15F2E" w:rsidP="00053198">
            <w:pPr>
              <w:jc w:val="right"/>
              <w:rPr>
                <w:sz w:val="14"/>
              </w:rPr>
            </w:pPr>
            <w:r w:rsidRPr="00D96063">
              <w:rPr>
                <w:rFonts w:cs="Calibri"/>
                <w:sz w:val="14"/>
                <w:szCs w:val="14"/>
              </w:rPr>
              <w:t>142</w:t>
            </w:r>
          </w:p>
        </w:tc>
        <w:tc>
          <w:tcPr>
            <w:tcW w:w="470" w:type="pct"/>
            <w:tcBorders>
              <w:top w:val="nil"/>
              <w:left w:val="single" w:sz="4" w:space="0" w:color="auto"/>
              <w:bottom w:val="nil"/>
              <w:right w:val="single" w:sz="4" w:space="0" w:color="auto"/>
            </w:tcBorders>
            <w:noWrap/>
            <w:hideMark/>
          </w:tcPr>
          <w:p w14:paraId="34E3D5D0" w14:textId="77777777" w:rsidR="00C15F2E" w:rsidRPr="00D96063" w:rsidRDefault="00C15F2E" w:rsidP="00053198">
            <w:pPr>
              <w:jc w:val="right"/>
              <w:rPr>
                <w:sz w:val="14"/>
              </w:rPr>
            </w:pPr>
            <w:r w:rsidRPr="00D96063">
              <w:rPr>
                <w:sz w:val="14"/>
              </w:rPr>
              <w:t>387</w:t>
            </w:r>
          </w:p>
        </w:tc>
        <w:tc>
          <w:tcPr>
            <w:tcW w:w="477" w:type="pct"/>
            <w:tcBorders>
              <w:top w:val="nil"/>
              <w:left w:val="single" w:sz="4" w:space="0" w:color="auto"/>
              <w:bottom w:val="nil"/>
              <w:right w:val="single" w:sz="4" w:space="0" w:color="auto"/>
            </w:tcBorders>
            <w:noWrap/>
            <w:hideMark/>
          </w:tcPr>
          <w:p w14:paraId="238E6BA6" w14:textId="77777777" w:rsidR="00C15F2E" w:rsidRPr="00D96063" w:rsidRDefault="00C15F2E" w:rsidP="002C1DC3">
            <w:pPr>
              <w:ind w:right="170"/>
              <w:jc w:val="right"/>
              <w:rPr>
                <w:sz w:val="14"/>
              </w:rPr>
            </w:pPr>
            <w:r w:rsidRPr="00D96063">
              <w:rPr>
                <w:sz w:val="14"/>
              </w:rPr>
              <w:t xml:space="preserve">0.6 </w:t>
            </w:r>
          </w:p>
        </w:tc>
        <w:tc>
          <w:tcPr>
            <w:tcW w:w="471" w:type="pct"/>
            <w:tcBorders>
              <w:top w:val="nil"/>
              <w:left w:val="single" w:sz="4" w:space="0" w:color="auto"/>
              <w:bottom w:val="nil"/>
              <w:right w:val="single" w:sz="4" w:space="0" w:color="auto"/>
            </w:tcBorders>
            <w:noWrap/>
            <w:hideMark/>
          </w:tcPr>
          <w:p w14:paraId="29C4860A" w14:textId="77777777" w:rsidR="00C15F2E" w:rsidRPr="00D96063" w:rsidRDefault="00C15F2E" w:rsidP="00053198">
            <w:pPr>
              <w:jc w:val="right"/>
              <w:rPr>
                <w:sz w:val="14"/>
              </w:rPr>
            </w:pPr>
            <w:r w:rsidRPr="00D96063">
              <w:rPr>
                <w:sz w:val="14"/>
              </w:rPr>
              <w:t>25.6</w:t>
            </w:r>
          </w:p>
        </w:tc>
        <w:tc>
          <w:tcPr>
            <w:tcW w:w="361" w:type="pct"/>
            <w:tcBorders>
              <w:top w:val="nil"/>
              <w:left w:val="single" w:sz="4" w:space="0" w:color="auto"/>
              <w:bottom w:val="nil"/>
              <w:right w:val="single" w:sz="4" w:space="0" w:color="auto"/>
            </w:tcBorders>
            <w:noWrap/>
            <w:hideMark/>
          </w:tcPr>
          <w:p w14:paraId="7356F317" w14:textId="77777777" w:rsidR="00C15F2E" w:rsidRPr="00D96063" w:rsidRDefault="00C15F2E" w:rsidP="00053198">
            <w:pPr>
              <w:jc w:val="right"/>
              <w:rPr>
                <w:sz w:val="14"/>
              </w:rPr>
            </w:pPr>
            <w:r w:rsidRPr="00D96063">
              <w:rPr>
                <w:sz w:val="14"/>
              </w:rPr>
              <w:t>1.2</w:t>
            </w:r>
          </w:p>
        </w:tc>
      </w:tr>
      <w:tr w:rsidR="00C15F2E" w:rsidRPr="00D96063" w14:paraId="7B1DFF8C" w14:textId="77777777" w:rsidTr="00053198">
        <w:trPr>
          <w:trHeight w:val="240"/>
        </w:trPr>
        <w:tc>
          <w:tcPr>
            <w:tcW w:w="548" w:type="pct"/>
            <w:tcBorders>
              <w:top w:val="nil"/>
              <w:left w:val="single" w:sz="4" w:space="0" w:color="auto"/>
              <w:bottom w:val="nil"/>
              <w:right w:val="single" w:sz="4" w:space="0" w:color="auto"/>
            </w:tcBorders>
            <w:noWrap/>
            <w:hideMark/>
          </w:tcPr>
          <w:p w14:paraId="6B243DC4" w14:textId="77777777" w:rsidR="00C15F2E" w:rsidRPr="00D96063" w:rsidRDefault="00C15F2E" w:rsidP="00053198">
            <w:pPr>
              <w:jc w:val="left"/>
              <w:rPr>
                <w:sz w:val="14"/>
              </w:rPr>
            </w:pPr>
            <w:r w:rsidRPr="00D96063">
              <w:rPr>
                <w:sz w:val="14"/>
              </w:rPr>
              <w:t>Tomatoes</w:t>
            </w:r>
          </w:p>
        </w:tc>
        <w:tc>
          <w:tcPr>
            <w:tcW w:w="313" w:type="pct"/>
            <w:tcBorders>
              <w:top w:val="nil"/>
              <w:left w:val="single" w:sz="4" w:space="0" w:color="auto"/>
              <w:bottom w:val="nil"/>
              <w:right w:val="single" w:sz="4" w:space="0" w:color="auto"/>
            </w:tcBorders>
            <w:noWrap/>
            <w:hideMark/>
          </w:tcPr>
          <w:p w14:paraId="6862718D" w14:textId="77777777" w:rsidR="00C15F2E" w:rsidRPr="00D96063" w:rsidRDefault="00C15F2E" w:rsidP="00053198">
            <w:pPr>
              <w:jc w:val="right"/>
              <w:rPr>
                <w:sz w:val="14"/>
              </w:rPr>
            </w:pPr>
            <w:r w:rsidRPr="00D96063">
              <w:rPr>
                <w:sz w:val="14"/>
              </w:rPr>
              <w:t>367</w:t>
            </w:r>
          </w:p>
        </w:tc>
        <w:tc>
          <w:tcPr>
            <w:tcW w:w="393" w:type="pct"/>
            <w:tcBorders>
              <w:top w:val="nil"/>
              <w:left w:val="single" w:sz="4" w:space="0" w:color="auto"/>
              <w:bottom w:val="nil"/>
              <w:right w:val="single" w:sz="4" w:space="0" w:color="auto"/>
            </w:tcBorders>
            <w:noWrap/>
            <w:hideMark/>
          </w:tcPr>
          <w:p w14:paraId="23AB170D" w14:textId="77777777" w:rsidR="00C15F2E" w:rsidRPr="00D96063" w:rsidRDefault="00C15F2E" w:rsidP="00053198">
            <w:pPr>
              <w:jc w:val="right"/>
              <w:rPr>
                <w:sz w:val="14"/>
              </w:rPr>
            </w:pPr>
            <w:r w:rsidRPr="00D96063">
              <w:rPr>
                <w:sz w:val="14"/>
              </w:rPr>
              <w:t>367</w:t>
            </w:r>
          </w:p>
        </w:tc>
        <w:tc>
          <w:tcPr>
            <w:tcW w:w="394" w:type="pct"/>
            <w:tcBorders>
              <w:top w:val="nil"/>
              <w:left w:val="single" w:sz="4" w:space="0" w:color="auto"/>
              <w:bottom w:val="nil"/>
              <w:right w:val="single" w:sz="4" w:space="0" w:color="auto"/>
            </w:tcBorders>
            <w:noWrap/>
            <w:hideMark/>
          </w:tcPr>
          <w:p w14:paraId="75A0059E" w14:textId="77777777" w:rsidR="00C15F2E" w:rsidRPr="00D96063" w:rsidRDefault="00C15F2E" w:rsidP="00053198">
            <w:pPr>
              <w:jc w:val="right"/>
              <w:rPr>
                <w:sz w:val="14"/>
              </w:rPr>
            </w:pPr>
            <w:r w:rsidRPr="00D96063">
              <w:rPr>
                <w:sz w:val="14"/>
              </w:rPr>
              <w:t>367</w:t>
            </w:r>
          </w:p>
        </w:tc>
        <w:tc>
          <w:tcPr>
            <w:tcW w:w="393" w:type="pct"/>
            <w:tcBorders>
              <w:top w:val="nil"/>
              <w:left w:val="single" w:sz="4" w:space="0" w:color="auto"/>
              <w:bottom w:val="nil"/>
              <w:right w:val="single" w:sz="4" w:space="0" w:color="auto"/>
            </w:tcBorders>
            <w:noWrap/>
            <w:hideMark/>
          </w:tcPr>
          <w:p w14:paraId="17046B92" w14:textId="77777777" w:rsidR="00C15F2E" w:rsidRPr="00D96063" w:rsidRDefault="00C15F2E" w:rsidP="00053198">
            <w:pPr>
              <w:jc w:val="right"/>
              <w:rPr>
                <w:sz w:val="14"/>
              </w:rPr>
            </w:pPr>
            <w:r w:rsidRPr="00D96063">
              <w:rPr>
                <w:sz w:val="14"/>
              </w:rPr>
              <w:t>370</w:t>
            </w:r>
          </w:p>
        </w:tc>
        <w:tc>
          <w:tcPr>
            <w:tcW w:w="393" w:type="pct"/>
            <w:tcBorders>
              <w:top w:val="nil"/>
              <w:left w:val="single" w:sz="4" w:space="0" w:color="auto"/>
              <w:bottom w:val="nil"/>
              <w:right w:val="single" w:sz="4" w:space="0" w:color="auto"/>
            </w:tcBorders>
            <w:noWrap/>
            <w:hideMark/>
          </w:tcPr>
          <w:p w14:paraId="1F9F8C8B" w14:textId="77777777" w:rsidR="00C15F2E" w:rsidRPr="00D96063" w:rsidRDefault="00C15F2E" w:rsidP="00053198">
            <w:pPr>
              <w:jc w:val="right"/>
              <w:rPr>
                <w:sz w:val="14"/>
              </w:rPr>
            </w:pPr>
            <w:r w:rsidRPr="00D96063">
              <w:rPr>
                <w:sz w:val="14"/>
              </w:rPr>
              <w:t>392</w:t>
            </w:r>
          </w:p>
        </w:tc>
        <w:tc>
          <w:tcPr>
            <w:tcW w:w="393" w:type="pct"/>
            <w:tcBorders>
              <w:top w:val="nil"/>
              <w:left w:val="single" w:sz="4" w:space="0" w:color="auto"/>
              <w:bottom w:val="nil"/>
              <w:right w:val="single" w:sz="4" w:space="0" w:color="auto"/>
            </w:tcBorders>
            <w:noWrap/>
            <w:hideMark/>
          </w:tcPr>
          <w:p w14:paraId="46DF756E" w14:textId="77777777" w:rsidR="00C15F2E" w:rsidRPr="00D96063" w:rsidRDefault="00C15F2E" w:rsidP="00053198">
            <w:pPr>
              <w:jc w:val="right"/>
              <w:rPr>
                <w:sz w:val="14"/>
              </w:rPr>
            </w:pPr>
            <w:r w:rsidRPr="00D96063">
              <w:rPr>
                <w:sz w:val="14"/>
              </w:rPr>
              <w:t>396</w:t>
            </w:r>
          </w:p>
        </w:tc>
        <w:tc>
          <w:tcPr>
            <w:tcW w:w="393" w:type="pct"/>
            <w:tcBorders>
              <w:top w:val="nil"/>
              <w:left w:val="single" w:sz="4" w:space="0" w:color="auto"/>
              <w:bottom w:val="nil"/>
              <w:right w:val="single" w:sz="4" w:space="0" w:color="auto"/>
            </w:tcBorders>
            <w:noWrap/>
            <w:hideMark/>
          </w:tcPr>
          <w:p w14:paraId="05A8DB00" w14:textId="77777777" w:rsidR="00C15F2E" w:rsidRPr="00D96063" w:rsidRDefault="00C15F2E" w:rsidP="00053198">
            <w:pPr>
              <w:jc w:val="right"/>
              <w:rPr>
                <w:sz w:val="14"/>
              </w:rPr>
            </w:pPr>
            <w:r w:rsidRPr="00D96063">
              <w:rPr>
                <w:rFonts w:cs="Calibri"/>
                <w:sz w:val="14"/>
                <w:szCs w:val="14"/>
              </w:rPr>
              <w:t>369</w:t>
            </w:r>
          </w:p>
        </w:tc>
        <w:tc>
          <w:tcPr>
            <w:tcW w:w="470" w:type="pct"/>
            <w:tcBorders>
              <w:top w:val="nil"/>
              <w:left w:val="single" w:sz="4" w:space="0" w:color="auto"/>
              <w:bottom w:val="nil"/>
              <w:right w:val="single" w:sz="4" w:space="0" w:color="auto"/>
            </w:tcBorders>
            <w:noWrap/>
            <w:hideMark/>
          </w:tcPr>
          <w:p w14:paraId="39E640E7" w14:textId="77777777" w:rsidR="00C15F2E" w:rsidRPr="00D96063" w:rsidRDefault="00C15F2E" w:rsidP="00053198">
            <w:pPr>
              <w:jc w:val="right"/>
              <w:rPr>
                <w:sz w:val="14"/>
              </w:rPr>
            </w:pPr>
            <w:r w:rsidRPr="00D96063">
              <w:rPr>
                <w:sz w:val="14"/>
              </w:rPr>
              <w:t>376</w:t>
            </w:r>
          </w:p>
        </w:tc>
        <w:tc>
          <w:tcPr>
            <w:tcW w:w="477" w:type="pct"/>
            <w:tcBorders>
              <w:top w:val="nil"/>
              <w:left w:val="single" w:sz="4" w:space="0" w:color="auto"/>
              <w:bottom w:val="nil"/>
              <w:right w:val="single" w:sz="4" w:space="0" w:color="auto"/>
            </w:tcBorders>
            <w:noWrap/>
            <w:hideMark/>
          </w:tcPr>
          <w:p w14:paraId="5154B6B5" w14:textId="77777777" w:rsidR="00C15F2E" w:rsidRPr="00D96063" w:rsidRDefault="00C15F2E" w:rsidP="002C1DC3">
            <w:pPr>
              <w:ind w:right="170"/>
              <w:jc w:val="right"/>
              <w:rPr>
                <w:sz w:val="14"/>
              </w:rPr>
            </w:pPr>
            <w:r w:rsidRPr="00D96063">
              <w:rPr>
                <w:sz w:val="14"/>
              </w:rPr>
              <w:t xml:space="preserve">0.2 </w:t>
            </w:r>
          </w:p>
        </w:tc>
        <w:tc>
          <w:tcPr>
            <w:tcW w:w="471" w:type="pct"/>
            <w:tcBorders>
              <w:top w:val="nil"/>
              <w:left w:val="single" w:sz="4" w:space="0" w:color="auto"/>
              <w:bottom w:val="nil"/>
              <w:right w:val="single" w:sz="4" w:space="0" w:color="auto"/>
            </w:tcBorders>
            <w:noWrap/>
            <w:hideMark/>
          </w:tcPr>
          <w:p w14:paraId="39F220F6" w14:textId="77777777" w:rsidR="00C15F2E" w:rsidRPr="00D96063" w:rsidRDefault="00C15F2E" w:rsidP="00053198">
            <w:pPr>
              <w:jc w:val="right"/>
              <w:rPr>
                <w:sz w:val="14"/>
              </w:rPr>
            </w:pPr>
            <w:r w:rsidRPr="00D96063">
              <w:rPr>
                <w:sz w:val="14"/>
              </w:rPr>
              <w:t>343.6</w:t>
            </w:r>
          </w:p>
        </w:tc>
        <w:tc>
          <w:tcPr>
            <w:tcW w:w="361" w:type="pct"/>
            <w:tcBorders>
              <w:top w:val="nil"/>
              <w:left w:val="single" w:sz="4" w:space="0" w:color="auto"/>
              <w:bottom w:val="nil"/>
              <w:right w:val="single" w:sz="4" w:space="0" w:color="auto"/>
            </w:tcBorders>
            <w:noWrap/>
            <w:hideMark/>
          </w:tcPr>
          <w:p w14:paraId="18E743BA" w14:textId="77777777" w:rsidR="00C15F2E" w:rsidRPr="00D96063" w:rsidRDefault="00C15F2E" w:rsidP="00053198">
            <w:pPr>
              <w:jc w:val="right"/>
              <w:rPr>
                <w:sz w:val="14"/>
              </w:rPr>
            </w:pPr>
            <w:r w:rsidRPr="00D96063">
              <w:rPr>
                <w:sz w:val="14"/>
              </w:rPr>
              <w:t>1.5</w:t>
            </w:r>
          </w:p>
        </w:tc>
      </w:tr>
      <w:tr w:rsidR="00C15F2E" w:rsidRPr="00D96063" w14:paraId="762B2FA6"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48E19AEA" w14:textId="77777777" w:rsidR="00C15F2E" w:rsidRPr="00D96063" w:rsidRDefault="00C15F2E" w:rsidP="00053198">
            <w:pPr>
              <w:jc w:val="left"/>
              <w:rPr>
                <w:sz w:val="14"/>
              </w:rPr>
            </w:pPr>
            <w:r w:rsidRPr="00D96063">
              <w:rPr>
                <w:sz w:val="14"/>
              </w:rPr>
              <w:t>Beer of barley</w:t>
            </w:r>
          </w:p>
        </w:tc>
        <w:tc>
          <w:tcPr>
            <w:tcW w:w="313" w:type="pct"/>
            <w:tcBorders>
              <w:top w:val="nil"/>
              <w:left w:val="single" w:sz="4" w:space="0" w:color="auto"/>
              <w:bottom w:val="nil"/>
              <w:right w:val="single" w:sz="4" w:space="0" w:color="auto"/>
            </w:tcBorders>
            <w:noWrap/>
            <w:hideMark/>
          </w:tcPr>
          <w:p w14:paraId="1200E2FE" w14:textId="77777777" w:rsidR="00C15F2E" w:rsidRPr="00D96063" w:rsidRDefault="00C15F2E" w:rsidP="00053198">
            <w:pPr>
              <w:jc w:val="right"/>
              <w:rPr>
                <w:sz w:val="14"/>
              </w:rPr>
            </w:pPr>
            <w:r w:rsidRPr="00D96063">
              <w:rPr>
                <w:sz w:val="14"/>
              </w:rPr>
              <w:t>275</w:t>
            </w:r>
          </w:p>
        </w:tc>
        <w:tc>
          <w:tcPr>
            <w:tcW w:w="393" w:type="pct"/>
            <w:tcBorders>
              <w:top w:val="nil"/>
              <w:left w:val="single" w:sz="4" w:space="0" w:color="auto"/>
              <w:bottom w:val="nil"/>
              <w:right w:val="single" w:sz="4" w:space="0" w:color="auto"/>
            </w:tcBorders>
            <w:noWrap/>
            <w:hideMark/>
          </w:tcPr>
          <w:p w14:paraId="4710F7E6" w14:textId="77777777" w:rsidR="00C15F2E" w:rsidRPr="00D96063" w:rsidRDefault="00C15F2E" w:rsidP="00053198">
            <w:pPr>
              <w:jc w:val="right"/>
              <w:rPr>
                <w:sz w:val="14"/>
              </w:rPr>
            </w:pPr>
            <w:r w:rsidRPr="00D96063">
              <w:rPr>
                <w:sz w:val="14"/>
              </w:rPr>
              <w:t>270</w:t>
            </w:r>
          </w:p>
        </w:tc>
        <w:tc>
          <w:tcPr>
            <w:tcW w:w="394" w:type="pct"/>
            <w:tcBorders>
              <w:top w:val="nil"/>
              <w:left w:val="single" w:sz="4" w:space="0" w:color="auto"/>
              <w:bottom w:val="nil"/>
              <w:right w:val="single" w:sz="4" w:space="0" w:color="auto"/>
            </w:tcBorders>
            <w:noWrap/>
            <w:hideMark/>
          </w:tcPr>
          <w:p w14:paraId="71031349" w14:textId="77777777" w:rsidR="00C15F2E" w:rsidRPr="00D96063" w:rsidRDefault="00C15F2E" w:rsidP="00053198">
            <w:pPr>
              <w:jc w:val="right"/>
              <w:rPr>
                <w:sz w:val="14"/>
              </w:rPr>
            </w:pPr>
            <w:r w:rsidRPr="00D96063">
              <w:rPr>
                <w:sz w:val="14"/>
              </w:rPr>
              <w:t>280</w:t>
            </w:r>
          </w:p>
        </w:tc>
        <w:tc>
          <w:tcPr>
            <w:tcW w:w="393" w:type="pct"/>
            <w:tcBorders>
              <w:top w:val="nil"/>
              <w:left w:val="single" w:sz="4" w:space="0" w:color="auto"/>
              <w:bottom w:val="nil"/>
              <w:right w:val="single" w:sz="4" w:space="0" w:color="auto"/>
            </w:tcBorders>
            <w:noWrap/>
            <w:hideMark/>
          </w:tcPr>
          <w:p w14:paraId="1E07C478" w14:textId="77777777" w:rsidR="00C15F2E" w:rsidRPr="00D96063" w:rsidRDefault="00C15F2E" w:rsidP="00053198">
            <w:pPr>
              <w:jc w:val="right"/>
              <w:rPr>
                <w:sz w:val="14"/>
              </w:rPr>
            </w:pPr>
            <w:r w:rsidRPr="00D96063">
              <w:rPr>
                <w:sz w:val="14"/>
              </w:rPr>
              <w:t>285</w:t>
            </w:r>
          </w:p>
        </w:tc>
        <w:tc>
          <w:tcPr>
            <w:tcW w:w="393" w:type="pct"/>
            <w:tcBorders>
              <w:top w:val="nil"/>
              <w:left w:val="single" w:sz="4" w:space="0" w:color="auto"/>
              <w:bottom w:val="nil"/>
              <w:right w:val="single" w:sz="4" w:space="0" w:color="auto"/>
            </w:tcBorders>
            <w:noWrap/>
            <w:hideMark/>
          </w:tcPr>
          <w:p w14:paraId="2B08E744" w14:textId="77777777" w:rsidR="00C15F2E" w:rsidRPr="00D96063" w:rsidRDefault="00C15F2E" w:rsidP="00053198">
            <w:pPr>
              <w:jc w:val="right"/>
              <w:rPr>
                <w:sz w:val="14"/>
              </w:rPr>
            </w:pPr>
            <w:r w:rsidRPr="00D96063">
              <w:rPr>
                <w:sz w:val="14"/>
              </w:rPr>
              <w:t>285</w:t>
            </w:r>
          </w:p>
        </w:tc>
        <w:tc>
          <w:tcPr>
            <w:tcW w:w="393" w:type="pct"/>
            <w:tcBorders>
              <w:top w:val="nil"/>
              <w:left w:val="single" w:sz="4" w:space="0" w:color="auto"/>
              <w:bottom w:val="nil"/>
              <w:right w:val="single" w:sz="4" w:space="0" w:color="auto"/>
            </w:tcBorders>
            <w:noWrap/>
            <w:hideMark/>
          </w:tcPr>
          <w:p w14:paraId="0F9CF3F9" w14:textId="77777777" w:rsidR="00C15F2E" w:rsidRPr="00D96063" w:rsidRDefault="00C15F2E" w:rsidP="00053198">
            <w:pPr>
              <w:jc w:val="right"/>
              <w:rPr>
                <w:sz w:val="14"/>
              </w:rPr>
            </w:pPr>
            <w:r w:rsidRPr="00D96063">
              <w:rPr>
                <w:sz w:val="14"/>
              </w:rPr>
              <w:t>..</w:t>
            </w:r>
          </w:p>
        </w:tc>
        <w:tc>
          <w:tcPr>
            <w:tcW w:w="393" w:type="pct"/>
            <w:tcBorders>
              <w:top w:val="nil"/>
              <w:left w:val="single" w:sz="4" w:space="0" w:color="auto"/>
              <w:bottom w:val="nil"/>
              <w:right w:val="single" w:sz="4" w:space="0" w:color="auto"/>
            </w:tcBorders>
            <w:noWrap/>
            <w:hideMark/>
          </w:tcPr>
          <w:p w14:paraId="134849E3"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nil"/>
              <w:right w:val="single" w:sz="4" w:space="0" w:color="auto"/>
            </w:tcBorders>
            <w:noWrap/>
            <w:hideMark/>
          </w:tcPr>
          <w:p w14:paraId="5747464E" w14:textId="77777777" w:rsidR="00C15F2E" w:rsidRPr="00D96063" w:rsidRDefault="00C15F2E" w:rsidP="00053198">
            <w:pPr>
              <w:jc w:val="right"/>
              <w:rPr>
                <w:sz w:val="14"/>
              </w:rPr>
            </w:pPr>
            <w:r w:rsidRPr="00D96063">
              <w:rPr>
                <w:sz w:val="14"/>
              </w:rPr>
              <w:t>279</w:t>
            </w:r>
          </w:p>
        </w:tc>
        <w:tc>
          <w:tcPr>
            <w:tcW w:w="477" w:type="pct"/>
            <w:tcBorders>
              <w:top w:val="nil"/>
              <w:left w:val="single" w:sz="4" w:space="0" w:color="auto"/>
              <w:bottom w:val="nil"/>
              <w:right w:val="single" w:sz="4" w:space="0" w:color="auto"/>
            </w:tcBorders>
            <w:noWrap/>
            <w:hideMark/>
          </w:tcPr>
          <w:p w14:paraId="64610B0E" w14:textId="77777777" w:rsidR="00C15F2E" w:rsidRPr="00D96063" w:rsidRDefault="00C15F2E" w:rsidP="002C1DC3">
            <w:pPr>
              <w:ind w:right="170"/>
              <w:jc w:val="right"/>
              <w:rPr>
                <w:sz w:val="14"/>
              </w:rPr>
            </w:pPr>
            <w:r w:rsidRPr="00D96063">
              <w:rPr>
                <w:sz w:val="14"/>
              </w:rPr>
              <w:t xml:space="preserve">0.1 </w:t>
            </w:r>
          </w:p>
        </w:tc>
        <w:tc>
          <w:tcPr>
            <w:tcW w:w="471" w:type="pct"/>
            <w:tcBorders>
              <w:top w:val="nil"/>
              <w:left w:val="single" w:sz="4" w:space="0" w:color="auto"/>
              <w:bottom w:val="nil"/>
              <w:right w:val="single" w:sz="4" w:space="0" w:color="auto"/>
            </w:tcBorders>
            <w:noWrap/>
            <w:hideMark/>
          </w:tcPr>
          <w:p w14:paraId="79F2076D" w14:textId="77777777" w:rsidR="00C15F2E" w:rsidRPr="00D96063" w:rsidRDefault="00C15F2E" w:rsidP="00053198">
            <w:pPr>
              <w:jc w:val="right"/>
              <w:rPr>
                <w:sz w:val="14"/>
              </w:rPr>
            </w:pPr>
            <w:r w:rsidRPr="00D96063">
              <w:rPr>
                <w:sz w:val="14"/>
              </w:rPr>
              <w:t>..</w:t>
            </w:r>
          </w:p>
        </w:tc>
        <w:tc>
          <w:tcPr>
            <w:tcW w:w="361" w:type="pct"/>
            <w:tcBorders>
              <w:top w:val="nil"/>
              <w:left w:val="single" w:sz="4" w:space="0" w:color="auto"/>
              <w:bottom w:val="nil"/>
              <w:right w:val="single" w:sz="4" w:space="0" w:color="auto"/>
            </w:tcBorders>
            <w:noWrap/>
            <w:hideMark/>
          </w:tcPr>
          <w:p w14:paraId="5513DDA7" w14:textId="77777777" w:rsidR="00C15F2E" w:rsidRPr="00D96063" w:rsidRDefault="00C15F2E" w:rsidP="00053198">
            <w:pPr>
              <w:jc w:val="right"/>
              <w:rPr>
                <w:sz w:val="14"/>
              </w:rPr>
            </w:pPr>
            <w:r w:rsidRPr="00D96063">
              <w:rPr>
                <w:sz w:val="14"/>
              </w:rPr>
              <w:t>..</w:t>
            </w:r>
          </w:p>
        </w:tc>
      </w:tr>
      <w:tr w:rsidR="00C15F2E" w:rsidRPr="00D96063" w14:paraId="79D222F9" w14:textId="77777777" w:rsidTr="00053198">
        <w:trPr>
          <w:trHeight w:val="240"/>
        </w:trPr>
        <w:tc>
          <w:tcPr>
            <w:tcW w:w="548" w:type="pct"/>
            <w:tcBorders>
              <w:top w:val="nil"/>
              <w:left w:val="single" w:sz="4" w:space="0" w:color="auto"/>
              <w:bottom w:val="nil"/>
              <w:right w:val="single" w:sz="4" w:space="0" w:color="auto"/>
            </w:tcBorders>
            <w:noWrap/>
            <w:hideMark/>
          </w:tcPr>
          <w:p w14:paraId="71CFE74A" w14:textId="77777777" w:rsidR="00C15F2E" w:rsidRPr="00D96063" w:rsidRDefault="00C15F2E" w:rsidP="00053198">
            <w:pPr>
              <w:jc w:val="left"/>
              <w:rPr>
                <w:sz w:val="14"/>
              </w:rPr>
            </w:pPr>
            <w:r w:rsidRPr="00D96063">
              <w:rPr>
                <w:sz w:val="14"/>
              </w:rPr>
              <w:t>Sorghum</w:t>
            </w:r>
          </w:p>
        </w:tc>
        <w:tc>
          <w:tcPr>
            <w:tcW w:w="313" w:type="pct"/>
            <w:tcBorders>
              <w:top w:val="nil"/>
              <w:left w:val="single" w:sz="4" w:space="0" w:color="auto"/>
              <w:bottom w:val="nil"/>
              <w:right w:val="single" w:sz="4" w:space="0" w:color="auto"/>
            </w:tcBorders>
            <w:noWrap/>
            <w:hideMark/>
          </w:tcPr>
          <w:p w14:paraId="4FE908FA" w14:textId="77777777" w:rsidR="00C15F2E" w:rsidRPr="00D96063" w:rsidRDefault="00C15F2E" w:rsidP="00053198">
            <w:pPr>
              <w:jc w:val="right"/>
              <w:rPr>
                <w:sz w:val="14"/>
              </w:rPr>
            </w:pPr>
            <w:r w:rsidRPr="00D96063">
              <w:rPr>
                <w:sz w:val="14"/>
              </w:rPr>
              <w:t>259</w:t>
            </w:r>
          </w:p>
        </w:tc>
        <w:tc>
          <w:tcPr>
            <w:tcW w:w="393" w:type="pct"/>
            <w:tcBorders>
              <w:top w:val="nil"/>
              <w:left w:val="single" w:sz="4" w:space="0" w:color="auto"/>
              <w:bottom w:val="nil"/>
              <w:right w:val="single" w:sz="4" w:space="0" w:color="auto"/>
            </w:tcBorders>
            <w:noWrap/>
            <w:hideMark/>
          </w:tcPr>
          <w:p w14:paraId="3A0A4BD7" w14:textId="77777777" w:rsidR="00C15F2E" w:rsidRPr="00D96063" w:rsidRDefault="00C15F2E" w:rsidP="00053198">
            <w:pPr>
              <w:jc w:val="right"/>
              <w:rPr>
                <w:sz w:val="14"/>
              </w:rPr>
            </w:pPr>
            <w:r w:rsidRPr="00D96063">
              <w:rPr>
                <w:sz w:val="14"/>
              </w:rPr>
              <w:t>263</w:t>
            </w:r>
          </w:p>
        </w:tc>
        <w:tc>
          <w:tcPr>
            <w:tcW w:w="394" w:type="pct"/>
            <w:tcBorders>
              <w:top w:val="nil"/>
              <w:left w:val="single" w:sz="4" w:space="0" w:color="auto"/>
              <w:bottom w:val="nil"/>
              <w:right w:val="single" w:sz="4" w:space="0" w:color="auto"/>
            </w:tcBorders>
            <w:noWrap/>
            <w:hideMark/>
          </w:tcPr>
          <w:p w14:paraId="380C5BF6" w14:textId="77777777" w:rsidR="00C15F2E" w:rsidRPr="00D96063" w:rsidRDefault="00C15F2E" w:rsidP="00053198">
            <w:pPr>
              <w:jc w:val="right"/>
              <w:rPr>
                <w:sz w:val="14"/>
              </w:rPr>
            </w:pPr>
            <w:r w:rsidRPr="00D96063">
              <w:rPr>
                <w:sz w:val="14"/>
              </w:rPr>
              <w:t>230</w:t>
            </w:r>
          </w:p>
        </w:tc>
        <w:tc>
          <w:tcPr>
            <w:tcW w:w="393" w:type="pct"/>
            <w:tcBorders>
              <w:top w:val="nil"/>
              <w:left w:val="single" w:sz="4" w:space="0" w:color="auto"/>
              <w:bottom w:val="nil"/>
              <w:right w:val="single" w:sz="4" w:space="0" w:color="auto"/>
            </w:tcBorders>
            <w:noWrap/>
            <w:hideMark/>
          </w:tcPr>
          <w:p w14:paraId="4D30B293" w14:textId="77777777" w:rsidR="00C15F2E" w:rsidRPr="00D96063" w:rsidRDefault="00C15F2E" w:rsidP="00053198">
            <w:pPr>
              <w:jc w:val="right"/>
              <w:rPr>
                <w:sz w:val="14"/>
              </w:rPr>
            </w:pPr>
            <w:r w:rsidRPr="00D96063">
              <w:rPr>
                <w:sz w:val="14"/>
              </w:rPr>
              <w:t>230</w:t>
            </w:r>
          </w:p>
        </w:tc>
        <w:tc>
          <w:tcPr>
            <w:tcW w:w="393" w:type="pct"/>
            <w:tcBorders>
              <w:top w:val="nil"/>
              <w:left w:val="single" w:sz="4" w:space="0" w:color="auto"/>
              <w:bottom w:val="nil"/>
              <w:right w:val="single" w:sz="4" w:space="0" w:color="auto"/>
            </w:tcBorders>
            <w:noWrap/>
            <w:hideMark/>
          </w:tcPr>
          <w:p w14:paraId="603F92CF" w14:textId="77777777" w:rsidR="00C15F2E" w:rsidRPr="00D96063" w:rsidRDefault="00C15F2E" w:rsidP="00053198">
            <w:pPr>
              <w:jc w:val="right"/>
              <w:rPr>
                <w:sz w:val="14"/>
              </w:rPr>
            </w:pPr>
            <w:r w:rsidRPr="00D96063">
              <w:rPr>
                <w:sz w:val="14"/>
              </w:rPr>
              <w:t>316</w:t>
            </w:r>
          </w:p>
        </w:tc>
        <w:tc>
          <w:tcPr>
            <w:tcW w:w="393" w:type="pct"/>
            <w:tcBorders>
              <w:top w:val="nil"/>
              <w:left w:val="single" w:sz="4" w:space="0" w:color="auto"/>
              <w:bottom w:val="nil"/>
              <w:right w:val="single" w:sz="4" w:space="0" w:color="auto"/>
            </w:tcBorders>
            <w:noWrap/>
            <w:hideMark/>
          </w:tcPr>
          <w:p w14:paraId="01EFEE23" w14:textId="77777777" w:rsidR="00C15F2E" w:rsidRPr="00D96063" w:rsidRDefault="00C15F2E" w:rsidP="00053198">
            <w:pPr>
              <w:jc w:val="right"/>
              <w:rPr>
                <w:sz w:val="14"/>
              </w:rPr>
            </w:pPr>
            <w:r w:rsidRPr="00D96063">
              <w:rPr>
                <w:sz w:val="14"/>
              </w:rPr>
              <w:t>345</w:t>
            </w:r>
          </w:p>
        </w:tc>
        <w:tc>
          <w:tcPr>
            <w:tcW w:w="393" w:type="pct"/>
            <w:tcBorders>
              <w:top w:val="nil"/>
              <w:left w:val="single" w:sz="4" w:space="0" w:color="auto"/>
              <w:bottom w:val="nil"/>
              <w:right w:val="single" w:sz="4" w:space="0" w:color="auto"/>
            </w:tcBorders>
            <w:noWrap/>
            <w:hideMark/>
          </w:tcPr>
          <w:p w14:paraId="6C8F6D82" w14:textId="77777777" w:rsidR="00C15F2E" w:rsidRPr="00D96063" w:rsidRDefault="00C15F2E" w:rsidP="00053198">
            <w:pPr>
              <w:jc w:val="right"/>
              <w:rPr>
                <w:sz w:val="14"/>
              </w:rPr>
            </w:pPr>
            <w:r w:rsidRPr="00D96063">
              <w:rPr>
                <w:rFonts w:cs="Calibri"/>
                <w:sz w:val="14"/>
                <w:szCs w:val="14"/>
              </w:rPr>
              <w:t>356</w:t>
            </w:r>
          </w:p>
        </w:tc>
        <w:tc>
          <w:tcPr>
            <w:tcW w:w="470" w:type="pct"/>
            <w:tcBorders>
              <w:top w:val="nil"/>
              <w:left w:val="single" w:sz="4" w:space="0" w:color="auto"/>
              <w:bottom w:val="nil"/>
              <w:right w:val="single" w:sz="4" w:space="0" w:color="auto"/>
            </w:tcBorders>
            <w:noWrap/>
            <w:hideMark/>
          </w:tcPr>
          <w:p w14:paraId="5569084B" w14:textId="77777777" w:rsidR="00C15F2E" w:rsidRPr="00D96063" w:rsidRDefault="00C15F2E" w:rsidP="00053198">
            <w:pPr>
              <w:jc w:val="right"/>
              <w:rPr>
                <w:sz w:val="14"/>
              </w:rPr>
            </w:pPr>
            <w:r w:rsidRPr="00D96063">
              <w:rPr>
                <w:sz w:val="14"/>
              </w:rPr>
              <w:t>274</w:t>
            </w:r>
          </w:p>
        </w:tc>
        <w:tc>
          <w:tcPr>
            <w:tcW w:w="477" w:type="pct"/>
            <w:tcBorders>
              <w:top w:val="nil"/>
              <w:left w:val="single" w:sz="4" w:space="0" w:color="auto"/>
              <w:bottom w:val="nil"/>
              <w:right w:val="single" w:sz="4" w:space="0" w:color="auto"/>
            </w:tcBorders>
            <w:noWrap/>
            <w:hideMark/>
          </w:tcPr>
          <w:p w14:paraId="396FFD96" w14:textId="77777777" w:rsidR="00C15F2E" w:rsidRPr="00D96063" w:rsidRDefault="00C15F2E" w:rsidP="002C1DC3">
            <w:pPr>
              <w:ind w:right="170"/>
              <w:jc w:val="right"/>
              <w:rPr>
                <w:sz w:val="14"/>
              </w:rPr>
            </w:pPr>
            <w:r w:rsidRPr="00D96063">
              <w:rPr>
                <w:sz w:val="14"/>
              </w:rPr>
              <w:t xml:space="preserve">0.4 </w:t>
            </w:r>
          </w:p>
        </w:tc>
        <w:tc>
          <w:tcPr>
            <w:tcW w:w="471" w:type="pct"/>
            <w:tcBorders>
              <w:top w:val="nil"/>
              <w:left w:val="single" w:sz="4" w:space="0" w:color="auto"/>
              <w:bottom w:val="nil"/>
              <w:right w:val="single" w:sz="4" w:space="0" w:color="auto"/>
            </w:tcBorders>
            <w:noWrap/>
            <w:hideMark/>
          </w:tcPr>
          <w:p w14:paraId="18604341" w14:textId="77777777" w:rsidR="00C15F2E" w:rsidRPr="00D96063" w:rsidRDefault="00C15F2E" w:rsidP="00053198">
            <w:pPr>
              <w:jc w:val="right"/>
              <w:rPr>
                <w:sz w:val="14"/>
              </w:rPr>
            </w:pPr>
            <w:r w:rsidRPr="00D96063">
              <w:rPr>
                <w:sz w:val="14"/>
              </w:rPr>
              <w:t>81.3</w:t>
            </w:r>
          </w:p>
        </w:tc>
        <w:tc>
          <w:tcPr>
            <w:tcW w:w="361" w:type="pct"/>
            <w:tcBorders>
              <w:top w:val="nil"/>
              <w:left w:val="single" w:sz="4" w:space="0" w:color="auto"/>
              <w:bottom w:val="nil"/>
              <w:right w:val="single" w:sz="4" w:space="0" w:color="auto"/>
            </w:tcBorders>
            <w:noWrap/>
            <w:hideMark/>
          </w:tcPr>
          <w:p w14:paraId="4000CD56" w14:textId="77777777" w:rsidR="00C15F2E" w:rsidRPr="00D96063" w:rsidRDefault="00C15F2E" w:rsidP="00053198">
            <w:pPr>
              <w:jc w:val="right"/>
              <w:rPr>
                <w:sz w:val="14"/>
              </w:rPr>
            </w:pPr>
            <w:r w:rsidRPr="00D96063">
              <w:rPr>
                <w:sz w:val="14"/>
              </w:rPr>
              <w:t>5.9</w:t>
            </w:r>
          </w:p>
        </w:tc>
      </w:tr>
      <w:tr w:rsidR="00C15F2E" w:rsidRPr="00D96063" w14:paraId="4D19A030"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0D949648" w14:textId="77777777" w:rsidR="00C15F2E" w:rsidRPr="00D96063" w:rsidRDefault="00C15F2E" w:rsidP="00053198">
            <w:pPr>
              <w:jc w:val="left"/>
              <w:rPr>
                <w:sz w:val="14"/>
              </w:rPr>
            </w:pPr>
            <w:r w:rsidRPr="00D96063">
              <w:rPr>
                <w:sz w:val="14"/>
              </w:rPr>
              <w:t>Oil, palm</w:t>
            </w:r>
          </w:p>
        </w:tc>
        <w:tc>
          <w:tcPr>
            <w:tcW w:w="313" w:type="pct"/>
            <w:tcBorders>
              <w:top w:val="nil"/>
              <w:left w:val="single" w:sz="4" w:space="0" w:color="auto"/>
              <w:bottom w:val="nil"/>
              <w:right w:val="single" w:sz="4" w:space="0" w:color="auto"/>
            </w:tcBorders>
            <w:noWrap/>
            <w:hideMark/>
          </w:tcPr>
          <w:p w14:paraId="18560A52" w14:textId="77777777" w:rsidR="00C15F2E" w:rsidRPr="00D96063" w:rsidRDefault="00C15F2E" w:rsidP="00053198">
            <w:pPr>
              <w:jc w:val="right"/>
              <w:rPr>
                <w:sz w:val="14"/>
              </w:rPr>
            </w:pPr>
            <w:r w:rsidRPr="00D96063">
              <w:rPr>
                <w:sz w:val="14"/>
              </w:rPr>
              <w:t>121</w:t>
            </w:r>
          </w:p>
        </w:tc>
        <w:tc>
          <w:tcPr>
            <w:tcW w:w="393" w:type="pct"/>
            <w:tcBorders>
              <w:top w:val="nil"/>
              <w:left w:val="single" w:sz="4" w:space="0" w:color="auto"/>
              <w:bottom w:val="nil"/>
              <w:right w:val="single" w:sz="4" w:space="0" w:color="auto"/>
            </w:tcBorders>
            <w:noWrap/>
            <w:hideMark/>
          </w:tcPr>
          <w:p w14:paraId="37D6AE2D" w14:textId="77777777" w:rsidR="00C15F2E" w:rsidRPr="00D96063" w:rsidRDefault="00C15F2E" w:rsidP="00053198">
            <w:pPr>
              <w:jc w:val="right"/>
              <w:rPr>
                <w:sz w:val="14"/>
              </w:rPr>
            </w:pPr>
            <w:r w:rsidRPr="00D96063">
              <w:rPr>
                <w:sz w:val="14"/>
              </w:rPr>
              <w:t>237</w:t>
            </w:r>
          </w:p>
        </w:tc>
        <w:tc>
          <w:tcPr>
            <w:tcW w:w="394" w:type="pct"/>
            <w:tcBorders>
              <w:top w:val="nil"/>
              <w:left w:val="single" w:sz="4" w:space="0" w:color="auto"/>
              <w:bottom w:val="nil"/>
              <w:right w:val="single" w:sz="4" w:space="0" w:color="auto"/>
            </w:tcBorders>
            <w:noWrap/>
            <w:hideMark/>
          </w:tcPr>
          <w:p w14:paraId="41E4CBA4" w14:textId="77777777" w:rsidR="00C15F2E" w:rsidRPr="00D96063" w:rsidRDefault="00C15F2E" w:rsidP="00053198">
            <w:pPr>
              <w:jc w:val="right"/>
              <w:rPr>
                <w:sz w:val="14"/>
              </w:rPr>
            </w:pPr>
            <w:r w:rsidRPr="00D96063">
              <w:rPr>
                <w:sz w:val="14"/>
              </w:rPr>
              <w:t>237</w:t>
            </w:r>
          </w:p>
        </w:tc>
        <w:tc>
          <w:tcPr>
            <w:tcW w:w="393" w:type="pct"/>
            <w:tcBorders>
              <w:top w:val="nil"/>
              <w:left w:val="single" w:sz="4" w:space="0" w:color="auto"/>
              <w:bottom w:val="nil"/>
              <w:right w:val="single" w:sz="4" w:space="0" w:color="auto"/>
            </w:tcBorders>
            <w:noWrap/>
            <w:hideMark/>
          </w:tcPr>
          <w:p w14:paraId="01651D83" w14:textId="77777777" w:rsidR="00C15F2E" w:rsidRPr="00D96063" w:rsidRDefault="00C15F2E" w:rsidP="00053198">
            <w:pPr>
              <w:jc w:val="right"/>
              <w:rPr>
                <w:sz w:val="14"/>
              </w:rPr>
            </w:pPr>
            <w:r w:rsidRPr="00D96063">
              <w:rPr>
                <w:sz w:val="14"/>
              </w:rPr>
              <w:t>239</w:t>
            </w:r>
          </w:p>
        </w:tc>
        <w:tc>
          <w:tcPr>
            <w:tcW w:w="393" w:type="pct"/>
            <w:tcBorders>
              <w:top w:val="nil"/>
              <w:left w:val="single" w:sz="4" w:space="0" w:color="auto"/>
              <w:bottom w:val="nil"/>
              <w:right w:val="single" w:sz="4" w:space="0" w:color="auto"/>
            </w:tcBorders>
            <w:noWrap/>
            <w:hideMark/>
          </w:tcPr>
          <w:p w14:paraId="1F29D048" w14:textId="77777777" w:rsidR="00C15F2E" w:rsidRPr="00D96063" w:rsidRDefault="00C15F2E" w:rsidP="00053198">
            <w:pPr>
              <w:jc w:val="right"/>
              <w:rPr>
                <w:sz w:val="14"/>
              </w:rPr>
            </w:pPr>
            <w:r w:rsidRPr="00D96063">
              <w:rPr>
                <w:sz w:val="14"/>
              </w:rPr>
              <w:t>313</w:t>
            </w:r>
          </w:p>
        </w:tc>
        <w:tc>
          <w:tcPr>
            <w:tcW w:w="393" w:type="pct"/>
            <w:tcBorders>
              <w:top w:val="nil"/>
              <w:left w:val="single" w:sz="4" w:space="0" w:color="auto"/>
              <w:bottom w:val="nil"/>
              <w:right w:val="single" w:sz="4" w:space="0" w:color="auto"/>
            </w:tcBorders>
            <w:noWrap/>
            <w:hideMark/>
          </w:tcPr>
          <w:p w14:paraId="22281BA6" w14:textId="77777777" w:rsidR="00C15F2E" w:rsidRPr="00D96063" w:rsidRDefault="00C15F2E" w:rsidP="00053198">
            <w:pPr>
              <w:jc w:val="right"/>
              <w:rPr>
                <w:sz w:val="14"/>
              </w:rPr>
            </w:pPr>
            <w:r w:rsidRPr="00D96063">
              <w:rPr>
                <w:sz w:val="14"/>
              </w:rPr>
              <w:t>..</w:t>
            </w:r>
          </w:p>
        </w:tc>
        <w:tc>
          <w:tcPr>
            <w:tcW w:w="393" w:type="pct"/>
            <w:tcBorders>
              <w:top w:val="nil"/>
              <w:left w:val="single" w:sz="4" w:space="0" w:color="auto"/>
              <w:bottom w:val="nil"/>
              <w:right w:val="single" w:sz="4" w:space="0" w:color="auto"/>
            </w:tcBorders>
            <w:noWrap/>
            <w:hideMark/>
          </w:tcPr>
          <w:p w14:paraId="77B964D6"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nil"/>
              <w:right w:val="single" w:sz="4" w:space="0" w:color="auto"/>
            </w:tcBorders>
            <w:noWrap/>
            <w:hideMark/>
          </w:tcPr>
          <w:p w14:paraId="1E5E70C6" w14:textId="77777777" w:rsidR="00C15F2E" w:rsidRPr="00D96063" w:rsidRDefault="00C15F2E" w:rsidP="00053198">
            <w:pPr>
              <w:jc w:val="right"/>
              <w:rPr>
                <w:sz w:val="14"/>
              </w:rPr>
            </w:pPr>
            <w:r w:rsidRPr="00D96063">
              <w:rPr>
                <w:sz w:val="14"/>
              </w:rPr>
              <w:t>229</w:t>
            </w:r>
          </w:p>
        </w:tc>
        <w:tc>
          <w:tcPr>
            <w:tcW w:w="477" w:type="pct"/>
            <w:tcBorders>
              <w:top w:val="nil"/>
              <w:left w:val="single" w:sz="4" w:space="0" w:color="auto"/>
              <w:bottom w:val="nil"/>
              <w:right w:val="single" w:sz="4" w:space="0" w:color="auto"/>
            </w:tcBorders>
            <w:noWrap/>
            <w:hideMark/>
          </w:tcPr>
          <w:p w14:paraId="281923F0" w14:textId="77777777" w:rsidR="00C15F2E" w:rsidRPr="00D96063" w:rsidRDefault="00C15F2E" w:rsidP="002C1DC3">
            <w:pPr>
              <w:ind w:right="170"/>
              <w:jc w:val="right"/>
              <w:rPr>
                <w:sz w:val="14"/>
              </w:rPr>
            </w:pPr>
            <w:r w:rsidRPr="00D96063">
              <w:rPr>
                <w:sz w:val="14"/>
              </w:rPr>
              <w:t xml:space="preserve">0.4 </w:t>
            </w:r>
          </w:p>
        </w:tc>
        <w:tc>
          <w:tcPr>
            <w:tcW w:w="471" w:type="pct"/>
            <w:tcBorders>
              <w:top w:val="nil"/>
              <w:left w:val="single" w:sz="4" w:space="0" w:color="auto"/>
              <w:bottom w:val="nil"/>
              <w:right w:val="single" w:sz="4" w:space="0" w:color="auto"/>
            </w:tcBorders>
            <w:noWrap/>
            <w:hideMark/>
          </w:tcPr>
          <w:p w14:paraId="67847704" w14:textId="77777777" w:rsidR="00C15F2E" w:rsidRPr="00D96063" w:rsidRDefault="00C15F2E" w:rsidP="00053198">
            <w:pPr>
              <w:jc w:val="right"/>
              <w:rPr>
                <w:sz w:val="14"/>
              </w:rPr>
            </w:pPr>
            <w:r w:rsidRPr="00D96063">
              <w:rPr>
                <w:sz w:val="14"/>
              </w:rPr>
              <w:t>..</w:t>
            </w:r>
          </w:p>
        </w:tc>
        <w:tc>
          <w:tcPr>
            <w:tcW w:w="361" w:type="pct"/>
            <w:tcBorders>
              <w:top w:val="nil"/>
              <w:left w:val="single" w:sz="4" w:space="0" w:color="auto"/>
              <w:bottom w:val="nil"/>
              <w:right w:val="single" w:sz="4" w:space="0" w:color="auto"/>
            </w:tcBorders>
            <w:noWrap/>
            <w:hideMark/>
          </w:tcPr>
          <w:p w14:paraId="5FD6C392" w14:textId="77777777" w:rsidR="00C15F2E" w:rsidRPr="00D96063" w:rsidRDefault="00C15F2E" w:rsidP="00053198">
            <w:pPr>
              <w:jc w:val="right"/>
              <w:rPr>
                <w:sz w:val="14"/>
              </w:rPr>
            </w:pPr>
            <w:r w:rsidRPr="00D96063">
              <w:rPr>
                <w:sz w:val="14"/>
              </w:rPr>
              <w:t>..</w:t>
            </w:r>
          </w:p>
        </w:tc>
      </w:tr>
      <w:tr w:rsidR="00C15F2E" w:rsidRPr="00D96063" w14:paraId="1D9F48A7" w14:textId="77777777" w:rsidTr="00053198">
        <w:trPr>
          <w:trHeight w:val="240"/>
        </w:trPr>
        <w:tc>
          <w:tcPr>
            <w:tcW w:w="548" w:type="pct"/>
            <w:tcBorders>
              <w:top w:val="nil"/>
              <w:left w:val="single" w:sz="4" w:space="0" w:color="auto"/>
              <w:bottom w:val="nil"/>
              <w:right w:val="single" w:sz="4" w:space="0" w:color="auto"/>
            </w:tcBorders>
            <w:noWrap/>
            <w:hideMark/>
          </w:tcPr>
          <w:p w14:paraId="6B233DB5" w14:textId="77777777" w:rsidR="00C15F2E" w:rsidRPr="00D96063" w:rsidRDefault="00C15F2E" w:rsidP="00053198">
            <w:pPr>
              <w:jc w:val="left"/>
              <w:rPr>
                <w:sz w:val="14"/>
              </w:rPr>
            </w:pPr>
            <w:r w:rsidRPr="00D96063">
              <w:rPr>
                <w:sz w:val="14"/>
              </w:rPr>
              <w:t>Cow peas</w:t>
            </w:r>
          </w:p>
        </w:tc>
        <w:tc>
          <w:tcPr>
            <w:tcW w:w="313" w:type="pct"/>
            <w:tcBorders>
              <w:top w:val="nil"/>
              <w:left w:val="single" w:sz="4" w:space="0" w:color="auto"/>
              <w:bottom w:val="nil"/>
              <w:right w:val="single" w:sz="4" w:space="0" w:color="auto"/>
            </w:tcBorders>
            <w:noWrap/>
            <w:hideMark/>
          </w:tcPr>
          <w:p w14:paraId="420334A7" w14:textId="77777777" w:rsidR="00C15F2E" w:rsidRPr="00D96063" w:rsidRDefault="00C15F2E" w:rsidP="00053198">
            <w:pPr>
              <w:jc w:val="right"/>
              <w:rPr>
                <w:sz w:val="14"/>
              </w:rPr>
            </w:pPr>
            <w:r w:rsidRPr="00D96063">
              <w:rPr>
                <w:sz w:val="14"/>
              </w:rPr>
              <w:t>201</w:t>
            </w:r>
          </w:p>
        </w:tc>
        <w:tc>
          <w:tcPr>
            <w:tcW w:w="393" w:type="pct"/>
            <w:tcBorders>
              <w:top w:val="nil"/>
              <w:left w:val="single" w:sz="4" w:space="0" w:color="auto"/>
              <w:bottom w:val="nil"/>
              <w:right w:val="single" w:sz="4" w:space="0" w:color="auto"/>
            </w:tcBorders>
            <w:noWrap/>
            <w:hideMark/>
          </w:tcPr>
          <w:p w14:paraId="1007B3BA" w14:textId="77777777" w:rsidR="00C15F2E" w:rsidRPr="00D96063" w:rsidRDefault="00C15F2E" w:rsidP="00053198">
            <w:pPr>
              <w:jc w:val="right"/>
              <w:rPr>
                <w:sz w:val="14"/>
              </w:rPr>
            </w:pPr>
            <w:r w:rsidRPr="00D96063">
              <w:rPr>
                <w:sz w:val="14"/>
              </w:rPr>
              <w:t>203</w:t>
            </w:r>
          </w:p>
        </w:tc>
        <w:tc>
          <w:tcPr>
            <w:tcW w:w="394" w:type="pct"/>
            <w:tcBorders>
              <w:top w:val="nil"/>
              <w:left w:val="single" w:sz="4" w:space="0" w:color="auto"/>
              <w:bottom w:val="nil"/>
              <w:right w:val="single" w:sz="4" w:space="0" w:color="auto"/>
            </w:tcBorders>
            <w:noWrap/>
            <w:hideMark/>
          </w:tcPr>
          <w:p w14:paraId="12869DDF" w14:textId="77777777" w:rsidR="00C15F2E" w:rsidRPr="00D96063" w:rsidRDefault="00C15F2E" w:rsidP="00053198">
            <w:pPr>
              <w:jc w:val="right"/>
              <w:rPr>
                <w:sz w:val="14"/>
              </w:rPr>
            </w:pPr>
            <w:r w:rsidRPr="00D96063">
              <w:rPr>
                <w:sz w:val="14"/>
              </w:rPr>
              <w:t>206</w:t>
            </w:r>
          </w:p>
        </w:tc>
        <w:tc>
          <w:tcPr>
            <w:tcW w:w="393" w:type="pct"/>
            <w:tcBorders>
              <w:top w:val="nil"/>
              <w:left w:val="single" w:sz="4" w:space="0" w:color="auto"/>
              <w:bottom w:val="nil"/>
              <w:right w:val="single" w:sz="4" w:space="0" w:color="auto"/>
            </w:tcBorders>
            <w:noWrap/>
            <w:hideMark/>
          </w:tcPr>
          <w:p w14:paraId="5163296F" w14:textId="77777777" w:rsidR="00C15F2E" w:rsidRPr="00D96063" w:rsidRDefault="00C15F2E" w:rsidP="00053198">
            <w:pPr>
              <w:jc w:val="right"/>
              <w:rPr>
                <w:sz w:val="14"/>
              </w:rPr>
            </w:pPr>
            <w:r w:rsidRPr="00D96063">
              <w:rPr>
                <w:sz w:val="14"/>
              </w:rPr>
              <w:t>211</w:t>
            </w:r>
          </w:p>
        </w:tc>
        <w:tc>
          <w:tcPr>
            <w:tcW w:w="393" w:type="pct"/>
            <w:tcBorders>
              <w:top w:val="nil"/>
              <w:left w:val="single" w:sz="4" w:space="0" w:color="auto"/>
              <w:bottom w:val="nil"/>
              <w:right w:val="single" w:sz="4" w:space="0" w:color="auto"/>
            </w:tcBorders>
            <w:noWrap/>
            <w:hideMark/>
          </w:tcPr>
          <w:p w14:paraId="643974B8" w14:textId="77777777" w:rsidR="00C15F2E" w:rsidRPr="00D96063" w:rsidRDefault="00C15F2E" w:rsidP="00053198">
            <w:pPr>
              <w:jc w:val="right"/>
              <w:rPr>
                <w:sz w:val="14"/>
              </w:rPr>
            </w:pPr>
            <w:r w:rsidRPr="00D96063">
              <w:rPr>
                <w:sz w:val="14"/>
              </w:rPr>
              <w:t>215</w:t>
            </w:r>
          </w:p>
        </w:tc>
        <w:tc>
          <w:tcPr>
            <w:tcW w:w="393" w:type="pct"/>
            <w:tcBorders>
              <w:top w:val="nil"/>
              <w:left w:val="single" w:sz="4" w:space="0" w:color="auto"/>
              <w:bottom w:val="nil"/>
              <w:right w:val="single" w:sz="4" w:space="0" w:color="auto"/>
            </w:tcBorders>
            <w:noWrap/>
            <w:hideMark/>
          </w:tcPr>
          <w:p w14:paraId="0B3F982E" w14:textId="77777777" w:rsidR="00C15F2E" w:rsidRPr="00D96063" w:rsidRDefault="00C15F2E" w:rsidP="00053198">
            <w:pPr>
              <w:jc w:val="right"/>
              <w:rPr>
                <w:sz w:val="14"/>
              </w:rPr>
            </w:pPr>
            <w:r w:rsidRPr="00D96063">
              <w:rPr>
                <w:sz w:val="14"/>
              </w:rPr>
              <w:t>203</w:t>
            </w:r>
          </w:p>
        </w:tc>
        <w:tc>
          <w:tcPr>
            <w:tcW w:w="393" w:type="pct"/>
            <w:tcBorders>
              <w:top w:val="nil"/>
              <w:left w:val="single" w:sz="4" w:space="0" w:color="auto"/>
              <w:bottom w:val="nil"/>
              <w:right w:val="single" w:sz="4" w:space="0" w:color="auto"/>
            </w:tcBorders>
            <w:noWrap/>
            <w:hideMark/>
          </w:tcPr>
          <w:p w14:paraId="21BDCE51" w14:textId="77777777" w:rsidR="00C15F2E" w:rsidRPr="00D96063" w:rsidRDefault="00C15F2E" w:rsidP="00053198">
            <w:pPr>
              <w:jc w:val="right"/>
              <w:rPr>
                <w:sz w:val="14"/>
              </w:rPr>
            </w:pPr>
            <w:r w:rsidRPr="00D96063">
              <w:rPr>
                <w:rFonts w:cs="Calibri"/>
                <w:sz w:val="14"/>
                <w:szCs w:val="14"/>
              </w:rPr>
              <w:t>257</w:t>
            </w:r>
          </w:p>
        </w:tc>
        <w:tc>
          <w:tcPr>
            <w:tcW w:w="470" w:type="pct"/>
            <w:tcBorders>
              <w:top w:val="nil"/>
              <w:left w:val="single" w:sz="4" w:space="0" w:color="auto"/>
              <w:bottom w:val="nil"/>
              <w:right w:val="single" w:sz="4" w:space="0" w:color="auto"/>
            </w:tcBorders>
            <w:noWrap/>
            <w:hideMark/>
          </w:tcPr>
          <w:p w14:paraId="09A0B659" w14:textId="77777777" w:rsidR="00C15F2E" w:rsidRPr="00D96063" w:rsidRDefault="00C15F2E" w:rsidP="00053198">
            <w:pPr>
              <w:jc w:val="right"/>
              <w:rPr>
                <w:sz w:val="14"/>
              </w:rPr>
            </w:pPr>
            <w:r w:rsidRPr="00D96063">
              <w:rPr>
                <w:sz w:val="14"/>
              </w:rPr>
              <w:t>207</w:t>
            </w:r>
          </w:p>
        </w:tc>
        <w:tc>
          <w:tcPr>
            <w:tcW w:w="477" w:type="pct"/>
            <w:tcBorders>
              <w:top w:val="nil"/>
              <w:left w:val="single" w:sz="4" w:space="0" w:color="auto"/>
              <w:bottom w:val="nil"/>
              <w:right w:val="single" w:sz="4" w:space="0" w:color="auto"/>
            </w:tcBorders>
            <w:noWrap/>
            <w:hideMark/>
          </w:tcPr>
          <w:p w14:paraId="75801B4B" w14:textId="77777777" w:rsidR="00C15F2E" w:rsidRPr="00D96063" w:rsidRDefault="00C15F2E" w:rsidP="002C1DC3">
            <w:pPr>
              <w:ind w:right="170"/>
              <w:jc w:val="right"/>
              <w:rPr>
                <w:sz w:val="14"/>
              </w:rPr>
            </w:pPr>
            <w:r w:rsidRPr="00D96063">
              <w:rPr>
                <w:sz w:val="14"/>
              </w:rPr>
              <w:t xml:space="preserve">2.6 </w:t>
            </w:r>
          </w:p>
        </w:tc>
        <w:tc>
          <w:tcPr>
            <w:tcW w:w="471" w:type="pct"/>
            <w:tcBorders>
              <w:top w:val="nil"/>
              <w:left w:val="single" w:sz="4" w:space="0" w:color="auto"/>
              <w:bottom w:val="nil"/>
              <w:right w:val="single" w:sz="4" w:space="0" w:color="auto"/>
            </w:tcBorders>
            <w:noWrap/>
            <w:hideMark/>
          </w:tcPr>
          <w:p w14:paraId="4EA3F778" w14:textId="77777777" w:rsidR="00C15F2E" w:rsidRPr="00D96063" w:rsidRDefault="00C15F2E" w:rsidP="00053198">
            <w:pPr>
              <w:jc w:val="right"/>
              <w:rPr>
                <w:sz w:val="14"/>
              </w:rPr>
            </w:pPr>
            <w:r w:rsidRPr="00D96063">
              <w:rPr>
                <w:sz w:val="14"/>
              </w:rPr>
              <w:t>..</w:t>
            </w:r>
          </w:p>
        </w:tc>
        <w:tc>
          <w:tcPr>
            <w:tcW w:w="361" w:type="pct"/>
            <w:tcBorders>
              <w:top w:val="nil"/>
              <w:left w:val="single" w:sz="4" w:space="0" w:color="auto"/>
              <w:bottom w:val="nil"/>
              <w:right w:val="single" w:sz="4" w:space="0" w:color="auto"/>
            </w:tcBorders>
            <w:noWrap/>
            <w:hideMark/>
          </w:tcPr>
          <w:p w14:paraId="03598DBD" w14:textId="77777777" w:rsidR="00C15F2E" w:rsidRPr="00D96063" w:rsidRDefault="00C15F2E" w:rsidP="00053198">
            <w:pPr>
              <w:jc w:val="right"/>
              <w:rPr>
                <w:sz w:val="14"/>
              </w:rPr>
            </w:pPr>
            <w:r w:rsidRPr="00D96063">
              <w:rPr>
                <w:sz w:val="14"/>
              </w:rPr>
              <w:t>..</w:t>
            </w:r>
          </w:p>
        </w:tc>
      </w:tr>
      <w:tr w:rsidR="00C15F2E" w:rsidRPr="00D96063" w14:paraId="3934812E"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02B302F7" w14:textId="77777777" w:rsidR="00C15F2E" w:rsidRPr="00D96063" w:rsidRDefault="00C15F2E" w:rsidP="00053198">
            <w:pPr>
              <w:jc w:val="left"/>
              <w:rPr>
                <w:sz w:val="14"/>
              </w:rPr>
            </w:pPr>
            <w:r w:rsidRPr="00D96063">
              <w:rPr>
                <w:sz w:val="14"/>
              </w:rPr>
              <w:t>Beans</w:t>
            </w:r>
          </w:p>
        </w:tc>
        <w:tc>
          <w:tcPr>
            <w:tcW w:w="313" w:type="pct"/>
            <w:tcBorders>
              <w:top w:val="nil"/>
              <w:left w:val="single" w:sz="4" w:space="0" w:color="auto"/>
              <w:bottom w:val="nil"/>
              <w:right w:val="single" w:sz="4" w:space="0" w:color="auto"/>
            </w:tcBorders>
            <w:noWrap/>
            <w:hideMark/>
          </w:tcPr>
          <w:p w14:paraId="28857E78" w14:textId="77777777" w:rsidR="00C15F2E" w:rsidRPr="00D96063" w:rsidRDefault="00C15F2E" w:rsidP="00053198">
            <w:pPr>
              <w:jc w:val="right"/>
              <w:rPr>
                <w:sz w:val="14"/>
              </w:rPr>
            </w:pPr>
            <w:r w:rsidRPr="00D96063">
              <w:rPr>
                <w:sz w:val="14"/>
              </w:rPr>
              <w:t>201</w:t>
            </w:r>
          </w:p>
        </w:tc>
        <w:tc>
          <w:tcPr>
            <w:tcW w:w="393" w:type="pct"/>
            <w:tcBorders>
              <w:top w:val="nil"/>
              <w:left w:val="single" w:sz="4" w:space="0" w:color="auto"/>
              <w:bottom w:val="nil"/>
              <w:right w:val="single" w:sz="4" w:space="0" w:color="auto"/>
            </w:tcBorders>
            <w:noWrap/>
            <w:hideMark/>
          </w:tcPr>
          <w:p w14:paraId="2451990A" w14:textId="77777777" w:rsidR="00C15F2E" w:rsidRPr="00D96063" w:rsidRDefault="00C15F2E" w:rsidP="00053198">
            <w:pPr>
              <w:jc w:val="right"/>
              <w:rPr>
                <w:sz w:val="14"/>
              </w:rPr>
            </w:pPr>
            <w:r w:rsidRPr="00D96063">
              <w:rPr>
                <w:sz w:val="14"/>
              </w:rPr>
              <w:t>201</w:t>
            </w:r>
          </w:p>
        </w:tc>
        <w:tc>
          <w:tcPr>
            <w:tcW w:w="394" w:type="pct"/>
            <w:tcBorders>
              <w:top w:val="nil"/>
              <w:left w:val="single" w:sz="4" w:space="0" w:color="auto"/>
              <w:bottom w:val="nil"/>
              <w:right w:val="single" w:sz="4" w:space="0" w:color="auto"/>
            </w:tcBorders>
            <w:noWrap/>
            <w:hideMark/>
          </w:tcPr>
          <w:p w14:paraId="6968DE23" w14:textId="77777777" w:rsidR="00C15F2E" w:rsidRPr="00D96063" w:rsidRDefault="00C15F2E" w:rsidP="00053198">
            <w:pPr>
              <w:jc w:val="right"/>
              <w:rPr>
                <w:sz w:val="14"/>
              </w:rPr>
            </w:pPr>
            <w:r w:rsidRPr="00D96063">
              <w:rPr>
                <w:sz w:val="14"/>
              </w:rPr>
              <w:t>143</w:t>
            </w:r>
          </w:p>
        </w:tc>
        <w:tc>
          <w:tcPr>
            <w:tcW w:w="393" w:type="pct"/>
            <w:tcBorders>
              <w:top w:val="nil"/>
              <w:left w:val="single" w:sz="4" w:space="0" w:color="auto"/>
              <w:bottom w:val="nil"/>
              <w:right w:val="single" w:sz="4" w:space="0" w:color="auto"/>
            </w:tcBorders>
            <w:noWrap/>
            <w:hideMark/>
          </w:tcPr>
          <w:p w14:paraId="771EC5D2" w14:textId="77777777" w:rsidR="00C15F2E" w:rsidRPr="00D96063" w:rsidRDefault="00C15F2E" w:rsidP="00053198">
            <w:pPr>
              <w:jc w:val="right"/>
              <w:rPr>
                <w:sz w:val="14"/>
              </w:rPr>
            </w:pPr>
            <w:r w:rsidRPr="00D96063">
              <w:rPr>
                <w:sz w:val="14"/>
              </w:rPr>
              <w:t>170</w:t>
            </w:r>
          </w:p>
        </w:tc>
        <w:tc>
          <w:tcPr>
            <w:tcW w:w="393" w:type="pct"/>
            <w:tcBorders>
              <w:top w:val="nil"/>
              <w:left w:val="single" w:sz="4" w:space="0" w:color="auto"/>
              <w:bottom w:val="nil"/>
              <w:right w:val="single" w:sz="4" w:space="0" w:color="auto"/>
            </w:tcBorders>
            <w:noWrap/>
            <w:hideMark/>
          </w:tcPr>
          <w:p w14:paraId="7297F2B6" w14:textId="77777777" w:rsidR="00C15F2E" w:rsidRPr="00D96063" w:rsidRDefault="00C15F2E" w:rsidP="00053198">
            <w:pPr>
              <w:jc w:val="right"/>
              <w:rPr>
                <w:sz w:val="14"/>
              </w:rPr>
            </w:pPr>
            <w:r w:rsidRPr="00D96063">
              <w:rPr>
                <w:sz w:val="14"/>
              </w:rPr>
              <w:t>177</w:t>
            </w:r>
          </w:p>
        </w:tc>
        <w:tc>
          <w:tcPr>
            <w:tcW w:w="393" w:type="pct"/>
            <w:tcBorders>
              <w:top w:val="nil"/>
              <w:left w:val="single" w:sz="4" w:space="0" w:color="auto"/>
              <w:bottom w:val="nil"/>
              <w:right w:val="single" w:sz="4" w:space="0" w:color="auto"/>
            </w:tcBorders>
            <w:noWrap/>
            <w:hideMark/>
          </w:tcPr>
          <w:p w14:paraId="4A471FD6" w14:textId="77777777" w:rsidR="00C15F2E" w:rsidRPr="00D96063" w:rsidRDefault="00C15F2E" w:rsidP="00053198">
            <w:pPr>
              <w:jc w:val="right"/>
              <w:rPr>
                <w:sz w:val="14"/>
              </w:rPr>
            </w:pPr>
            <w:r w:rsidRPr="00D96063">
              <w:rPr>
                <w:sz w:val="14"/>
              </w:rPr>
              <w:t>190</w:t>
            </w:r>
          </w:p>
        </w:tc>
        <w:tc>
          <w:tcPr>
            <w:tcW w:w="393" w:type="pct"/>
            <w:tcBorders>
              <w:top w:val="nil"/>
              <w:left w:val="single" w:sz="4" w:space="0" w:color="auto"/>
              <w:bottom w:val="nil"/>
              <w:right w:val="single" w:sz="4" w:space="0" w:color="auto"/>
            </w:tcBorders>
            <w:noWrap/>
            <w:hideMark/>
          </w:tcPr>
          <w:p w14:paraId="259D27FD" w14:textId="77777777" w:rsidR="00C15F2E" w:rsidRPr="00D96063" w:rsidRDefault="00C15F2E" w:rsidP="00053198">
            <w:pPr>
              <w:jc w:val="right"/>
              <w:rPr>
                <w:sz w:val="14"/>
              </w:rPr>
            </w:pPr>
            <w:r w:rsidRPr="00D96063">
              <w:rPr>
                <w:rFonts w:cs="Calibri"/>
                <w:sz w:val="14"/>
                <w:szCs w:val="14"/>
              </w:rPr>
              <w:t>194</w:t>
            </w:r>
          </w:p>
        </w:tc>
        <w:tc>
          <w:tcPr>
            <w:tcW w:w="470" w:type="pct"/>
            <w:tcBorders>
              <w:top w:val="nil"/>
              <w:left w:val="single" w:sz="4" w:space="0" w:color="auto"/>
              <w:bottom w:val="nil"/>
              <w:right w:val="single" w:sz="4" w:space="0" w:color="auto"/>
            </w:tcBorders>
            <w:noWrap/>
            <w:hideMark/>
          </w:tcPr>
          <w:p w14:paraId="1913E72F" w14:textId="77777777" w:rsidR="00C15F2E" w:rsidRPr="00D96063" w:rsidRDefault="00C15F2E" w:rsidP="00053198">
            <w:pPr>
              <w:jc w:val="right"/>
              <w:rPr>
                <w:sz w:val="14"/>
              </w:rPr>
            </w:pPr>
            <w:r w:rsidRPr="00D96063">
              <w:rPr>
                <w:sz w:val="14"/>
              </w:rPr>
              <w:t>181</w:t>
            </w:r>
          </w:p>
        </w:tc>
        <w:tc>
          <w:tcPr>
            <w:tcW w:w="477" w:type="pct"/>
            <w:tcBorders>
              <w:top w:val="nil"/>
              <w:left w:val="single" w:sz="4" w:space="0" w:color="auto"/>
              <w:bottom w:val="nil"/>
              <w:right w:val="single" w:sz="4" w:space="0" w:color="auto"/>
            </w:tcBorders>
            <w:noWrap/>
            <w:hideMark/>
          </w:tcPr>
          <w:p w14:paraId="2B98BA7C" w14:textId="77777777" w:rsidR="00C15F2E" w:rsidRPr="00D96063" w:rsidRDefault="00C15F2E" w:rsidP="002C1DC3">
            <w:pPr>
              <w:ind w:right="170"/>
              <w:jc w:val="right"/>
              <w:rPr>
                <w:sz w:val="14"/>
              </w:rPr>
            </w:pPr>
            <w:r w:rsidRPr="00D96063">
              <w:rPr>
                <w:sz w:val="14"/>
              </w:rPr>
              <w:t xml:space="preserve">0.6 </w:t>
            </w:r>
          </w:p>
        </w:tc>
        <w:tc>
          <w:tcPr>
            <w:tcW w:w="471" w:type="pct"/>
            <w:tcBorders>
              <w:top w:val="nil"/>
              <w:left w:val="single" w:sz="4" w:space="0" w:color="auto"/>
              <w:bottom w:val="nil"/>
              <w:right w:val="single" w:sz="4" w:space="0" w:color="auto"/>
            </w:tcBorders>
            <w:noWrap/>
            <w:hideMark/>
          </w:tcPr>
          <w:p w14:paraId="1D36FAAB" w14:textId="77777777" w:rsidR="00C15F2E" w:rsidRPr="00D96063" w:rsidRDefault="00C15F2E" w:rsidP="00053198">
            <w:pPr>
              <w:jc w:val="right"/>
              <w:rPr>
                <w:sz w:val="14"/>
              </w:rPr>
            </w:pPr>
            <w:r w:rsidRPr="00D96063">
              <w:rPr>
                <w:sz w:val="14"/>
              </w:rPr>
              <w:t>137.9</w:t>
            </w:r>
          </w:p>
        </w:tc>
        <w:tc>
          <w:tcPr>
            <w:tcW w:w="361" w:type="pct"/>
            <w:tcBorders>
              <w:top w:val="nil"/>
              <w:left w:val="single" w:sz="4" w:space="0" w:color="auto"/>
              <w:bottom w:val="nil"/>
              <w:right w:val="single" w:sz="4" w:space="0" w:color="auto"/>
            </w:tcBorders>
            <w:noWrap/>
            <w:hideMark/>
          </w:tcPr>
          <w:p w14:paraId="613B40DE" w14:textId="77777777" w:rsidR="00C15F2E" w:rsidRPr="00D96063" w:rsidRDefault="00C15F2E" w:rsidP="00053198">
            <w:pPr>
              <w:jc w:val="right"/>
              <w:rPr>
                <w:sz w:val="14"/>
              </w:rPr>
            </w:pPr>
            <w:r w:rsidRPr="00D96063">
              <w:rPr>
                <w:sz w:val="14"/>
              </w:rPr>
              <w:t>-1.1</w:t>
            </w:r>
          </w:p>
        </w:tc>
      </w:tr>
      <w:tr w:rsidR="00C15F2E" w:rsidRPr="00D96063" w14:paraId="746DB44E" w14:textId="77777777" w:rsidTr="00053198">
        <w:trPr>
          <w:trHeight w:val="240"/>
        </w:trPr>
        <w:tc>
          <w:tcPr>
            <w:tcW w:w="548" w:type="pct"/>
            <w:tcBorders>
              <w:top w:val="nil"/>
              <w:left w:val="single" w:sz="4" w:space="0" w:color="auto"/>
              <w:bottom w:val="nil"/>
              <w:right w:val="single" w:sz="4" w:space="0" w:color="auto"/>
            </w:tcBorders>
            <w:noWrap/>
            <w:hideMark/>
          </w:tcPr>
          <w:p w14:paraId="2E4C9735" w14:textId="77777777" w:rsidR="00C15F2E" w:rsidRPr="00D96063" w:rsidRDefault="00C15F2E" w:rsidP="00053198">
            <w:pPr>
              <w:jc w:val="left"/>
              <w:rPr>
                <w:sz w:val="14"/>
              </w:rPr>
            </w:pPr>
            <w:r w:rsidRPr="00D96063">
              <w:rPr>
                <w:sz w:val="14"/>
              </w:rPr>
              <w:t>Millets</w:t>
            </w:r>
          </w:p>
        </w:tc>
        <w:tc>
          <w:tcPr>
            <w:tcW w:w="313" w:type="pct"/>
            <w:tcBorders>
              <w:top w:val="nil"/>
              <w:left w:val="single" w:sz="4" w:space="0" w:color="auto"/>
              <w:bottom w:val="nil"/>
              <w:right w:val="single" w:sz="4" w:space="0" w:color="auto"/>
            </w:tcBorders>
            <w:noWrap/>
            <w:hideMark/>
          </w:tcPr>
          <w:p w14:paraId="4B518965" w14:textId="77777777" w:rsidR="00C15F2E" w:rsidRPr="00D96063" w:rsidRDefault="00C15F2E" w:rsidP="00053198">
            <w:pPr>
              <w:jc w:val="right"/>
              <w:rPr>
                <w:sz w:val="14"/>
              </w:rPr>
            </w:pPr>
            <w:r w:rsidRPr="00D96063">
              <w:rPr>
                <w:sz w:val="14"/>
              </w:rPr>
              <w:t>155</w:t>
            </w:r>
          </w:p>
        </w:tc>
        <w:tc>
          <w:tcPr>
            <w:tcW w:w="393" w:type="pct"/>
            <w:tcBorders>
              <w:top w:val="nil"/>
              <w:left w:val="single" w:sz="4" w:space="0" w:color="auto"/>
              <w:bottom w:val="nil"/>
              <w:right w:val="single" w:sz="4" w:space="0" w:color="auto"/>
            </w:tcBorders>
            <w:noWrap/>
            <w:hideMark/>
          </w:tcPr>
          <w:p w14:paraId="1210C9ED" w14:textId="77777777" w:rsidR="00C15F2E" w:rsidRPr="00D96063" w:rsidRDefault="00C15F2E" w:rsidP="00053198">
            <w:pPr>
              <w:jc w:val="right"/>
              <w:rPr>
                <w:sz w:val="14"/>
              </w:rPr>
            </w:pPr>
            <w:r w:rsidRPr="00D96063">
              <w:rPr>
                <w:sz w:val="14"/>
              </w:rPr>
              <w:t>157</w:t>
            </w:r>
          </w:p>
        </w:tc>
        <w:tc>
          <w:tcPr>
            <w:tcW w:w="394" w:type="pct"/>
            <w:tcBorders>
              <w:top w:val="nil"/>
              <w:left w:val="single" w:sz="4" w:space="0" w:color="auto"/>
              <w:bottom w:val="nil"/>
              <w:right w:val="single" w:sz="4" w:space="0" w:color="auto"/>
            </w:tcBorders>
            <w:noWrap/>
            <w:hideMark/>
          </w:tcPr>
          <w:p w14:paraId="291F4198" w14:textId="77777777" w:rsidR="00C15F2E" w:rsidRPr="00D96063" w:rsidRDefault="00C15F2E" w:rsidP="00053198">
            <w:pPr>
              <w:jc w:val="right"/>
              <w:rPr>
                <w:sz w:val="14"/>
              </w:rPr>
            </w:pPr>
            <w:r w:rsidRPr="00D96063">
              <w:rPr>
                <w:sz w:val="14"/>
              </w:rPr>
              <w:t>159</w:t>
            </w:r>
          </w:p>
        </w:tc>
        <w:tc>
          <w:tcPr>
            <w:tcW w:w="393" w:type="pct"/>
            <w:tcBorders>
              <w:top w:val="nil"/>
              <w:left w:val="single" w:sz="4" w:space="0" w:color="auto"/>
              <w:bottom w:val="nil"/>
              <w:right w:val="single" w:sz="4" w:space="0" w:color="auto"/>
            </w:tcBorders>
            <w:noWrap/>
            <w:hideMark/>
          </w:tcPr>
          <w:p w14:paraId="2F243C69" w14:textId="77777777" w:rsidR="00C15F2E" w:rsidRPr="00D96063" w:rsidRDefault="00C15F2E" w:rsidP="00053198">
            <w:pPr>
              <w:jc w:val="right"/>
              <w:rPr>
                <w:sz w:val="14"/>
              </w:rPr>
            </w:pPr>
            <w:r w:rsidRPr="00D96063">
              <w:rPr>
                <w:sz w:val="14"/>
              </w:rPr>
              <w:t>163</w:t>
            </w:r>
          </w:p>
        </w:tc>
        <w:tc>
          <w:tcPr>
            <w:tcW w:w="393" w:type="pct"/>
            <w:tcBorders>
              <w:top w:val="nil"/>
              <w:left w:val="single" w:sz="4" w:space="0" w:color="auto"/>
              <w:bottom w:val="nil"/>
              <w:right w:val="single" w:sz="4" w:space="0" w:color="auto"/>
            </w:tcBorders>
            <w:noWrap/>
            <w:hideMark/>
          </w:tcPr>
          <w:p w14:paraId="1C2E59F8" w14:textId="77777777" w:rsidR="00C15F2E" w:rsidRPr="00D96063" w:rsidRDefault="00C15F2E" w:rsidP="00053198">
            <w:pPr>
              <w:jc w:val="right"/>
              <w:rPr>
                <w:sz w:val="14"/>
              </w:rPr>
            </w:pPr>
            <w:r w:rsidRPr="00D96063">
              <w:rPr>
                <w:sz w:val="14"/>
              </w:rPr>
              <w:t>182</w:t>
            </w:r>
          </w:p>
        </w:tc>
        <w:tc>
          <w:tcPr>
            <w:tcW w:w="393" w:type="pct"/>
            <w:tcBorders>
              <w:top w:val="nil"/>
              <w:left w:val="single" w:sz="4" w:space="0" w:color="auto"/>
              <w:bottom w:val="nil"/>
              <w:right w:val="single" w:sz="4" w:space="0" w:color="auto"/>
            </w:tcBorders>
            <w:noWrap/>
            <w:hideMark/>
          </w:tcPr>
          <w:p w14:paraId="393E400F" w14:textId="77777777" w:rsidR="00C15F2E" w:rsidRPr="00D96063" w:rsidRDefault="00C15F2E" w:rsidP="00053198">
            <w:pPr>
              <w:jc w:val="right"/>
              <w:rPr>
                <w:sz w:val="14"/>
              </w:rPr>
            </w:pPr>
            <w:r w:rsidRPr="00D96063">
              <w:rPr>
                <w:sz w:val="14"/>
              </w:rPr>
              <w:t>190</w:t>
            </w:r>
          </w:p>
        </w:tc>
        <w:tc>
          <w:tcPr>
            <w:tcW w:w="393" w:type="pct"/>
            <w:tcBorders>
              <w:top w:val="nil"/>
              <w:left w:val="single" w:sz="4" w:space="0" w:color="auto"/>
              <w:bottom w:val="nil"/>
              <w:right w:val="single" w:sz="4" w:space="0" w:color="auto"/>
            </w:tcBorders>
            <w:noWrap/>
            <w:hideMark/>
          </w:tcPr>
          <w:p w14:paraId="242C456F" w14:textId="77777777" w:rsidR="00C15F2E" w:rsidRPr="00D96063" w:rsidRDefault="00C15F2E" w:rsidP="00053198">
            <w:pPr>
              <w:jc w:val="right"/>
              <w:rPr>
                <w:sz w:val="14"/>
              </w:rPr>
            </w:pPr>
            <w:r w:rsidRPr="00D96063">
              <w:rPr>
                <w:rFonts w:cs="Calibri"/>
                <w:sz w:val="14"/>
                <w:szCs w:val="14"/>
              </w:rPr>
              <w:t>236</w:t>
            </w:r>
          </w:p>
        </w:tc>
        <w:tc>
          <w:tcPr>
            <w:tcW w:w="470" w:type="pct"/>
            <w:tcBorders>
              <w:top w:val="nil"/>
              <w:left w:val="single" w:sz="4" w:space="0" w:color="auto"/>
              <w:bottom w:val="nil"/>
              <w:right w:val="single" w:sz="4" w:space="0" w:color="auto"/>
            </w:tcBorders>
            <w:noWrap/>
            <w:hideMark/>
          </w:tcPr>
          <w:p w14:paraId="51707FD3" w14:textId="77777777" w:rsidR="00C15F2E" w:rsidRPr="00D96063" w:rsidRDefault="00C15F2E" w:rsidP="00053198">
            <w:pPr>
              <w:jc w:val="right"/>
              <w:rPr>
                <w:sz w:val="14"/>
              </w:rPr>
            </w:pPr>
            <w:r w:rsidRPr="00D96063">
              <w:rPr>
                <w:sz w:val="14"/>
              </w:rPr>
              <w:t>168</w:t>
            </w:r>
          </w:p>
        </w:tc>
        <w:tc>
          <w:tcPr>
            <w:tcW w:w="477" w:type="pct"/>
            <w:tcBorders>
              <w:top w:val="nil"/>
              <w:left w:val="single" w:sz="4" w:space="0" w:color="auto"/>
              <w:bottom w:val="nil"/>
              <w:right w:val="single" w:sz="4" w:space="0" w:color="auto"/>
            </w:tcBorders>
            <w:noWrap/>
            <w:hideMark/>
          </w:tcPr>
          <w:p w14:paraId="63E4ACF3" w14:textId="77777777" w:rsidR="00C15F2E" w:rsidRPr="00D96063" w:rsidRDefault="00C15F2E" w:rsidP="002C1DC3">
            <w:pPr>
              <w:ind w:right="170"/>
              <w:jc w:val="right"/>
              <w:rPr>
                <w:sz w:val="14"/>
              </w:rPr>
            </w:pPr>
            <w:r w:rsidRPr="00D96063">
              <w:rPr>
                <w:sz w:val="14"/>
              </w:rPr>
              <w:t xml:space="preserve">0.6 </w:t>
            </w:r>
          </w:p>
        </w:tc>
        <w:tc>
          <w:tcPr>
            <w:tcW w:w="471" w:type="pct"/>
            <w:tcBorders>
              <w:top w:val="nil"/>
              <w:left w:val="single" w:sz="4" w:space="0" w:color="auto"/>
              <w:bottom w:val="nil"/>
              <w:right w:val="single" w:sz="4" w:space="0" w:color="auto"/>
            </w:tcBorders>
            <w:noWrap/>
            <w:hideMark/>
          </w:tcPr>
          <w:p w14:paraId="56CBC450" w14:textId="77777777" w:rsidR="00C15F2E" w:rsidRPr="00D96063" w:rsidRDefault="00C15F2E" w:rsidP="00053198">
            <w:pPr>
              <w:jc w:val="right"/>
              <w:rPr>
                <w:sz w:val="14"/>
              </w:rPr>
            </w:pPr>
            <w:r w:rsidRPr="00D96063">
              <w:rPr>
                <w:sz w:val="14"/>
              </w:rPr>
              <w:t>60.6</w:t>
            </w:r>
          </w:p>
        </w:tc>
        <w:tc>
          <w:tcPr>
            <w:tcW w:w="361" w:type="pct"/>
            <w:tcBorders>
              <w:top w:val="nil"/>
              <w:left w:val="single" w:sz="4" w:space="0" w:color="auto"/>
              <w:bottom w:val="nil"/>
              <w:right w:val="single" w:sz="4" w:space="0" w:color="auto"/>
            </w:tcBorders>
            <w:noWrap/>
            <w:hideMark/>
          </w:tcPr>
          <w:p w14:paraId="62370954" w14:textId="77777777" w:rsidR="00C15F2E" w:rsidRPr="00D96063" w:rsidRDefault="00C15F2E" w:rsidP="00053198">
            <w:pPr>
              <w:jc w:val="right"/>
              <w:rPr>
                <w:sz w:val="14"/>
              </w:rPr>
            </w:pPr>
            <w:r w:rsidRPr="00D96063">
              <w:rPr>
                <w:sz w:val="14"/>
              </w:rPr>
              <w:t>4.2</w:t>
            </w:r>
          </w:p>
        </w:tc>
      </w:tr>
      <w:tr w:rsidR="00C15F2E" w:rsidRPr="00D96063" w14:paraId="03ED784B"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2FAAF78B" w14:textId="77777777" w:rsidR="00C15F2E" w:rsidRPr="00D96063" w:rsidRDefault="00C15F2E" w:rsidP="00053198">
            <w:pPr>
              <w:jc w:val="left"/>
              <w:rPr>
                <w:sz w:val="14"/>
              </w:rPr>
            </w:pPr>
            <w:r w:rsidRPr="00D96063">
              <w:rPr>
                <w:sz w:val="14"/>
              </w:rPr>
              <w:t>Soybeans</w:t>
            </w:r>
          </w:p>
        </w:tc>
        <w:tc>
          <w:tcPr>
            <w:tcW w:w="313" w:type="pct"/>
            <w:tcBorders>
              <w:top w:val="nil"/>
              <w:left w:val="single" w:sz="4" w:space="0" w:color="auto"/>
              <w:bottom w:val="nil"/>
              <w:right w:val="single" w:sz="4" w:space="0" w:color="auto"/>
            </w:tcBorders>
            <w:noWrap/>
            <w:hideMark/>
          </w:tcPr>
          <w:p w14:paraId="4CE755DA" w14:textId="77777777" w:rsidR="00C15F2E" w:rsidRPr="00D96063" w:rsidRDefault="00C15F2E" w:rsidP="00053198">
            <w:pPr>
              <w:jc w:val="right"/>
              <w:rPr>
                <w:sz w:val="14"/>
              </w:rPr>
            </w:pPr>
            <w:r w:rsidRPr="00D96063">
              <w:rPr>
                <w:sz w:val="14"/>
              </w:rPr>
              <w:t>141</w:t>
            </w:r>
          </w:p>
        </w:tc>
        <w:tc>
          <w:tcPr>
            <w:tcW w:w="393" w:type="pct"/>
            <w:tcBorders>
              <w:top w:val="nil"/>
              <w:left w:val="single" w:sz="4" w:space="0" w:color="auto"/>
              <w:bottom w:val="nil"/>
              <w:right w:val="single" w:sz="4" w:space="0" w:color="auto"/>
            </w:tcBorders>
            <w:noWrap/>
            <w:hideMark/>
          </w:tcPr>
          <w:p w14:paraId="61D57B89" w14:textId="77777777" w:rsidR="00C15F2E" w:rsidRPr="00D96063" w:rsidRDefault="00C15F2E" w:rsidP="00053198">
            <w:pPr>
              <w:jc w:val="right"/>
              <w:rPr>
                <w:sz w:val="14"/>
              </w:rPr>
            </w:pPr>
            <w:r w:rsidRPr="00D96063">
              <w:rPr>
                <w:sz w:val="14"/>
              </w:rPr>
              <w:t>142</w:t>
            </w:r>
          </w:p>
        </w:tc>
        <w:tc>
          <w:tcPr>
            <w:tcW w:w="394" w:type="pct"/>
            <w:tcBorders>
              <w:top w:val="nil"/>
              <w:left w:val="single" w:sz="4" w:space="0" w:color="auto"/>
              <w:bottom w:val="nil"/>
              <w:right w:val="single" w:sz="4" w:space="0" w:color="auto"/>
            </w:tcBorders>
            <w:noWrap/>
            <w:hideMark/>
          </w:tcPr>
          <w:p w14:paraId="55F133D3" w14:textId="77777777" w:rsidR="00C15F2E" w:rsidRPr="00D96063" w:rsidRDefault="00C15F2E" w:rsidP="00053198">
            <w:pPr>
              <w:jc w:val="right"/>
              <w:rPr>
                <w:sz w:val="14"/>
              </w:rPr>
            </w:pPr>
            <w:r w:rsidRPr="00D96063">
              <w:rPr>
                <w:sz w:val="14"/>
              </w:rPr>
              <w:t>143</w:t>
            </w:r>
          </w:p>
        </w:tc>
        <w:tc>
          <w:tcPr>
            <w:tcW w:w="393" w:type="pct"/>
            <w:tcBorders>
              <w:top w:val="nil"/>
              <w:left w:val="single" w:sz="4" w:space="0" w:color="auto"/>
              <w:bottom w:val="nil"/>
              <w:right w:val="single" w:sz="4" w:space="0" w:color="auto"/>
            </w:tcBorders>
            <w:noWrap/>
            <w:hideMark/>
          </w:tcPr>
          <w:p w14:paraId="215E0590" w14:textId="77777777" w:rsidR="00C15F2E" w:rsidRPr="00D96063" w:rsidRDefault="00C15F2E" w:rsidP="00053198">
            <w:pPr>
              <w:jc w:val="right"/>
              <w:rPr>
                <w:sz w:val="14"/>
              </w:rPr>
            </w:pPr>
            <w:r w:rsidRPr="00D96063">
              <w:rPr>
                <w:sz w:val="14"/>
              </w:rPr>
              <w:t>170</w:t>
            </w:r>
          </w:p>
        </w:tc>
        <w:tc>
          <w:tcPr>
            <w:tcW w:w="393" w:type="pct"/>
            <w:tcBorders>
              <w:top w:val="nil"/>
              <w:left w:val="single" w:sz="4" w:space="0" w:color="auto"/>
              <w:bottom w:val="nil"/>
              <w:right w:val="single" w:sz="4" w:space="0" w:color="auto"/>
            </w:tcBorders>
            <w:noWrap/>
            <w:hideMark/>
          </w:tcPr>
          <w:p w14:paraId="2F082BF9" w14:textId="77777777" w:rsidR="00C15F2E" w:rsidRPr="00D96063" w:rsidRDefault="00C15F2E" w:rsidP="00053198">
            <w:pPr>
              <w:jc w:val="right"/>
              <w:rPr>
                <w:sz w:val="14"/>
              </w:rPr>
            </w:pPr>
            <w:r w:rsidRPr="00D96063">
              <w:rPr>
                <w:sz w:val="14"/>
              </w:rPr>
              <w:t>196</w:t>
            </w:r>
          </w:p>
        </w:tc>
        <w:tc>
          <w:tcPr>
            <w:tcW w:w="393" w:type="pct"/>
            <w:tcBorders>
              <w:top w:val="nil"/>
              <w:left w:val="single" w:sz="4" w:space="0" w:color="auto"/>
              <w:bottom w:val="nil"/>
              <w:right w:val="single" w:sz="4" w:space="0" w:color="auto"/>
            </w:tcBorders>
            <w:noWrap/>
            <w:hideMark/>
          </w:tcPr>
          <w:p w14:paraId="678BADF2" w14:textId="77777777" w:rsidR="00C15F2E" w:rsidRPr="00D96063" w:rsidRDefault="00C15F2E" w:rsidP="00053198">
            <w:pPr>
              <w:jc w:val="right"/>
              <w:rPr>
                <w:sz w:val="14"/>
              </w:rPr>
            </w:pPr>
            <w:r w:rsidRPr="00D96063">
              <w:rPr>
                <w:sz w:val="14"/>
              </w:rPr>
              <w:t>167</w:t>
            </w:r>
          </w:p>
        </w:tc>
        <w:tc>
          <w:tcPr>
            <w:tcW w:w="393" w:type="pct"/>
            <w:tcBorders>
              <w:top w:val="nil"/>
              <w:left w:val="single" w:sz="4" w:space="0" w:color="auto"/>
              <w:bottom w:val="nil"/>
              <w:right w:val="single" w:sz="4" w:space="0" w:color="auto"/>
            </w:tcBorders>
            <w:noWrap/>
            <w:hideMark/>
          </w:tcPr>
          <w:p w14:paraId="749D097B" w14:textId="77777777" w:rsidR="00C15F2E" w:rsidRPr="00D96063" w:rsidRDefault="00C15F2E" w:rsidP="00053198">
            <w:pPr>
              <w:jc w:val="right"/>
              <w:rPr>
                <w:sz w:val="14"/>
              </w:rPr>
            </w:pPr>
            <w:r w:rsidRPr="00D96063">
              <w:rPr>
                <w:rFonts w:cs="Calibri"/>
                <w:sz w:val="14"/>
                <w:szCs w:val="14"/>
              </w:rPr>
              <w:t>209</w:t>
            </w:r>
          </w:p>
        </w:tc>
        <w:tc>
          <w:tcPr>
            <w:tcW w:w="470" w:type="pct"/>
            <w:tcBorders>
              <w:top w:val="nil"/>
              <w:left w:val="single" w:sz="4" w:space="0" w:color="auto"/>
              <w:bottom w:val="nil"/>
              <w:right w:val="single" w:sz="4" w:space="0" w:color="auto"/>
            </w:tcBorders>
            <w:noWrap/>
            <w:hideMark/>
          </w:tcPr>
          <w:p w14:paraId="4781BB74" w14:textId="77777777" w:rsidR="00C15F2E" w:rsidRPr="00D96063" w:rsidRDefault="00C15F2E" w:rsidP="00053198">
            <w:pPr>
              <w:jc w:val="right"/>
              <w:rPr>
                <w:sz w:val="14"/>
              </w:rPr>
            </w:pPr>
            <w:r w:rsidRPr="00D96063">
              <w:rPr>
                <w:sz w:val="14"/>
              </w:rPr>
              <w:t>160</w:t>
            </w:r>
          </w:p>
        </w:tc>
        <w:tc>
          <w:tcPr>
            <w:tcW w:w="477" w:type="pct"/>
            <w:tcBorders>
              <w:top w:val="nil"/>
              <w:left w:val="single" w:sz="4" w:space="0" w:color="auto"/>
              <w:bottom w:val="nil"/>
              <w:right w:val="single" w:sz="4" w:space="0" w:color="auto"/>
            </w:tcBorders>
            <w:noWrap/>
            <w:hideMark/>
          </w:tcPr>
          <w:p w14:paraId="57013013" w14:textId="77777777" w:rsidR="00C15F2E" w:rsidRPr="00D96063" w:rsidRDefault="00C15F2E" w:rsidP="002C1DC3">
            <w:pPr>
              <w:ind w:right="170"/>
              <w:jc w:val="right"/>
              <w:rPr>
                <w:sz w:val="14"/>
              </w:rPr>
            </w:pPr>
            <w:r w:rsidRPr="00D96063">
              <w:rPr>
                <w:sz w:val="14"/>
              </w:rPr>
              <w:t xml:space="preserve">0.0 </w:t>
            </w:r>
          </w:p>
        </w:tc>
        <w:tc>
          <w:tcPr>
            <w:tcW w:w="471" w:type="pct"/>
            <w:tcBorders>
              <w:top w:val="nil"/>
              <w:left w:val="single" w:sz="4" w:space="0" w:color="auto"/>
              <w:bottom w:val="nil"/>
              <w:right w:val="single" w:sz="4" w:space="0" w:color="auto"/>
            </w:tcBorders>
            <w:noWrap/>
            <w:hideMark/>
          </w:tcPr>
          <w:p w14:paraId="639E280F" w14:textId="77777777" w:rsidR="00C15F2E" w:rsidRPr="00D96063" w:rsidRDefault="00C15F2E" w:rsidP="00053198">
            <w:pPr>
              <w:jc w:val="right"/>
              <w:rPr>
                <w:sz w:val="14"/>
              </w:rPr>
            </w:pPr>
            <w:r w:rsidRPr="00D96063">
              <w:rPr>
                <w:sz w:val="14"/>
              </w:rPr>
              <w:t>..</w:t>
            </w:r>
          </w:p>
        </w:tc>
        <w:tc>
          <w:tcPr>
            <w:tcW w:w="361" w:type="pct"/>
            <w:tcBorders>
              <w:top w:val="nil"/>
              <w:left w:val="single" w:sz="4" w:space="0" w:color="auto"/>
              <w:bottom w:val="nil"/>
              <w:right w:val="single" w:sz="4" w:space="0" w:color="auto"/>
            </w:tcBorders>
            <w:noWrap/>
            <w:hideMark/>
          </w:tcPr>
          <w:p w14:paraId="4573BB83" w14:textId="77777777" w:rsidR="00C15F2E" w:rsidRPr="00D96063" w:rsidRDefault="00C15F2E" w:rsidP="00053198">
            <w:pPr>
              <w:jc w:val="right"/>
              <w:rPr>
                <w:sz w:val="14"/>
              </w:rPr>
            </w:pPr>
            <w:r w:rsidRPr="00D96063">
              <w:rPr>
                <w:sz w:val="14"/>
              </w:rPr>
              <w:t>..</w:t>
            </w:r>
          </w:p>
        </w:tc>
      </w:tr>
      <w:tr w:rsidR="00C15F2E" w:rsidRPr="00D96063" w14:paraId="271F3F8A" w14:textId="77777777" w:rsidTr="00053198">
        <w:trPr>
          <w:trHeight w:val="240"/>
        </w:trPr>
        <w:tc>
          <w:tcPr>
            <w:tcW w:w="548" w:type="pct"/>
            <w:tcBorders>
              <w:top w:val="nil"/>
              <w:left w:val="single" w:sz="4" w:space="0" w:color="auto"/>
              <w:bottom w:val="nil"/>
              <w:right w:val="single" w:sz="4" w:space="0" w:color="auto"/>
            </w:tcBorders>
            <w:noWrap/>
            <w:hideMark/>
          </w:tcPr>
          <w:p w14:paraId="482C97B5" w14:textId="77777777" w:rsidR="00C15F2E" w:rsidRPr="00D96063" w:rsidRDefault="00C15F2E" w:rsidP="00053198">
            <w:pPr>
              <w:jc w:val="left"/>
              <w:rPr>
                <w:sz w:val="14"/>
              </w:rPr>
            </w:pPr>
            <w:r w:rsidRPr="00D96063">
              <w:rPr>
                <w:sz w:val="14"/>
              </w:rPr>
              <w:t>Sugar cane</w:t>
            </w:r>
          </w:p>
        </w:tc>
        <w:tc>
          <w:tcPr>
            <w:tcW w:w="313" w:type="pct"/>
            <w:tcBorders>
              <w:top w:val="nil"/>
              <w:left w:val="single" w:sz="4" w:space="0" w:color="auto"/>
              <w:bottom w:val="nil"/>
              <w:right w:val="single" w:sz="4" w:space="0" w:color="auto"/>
            </w:tcBorders>
            <w:noWrap/>
            <w:hideMark/>
          </w:tcPr>
          <w:p w14:paraId="71C4D903" w14:textId="77777777" w:rsidR="00C15F2E" w:rsidRPr="00D96063" w:rsidRDefault="00C15F2E" w:rsidP="00053198">
            <w:pPr>
              <w:jc w:val="right"/>
              <w:rPr>
                <w:sz w:val="14"/>
              </w:rPr>
            </w:pPr>
            <w:r w:rsidRPr="00D96063">
              <w:rPr>
                <w:sz w:val="14"/>
              </w:rPr>
              <w:t>149</w:t>
            </w:r>
          </w:p>
        </w:tc>
        <w:tc>
          <w:tcPr>
            <w:tcW w:w="393" w:type="pct"/>
            <w:tcBorders>
              <w:top w:val="nil"/>
              <w:left w:val="single" w:sz="4" w:space="0" w:color="auto"/>
              <w:bottom w:val="nil"/>
              <w:right w:val="single" w:sz="4" w:space="0" w:color="auto"/>
            </w:tcBorders>
            <w:noWrap/>
            <w:hideMark/>
          </w:tcPr>
          <w:p w14:paraId="27C63543" w14:textId="77777777" w:rsidR="00C15F2E" w:rsidRPr="00D96063" w:rsidRDefault="00C15F2E" w:rsidP="00053198">
            <w:pPr>
              <w:jc w:val="right"/>
              <w:rPr>
                <w:sz w:val="14"/>
              </w:rPr>
            </w:pPr>
            <w:r w:rsidRPr="00D96063">
              <w:rPr>
                <w:sz w:val="14"/>
              </w:rPr>
              <w:t>150</w:t>
            </w:r>
          </w:p>
        </w:tc>
        <w:tc>
          <w:tcPr>
            <w:tcW w:w="394" w:type="pct"/>
            <w:tcBorders>
              <w:top w:val="nil"/>
              <w:left w:val="single" w:sz="4" w:space="0" w:color="auto"/>
              <w:bottom w:val="nil"/>
              <w:right w:val="single" w:sz="4" w:space="0" w:color="auto"/>
            </w:tcBorders>
            <w:noWrap/>
            <w:hideMark/>
          </w:tcPr>
          <w:p w14:paraId="79F617D7" w14:textId="77777777" w:rsidR="00C15F2E" w:rsidRPr="00D96063" w:rsidRDefault="00C15F2E" w:rsidP="00053198">
            <w:pPr>
              <w:jc w:val="right"/>
              <w:rPr>
                <w:sz w:val="14"/>
              </w:rPr>
            </w:pPr>
            <w:r w:rsidRPr="00D96063">
              <w:rPr>
                <w:sz w:val="14"/>
              </w:rPr>
              <w:t>152</w:t>
            </w:r>
          </w:p>
        </w:tc>
        <w:tc>
          <w:tcPr>
            <w:tcW w:w="393" w:type="pct"/>
            <w:tcBorders>
              <w:top w:val="nil"/>
              <w:left w:val="single" w:sz="4" w:space="0" w:color="auto"/>
              <w:bottom w:val="nil"/>
              <w:right w:val="single" w:sz="4" w:space="0" w:color="auto"/>
            </w:tcBorders>
            <w:noWrap/>
            <w:hideMark/>
          </w:tcPr>
          <w:p w14:paraId="70FD7E66" w14:textId="77777777" w:rsidR="00C15F2E" w:rsidRPr="00D96063" w:rsidRDefault="00C15F2E" w:rsidP="00053198">
            <w:pPr>
              <w:jc w:val="right"/>
              <w:rPr>
                <w:sz w:val="14"/>
              </w:rPr>
            </w:pPr>
            <w:r w:rsidRPr="00D96063">
              <w:rPr>
                <w:sz w:val="14"/>
              </w:rPr>
              <w:t>152</w:t>
            </w:r>
          </w:p>
        </w:tc>
        <w:tc>
          <w:tcPr>
            <w:tcW w:w="393" w:type="pct"/>
            <w:tcBorders>
              <w:top w:val="nil"/>
              <w:left w:val="single" w:sz="4" w:space="0" w:color="auto"/>
              <w:bottom w:val="nil"/>
              <w:right w:val="single" w:sz="4" w:space="0" w:color="auto"/>
            </w:tcBorders>
            <w:noWrap/>
            <w:hideMark/>
          </w:tcPr>
          <w:p w14:paraId="47E71374" w14:textId="77777777" w:rsidR="00C15F2E" w:rsidRPr="00D96063" w:rsidRDefault="00C15F2E" w:rsidP="00053198">
            <w:pPr>
              <w:jc w:val="right"/>
              <w:rPr>
                <w:sz w:val="14"/>
              </w:rPr>
            </w:pPr>
            <w:r w:rsidRPr="00D96063">
              <w:rPr>
                <w:sz w:val="14"/>
              </w:rPr>
              <w:t>153</w:t>
            </w:r>
          </w:p>
        </w:tc>
        <w:tc>
          <w:tcPr>
            <w:tcW w:w="393" w:type="pct"/>
            <w:tcBorders>
              <w:top w:val="nil"/>
              <w:left w:val="single" w:sz="4" w:space="0" w:color="auto"/>
              <w:bottom w:val="nil"/>
              <w:right w:val="single" w:sz="4" w:space="0" w:color="auto"/>
            </w:tcBorders>
            <w:noWrap/>
            <w:hideMark/>
          </w:tcPr>
          <w:p w14:paraId="06E2217C" w14:textId="77777777" w:rsidR="00C15F2E" w:rsidRPr="00D96063" w:rsidRDefault="00C15F2E" w:rsidP="00053198">
            <w:pPr>
              <w:jc w:val="right"/>
              <w:rPr>
                <w:sz w:val="14"/>
              </w:rPr>
            </w:pPr>
            <w:r w:rsidRPr="00D96063">
              <w:rPr>
                <w:sz w:val="14"/>
              </w:rPr>
              <w:t>154</w:t>
            </w:r>
          </w:p>
        </w:tc>
        <w:tc>
          <w:tcPr>
            <w:tcW w:w="393" w:type="pct"/>
            <w:tcBorders>
              <w:top w:val="nil"/>
              <w:left w:val="single" w:sz="4" w:space="0" w:color="auto"/>
              <w:bottom w:val="nil"/>
              <w:right w:val="single" w:sz="4" w:space="0" w:color="auto"/>
            </w:tcBorders>
            <w:noWrap/>
            <w:hideMark/>
          </w:tcPr>
          <w:p w14:paraId="2C2B4B72" w14:textId="77777777" w:rsidR="00C15F2E" w:rsidRPr="00D96063" w:rsidRDefault="00C15F2E" w:rsidP="00053198">
            <w:pPr>
              <w:jc w:val="right"/>
              <w:rPr>
                <w:sz w:val="14"/>
              </w:rPr>
            </w:pPr>
            <w:r w:rsidRPr="00D96063">
              <w:rPr>
                <w:rFonts w:cs="Calibri"/>
                <w:sz w:val="14"/>
                <w:szCs w:val="14"/>
              </w:rPr>
              <w:t>154</w:t>
            </w:r>
          </w:p>
        </w:tc>
        <w:tc>
          <w:tcPr>
            <w:tcW w:w="470" w:type="pct"/>
            <w:tcBorders>
              <w:top w:val="nil"/>
              <w:left w:val="single" w:sz="4" w:space="0" w:color="auto"/>
              <w:bottom w:val="nil"/>
              <w:right w:val="single" w:sz="4" w:space="0" w:color="auto"/>
            </w:tcBorders>
            <w:noWrap/>
            <w:hideMark/>
          </w:tcPr>
          <w:p w14:paraId="13FA0D23" w14:textId="77777777" w:rsidR="00C15F2E" w:rsidRPr="00D96063" w:rsidRDefault="00C15F2E" w:rsidP="00053198">
            <w:pPr>
              <w:jc w:val="right"/>
              <w:rPr>
                <w:sz w:val="14"/>
              </w:rPr>
            </w:pPr>
            <w:r w:rsidRPr="00D96063">
              <w:rPr>
                <w:sz w:val="14"/>
              </w:rPr>
              <w:t>152</w:t>
            </w:r>
          </w:p>
        </w:tc>
        <w:tc>
          <w:tcPr>
            <w:tcW w:w="477" w:type="pct"/>
            <w:tcBorders>
              <w:top w:val="nil"/>
              <w:left w:val="single" w:sz="4" w:space="0" w:color="auto"/>
              <w:bottom w:val="nil"/>
              <w:right w:val="single" w:sz="4" w:space="0" w:color="auto"/>
            </w:tcBorders>
            <w:noWrap/>
            <w:hideMark/>
          </w:tcPr>
          <w:p w14:paraId="7AD6BE72" w14:textId="77777777" w:rsidR="00C15F2E" w:rsidRPr="00D96063" w:rsidRDefault="00C15F2E" w:rsidP="002C1DC3">
            <w:pPr>
              <w:ind w:right="170"/>
              <w:jc w:val="right"/>
              <w:rPr>
                <w:sz w:val="14"/>
              </w:rPr>
            </w:pPr>
            <w:r w:rsidRPr="00D96063">
              <w:rPr>
                <w:sz w:val="14"/>
              </w:rPr>
              <w:t xml:space="preserve">0.0 </w:t>
            </w:r>
          </w:p>
        </w:tc>
        <w:tc>
          <w:tcPr>
            <w:tcW w:w="471" w:type="pct"/>
            <w:tcBorders>
              <w:top w:val="nil"/>
              <w:left w:val="single" w:sz="4" w:space="0" w:color="auto"/>
              <w:bottom w:val="nil"/>
              <w:right w:val="single" w:sz="4" w:space="0" w:color="auto"/>
            </w:tcBorders>
            <w:noWrap/>
            <w:hideMark/>
          </w:tcPr>
          <w:p w14:paraId="1B55073D" w14:textId="77777777" w:rsidR="00C15F2E" w:rsidRPr="00D96063" w:rsidRDefault="00C15F2E" w:rsidP="00053198">
            <w:pPr>
              <w:jc w:val="right"/>
              <w:rPr>
                <w:sz w:val="14"/>
              </w:rPr>
            </w:pPr>
            <w:r w:rsidRPr="00D96063">
              <w:rPr>
                <w:sz w:val="14"/>
              </w:rPr>
              <w:t>1.8</w:t>
            </w:r>
          </w:p>
        </w:tc>
        <w:tc>
          <w:tcPr>
            <w:tcW w:w="361" w:type="pct"/>
            <w:tcBorders>
              <w:top w:val="nil"/>
              <w:left w:val="single" w:sz="4" w:space="0" w:color="auto"/>
              <w:bottom w:val="nil"/>
              <w:right w:val="single" w:sz="4" w:space="0" w:color="auto"/>
            </w:tcBorders>
            <w:noWrap/>
            <w:hideMark/>
          </w:tcPr>
          <w:p w14:paraId="28037153" w14:textId="77777777" w:rsidR="00C15F2E" w:rsidRPr="00D96063" w:rsidRDefault="00C15F2E" w:rsidP="00053198">
            <w:pPr>
              <w:jc w:val="right"/>
              <w:rPr>
                <w:sz w:val="14"/>
              </w:rPr>
            </w:pPr>
            <w:r w:rsidRPr="00D96063">
              <w:rPr>
                <w:sz w:val="14"/>
              </w:rPr>
              <w:t>0.6</w:t>
            </w:r>
          </w:p>
        </w:tc>
      </w:tr>
      <w:tr w:rsidR="00C15F2E" w:rsidRPr="00D96063" w14:paraId="1BEAD046"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74D5686C" w14:textId="77777777" w:rsidR="00C15F2E" w:rsidRPr="00D96063" w:rsidRDefault="00C15F2E" w:rsidP="00053198">
            <w:pPr>
              <w:jc w:val="left"/>
              <w:rPr>
                <w:sz w:val="14"/>
              </w:rPr>
            </w:pPr>
            <w:r w:rsidRPr="00D96063">
              <w:rPr>
                <w:sz w:val="14"/>
              </w:rPr>
              <w:t>Onions</w:t>
            </w:r>
          </w:p>
        </w:tc>
        <w:tc>
          <w:tcPr>
            <w:tcW w:w="313" w:type="pct"/>
            <w:tcBorders>
              <w:top w:val="nil"/>
              <w:left w:val="single" w:sz="4" w:space="0" w:color="auto"/>
              <w:bottom w:val="nil"/>
              <w:right w:val="single" w:sz="4" w:space="0" w:color="auto"/>
            </w:tcBorders>
            <w:noWrap/>
            <w:hideMark/>
          </w:tcPr>
          <w:p w14:paraId="3A13E887" w14:textId="77777777" w:rsidR="00C15F2E" w:rsidRPr="00D96063" w:rsidRDefault="00C15F2E" w:rsidP="00053198">
            <w:pPr>
              <w:jc w:val="right"/>
              <w:rPr>
                <w:sz w:val="14"/>
              </w:rPr>
            </w:pPr>
            <w:r w:rsidRPr="00D96063">
              <w:rPr>
                <w:sz w:val="14"/>
              </w:rPr>
              <w:t>144</w:t>
            </w:r>
          </w:p>
        </w:tc>
        <w:tc>
          <w:tcPr>
            <w:tcW w:w="393" w:type="pct"/>
            <w:tcBorders>
              <w:top w:val="nil"/>
              <w:left w:val="single" w:sz="4" w:space="0" w:color="auto"/>
              <w:bottom w:val="nil"/>
              <w:right w:val="single" w:sz="4" w:space="0" w:color="auto"/>
            </w:tcBorders>
            <w:noWrap/>
            <w:hideMark/>
          </w:tcPr>
          <w:p w14:paraId="28CC4F19" w14:textId="77777777" w:rsidR="00C15F2E" w:rsidRPr="00D96063" w:rsidRDefault="00C15F2E" w:rsidP="00053198">
            <w:pPr>
              <w:jc w:val="right"/>
              <w:rPr>
                <w:sz w:val="14"/>
              </w:rPr>
            </w:pPr>
            <w:r w:rsidRPr="00D96063">
              <w:rPr>
                <w:sz w:val="14"/>
              </w:rPr>
              <w:t>144</w:t>
            </w:r>
          </w:p>
        </w:tc>
        <w:tc>
          <w:tcPr>
            <w:tcW w:w="394" w:type="pct"/>
            <w:tcBorders>
              <w:top w:val="nil"/>
              <w:left w:val="single" w:sz="4" w:space="0" w:color="auto"/>
              <w:bottom w:val="nil"/>
              <w:right w:val="single" w:sz="4" w:space="0" w:color="auto"/>
            </w:tcBorders>
            <w:noWrap/>
            <w:hideMark/>
          </w:tcPr>
          <w:p w14:paraId="41033392" w14:textId="77777777" w:rsidR="00C15F2E" w:rsidRPr="00D96063" w:rsidRDefault="00C15F2E" w:rsidP="00053198">
            <w:pPr>
              <w:jc w:val="right"/>
              <w:rPr>
                <w:sz w:val="14"/>
              </w:rPr>
            </w:pPr>
            <w:r w:rsidRPr="00D96063">
              <w:rPr>
                <w:sz w:val="14"/>
              </w:rPr>
              <w:t>144</w:t>
            </w:r>
          </w:p>
        </w:tc>
        <w:tc>
          <w:tcPr>
            <w:tcW w:w="393" w:type="pct"/>
            <w:tcBorders>
              <w:top w:val="nil"/>
              <w:left w:val="single" w:sz="4" w:space="0" w:color="auto"/>
              <w:bottom w:val="nil"/>
              <w:right w:val="single" w:sz="4" w:space="0" w:color="auto"/>
            </w:tcBorders>
            <w:noWrap/>
            <w:hideMark/>
          </w:tcPr>
          <w:p w14:paraId="32DE3870" w14:textId="77777777" w:rsidR="00C15F2E" w:rsidRPr="00D96063" w:rsidRDefault="00C15F2E" w:rsidP="00053198">
            <w:pPr>
              <w:jc w:val="right"/>
              <w:rPr>
                <w:sz w:val="14"/>
              </w:rPr>
            </w:pPr>
            <w:r w:rsidRPr="00D96063">
              <w:rPr>
                <w:sz w:val="14"/>
              </w:rPr>
              <w:t>145</w:t>
            </w:r>
          </w:p>
        </w:tc>
        <w:tc>
          <w:tcPr>
            <w:tcW w:w="393" w:type="pct"/>
            <w:tcBorders>
              <w:top w:val="nil"/>
              <w:left w:val="single" w:sz="4" w:space="0" w:color="auto"/>
              <w:bottom w:val="nil"/>
              <w:right w:val="single" w:sz="4" w:space="0" w:color="auto"/>
            </w:tcBorders>
            <w:noWrap/>
            <w:hideMark/>
          </w:tcPr>
          <w:p w14:paraId="1227F6B5" w14:textId="77777777" w:rsidR="00C15F2E" w:rsidRPr="00D96063" w:rsidRDefault="00C15F2E" w:rsidP="00053198">
            <w:pPr>
              <w:jc w:val="right"/>
              <w:rPr>
                <w:sz w:val="14"/>
              </w:rPr>
            </w:pPr>
            <w:r w:rsidRPr="00D96063">
              <w:rPr>
                <w:sz w:val="14"/>
              </w:rPr>
              <w:t>157</w:t>
            </w:r>
          </w:p>
        </w:tc>
        <w:tc>
          <w:tcPr>
            <w:tcW w:w="393" w:type="pct"/>
            <w:tcBorders>
              <w:top w:val="nil"/>
              <w:left w:val="single" w:sz="4" w:space="0" w:color="auto"/>
              <w:bottom w:val="nil"/>
              <w:right w:val="single" w:sz="4" w:space="0" w:color="auto"/>
            </w:tcBorders>
            <w:noWrap/>
            <w:hideMark/>
          </w:tcPr>
          <w:p w14:paraId="22304550" w14:textId="77777777" w:rsidR="00C15F2E" w:rsidRPr="00D96063" w:rsidRDefault="00C15F2E" w:rsidP="00053198">
            <w:pPr>
              <w:jc w:val="right"/>
              <w:rPr>
                <w:sz w:val="14"/>
              </w:rPr>
            </w:pPr>
            <w:r w:rsidRPr="00D96063">
              <w:rPr>
                <w:sz w:val="14"/>
              </w:rPr>
              <w:t>155</w:t>
            </w:r>
          </w:p>
        </w:tc>
        <w:tc>
          <w:tcPr>
            <w:tcW w:w="393" w:type="pct"/>
            <w:tcBorders>
              <w:top w:val="nil"/>
              <w:left w:val="single" w:sz="4" w:space="0" w:color="auto"/>
              <w:bottom w:val="nil"/>
              <w:right w:val="single" w:sz="4" w:space="0" w:color="auto"/>
            </w:tcBorders>
            <w:noWrap/>
            <w:hideMark/>
          </w:tcPr>
          <w:p w14:paraId="30DFD373"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nil"/>
              <w:right w:val="single" w:sz="4" w:space="0" w:color="auto"/>
            </w:tcBorders>
            <w:noWrap/>
            <w:hideMark/>
          </w:tcPr>
          <w:p w14:paraId="15BF9DE6" w14:textId="77777777" w:rsidR="00C15F2E" w:rsidRPr="00D96063" w:rsidRDefault="00C15F2E" w:rsidP="00053198">
            <w:pPr>
              <w:jc w:val="right"/>
              <w:rPr>
                <w:sz w:val="14"/>
              </w:rPr>
            </w:pPr>
            <w:r w:rsidRPr="00D96063">
              <w:rPr>
                <w:sz w:val="14"/>
              </w:rPr>
              <w:t>148</w:t>
            </w:r>
          </w:p>
        </w:tc>
        <w:tc>
          <w:tcPr>
            <w:tcW w:w="477" w:type="pct"/>
            <w:tcBorders>
              <w:top w:val="nil"/>
              <w:left w:val="single" w:sz="4" w:space="0" w:color="auto"/>
              <w:bottom w:val="nil"/>
              <w:right w:val="single" w:sz="4" w:space="0" w:color="auto"/>
            </w:tcBorders>
            <w:noWrap/>
            <w:hideMark/>
          </w:tcPr>
          <w:p w14:paraId="73194017" w14:textId="77777777" w:rsidR="00C15F2E" w:rsidRPr="00D96063" w:rsidRDefault="00C15F2E" w:rsidP="002C1DC3">
            <w:pPr>
              <w:ind w:right="170"/>
              <w:jc w:val="right"/>
              <w:rPr>
                <w:sz w:val="14"/>
              </w:rPr>
            </w:pPr>
            <w:r w:rsidRPr="00D96063">
              <w:rPr>
                <w:sz w:val="14"/>
              </w:rPr>
              <w:t xml:space="preserve">0.2 </w:t>
            </w:r>
          </w:p>
        </w:tc>
        <w:tc>
          <w:tcPr>
            <w:tcW w:w="471" w:type="pct"/>
            <w:tcBorders>
              <w:top w:val="nil"/>
              <w:left w:val="single" w:sz="4" w:space="0" w:color="auto"/>
              <w:bottom w:val="nil"/>
              <w:right w:val="single" w:sz="4" w:space="0" w:color="auto"/>
            </w:tcBorders>
            <w:noWrap/>
            <w:hideMark/>
          </w:tcPr>
          <w:p w14:paraId="2ABCB3C2" w14:textId="77777777" w:rsidR="00C15F2E" w:rsidRPr="00D96063" w:rsidRDefault="00C15F2E" w:rsidP="00053198">
            <w:pPr>
              <w:jc w:val="right"/>
              <w:rPr>
                <w:sz w:val="14"/>
              </w:rPr>
            </w:pPr>
            <w:r w:rsidRPr="00D96063">
              <w:rPr>
                <w:sz w:val="14"/>
              </w:rPr>
              <w:t>111.4</w:t>
            </w:r>
          </w:p>
        </w:tc>
        <w:tc>
          <w:tcPr>
            <w:tcW w:w="361" w:type="pct"/>
            <w:tcBorders>
              <w:top w:val="nil"/>
              <w:left w:val="single" w:sz="4" w:space="0" w:color="auto"/>
              <w:bottom w:val="nil"/>
              <w:right w:val="single" w:sz="4" w:space="0" w:color="auto"/>
            </w:tcBorders>
            <w:noWrap/>
            <w:hideMark/>
          </w:tcPr>
          <w:p w14:paraId="2448E7A1" w14:textId="77777777" w:rsidR="00C15F2E" w:rsidRPr="00D96063" w:rsidRDefault="00C15F2E" w:rsidP="00053198">
            <w:pPr>
              <w:jc w:val="right"/>
              <w:rPr>
                <w:sz w:val="14"/>
              </w:rPr>
            </w:pPr>
            <w:r w:rsidRPr="00D96063">
              <w:rPr>
                <w:sz w:val="14"/>
              </w:rPr>
              <w:t>1.5</w:t>
            </w:r>
          </w:p>
        </w:tc>
      </w:tr>
      <w:tr w:rsidR="00C15F2E" w:rsidRPr="00D96063" w14:paraId="2EEF7020" w14:textId="77777777" w:rsidTr="00053198">
        <w:trPr>
          <w:trHeight w:val="240"/>
        </w:trPr>
        <w:tc>
          <w:tcPr>
            <w:tcW w:w="548" w:type="pct"/>
            <w:tcBorders>
              <w:top w:val="nil"/>
              <w:left w:val="single" w:sz="4" w:space="0" w:color="auto"/>
              <w:bottom w:val="nil"/>
              <w:right w:val="single" w:sz="4" w:space="0" w:color="auto"/>
            </w:tcBorders>
            <w:noWrap/>
            <w:hideMark/>
          </w:tcPr>
          <w:p w14:paraId="1A44DD88" w14:textId="77777777" w:rsidR="00C15F2E" w:rsidRPr="00D96063" w:rsidRDefault="00C15F2E" w:rsidP="00053198">
            <w:pPr>
              <w:jc w:val="left"/>
              <w:rPr>
                <w:sz w:val="14"/>
              </w:rPr>
            </w:pPr>
            <w:r w:rsidRPr="00D96063">
              <w:rPr>
                <w:sz w:val="14"/>
              </w:rPr>
              <w:t>Sweet potatoes</w:t>
            </w:r>
          </w:p>
        </w:tc>
        <w:tc>
          <w:tcPr>
            <w:tcW w:w="313" w:type="pct"/>
            <w:tcBorders>
              <w:top w:val="nil"/>
              <w:left w:val="single" w:sz="4" w:space="0" w:color="auto"/>
              <w:bottom w:val="nil"/>
              <w:right w:val="single" w:sz="4" w:space="0" w:color="auto"/>
            </w:tcBorders>
            <w:noWrap/>
            <w:hideMark/>
          </w:tcPr>
          <w:p w14:paraId="5EF3648D" w14:textId="77777777" w:rsidR="00C15F2E" w:rsidRPr="00D96063" w:rsidRDefault="00C15F2E" w:rsidP="00053198">
            <w:pPr>
              <w:jc w:val="right"/>
              <w:rPr>
                <w:sz w:val="14"/>
              </w:rPr>
            </w:pPr>
            <w:r w:rsidRPr="00D96063">
              <w:rPr>
                <w:sz w:val="14"/>
              </w:rPr>
              <w:t>138</w:t>
            </w:r>
          </w:p>
        </w:tc>
        <w:tc>
          <w:tcPr>
            <w:tcW w:w="393" w:type="pct"/>
            <w:tcBorders>
              <w:top w:val="nil"/>
              <w:left w:val="single" w:sz="4" w:space="0" w:color="auto"/>
              <w:bottom w:val="nil"/>
              <w:right w:val="single" w:sz="4" w:space="0" w:color="auto"/>
            </w:tcBorders>
            <w:noWrap/>
            <w:hideMark/>
          </w:tcPr>
          <w:p w14:paraId="3A654D44" w14:textId="77777777" w:rsidR="00C15F2E" w:rsidRPr="00D96063" w:rsidRDefault="00C15F2E" w:rsidP="00053198">
            <w:pPr>
              <w:jc w:val="right"/>
              <w:rPr>
                <w:sz w:val="14"/>
              </w:rPr>
            </w:pPr>
            <w:r w:rsidRPr="00D96063">
              <w:rPr>
                <w:sz w:val="14"/>
              </w:rPr>
              <w:t>142</w:t>
            </w:r>
          </w:p>
        </w:tc>
        <w:tc>
          <w:tcPr>
            <w:tcW w:w="394" w:type="pct"/>
            <w:tcBorders>
              <w:top w:val="nil"/>
              <w:left w:val="single" w:sz="4" w:space="0" w:color="auto"/>
              <w:bottom w:val="nil"/>
              <w:right w:val="single" w:sz="4" w:space="0" w:color="auto"/>
            </w:tcBorders>
            <w:noWrap/>
            <w:hideMark/>
          </w:tcPr>
          <w:p w14:paraId="5B51ED96" w14:textId="77777777" w:rsidR="00C15F2E" w:rsidRPr="00D96063" w:rsidRDefault="00C15F2E" w:rsidP="00053198">
            <w:pPr>
              <w:jc w:val="right"/>
              <w:rPr>
                <w:sz w:val="14"/>
              </w:rPr>
            </w:pPr>
            <w:r w:rsidRPr="00D96063">
              <w:rPr>
                <w:sz w:val="14"/>
              </w:rPr>
              <w:t>144</w:t>
            </w:r>
          </w:p>
        </w:tc>
        <w:tc>
          <w:tcPr>
            <w:tcW w:w="393" w:type="pct"/>
            <w:tcBorders>
              <w:top w:val="nil"/>
              <w:left w:val="single" w:sz="4" w:space="0" w:color="auto"/>
              <w:bottom w:val="nil"/>
              <w:right w:val="single" w:sz="4" w:space="0" w:color="auto"/>
            </w:tcBorders>
            <w:noWrap/>
            <w:hideMark/>
          </w:tcPr>
          <w:p w14:paraId="7114830F" w14:textId="77777777" w:rsidR="00C15F2E" w:rsidRPr="00D96063" w:rsidRDefault="00C15F2E" w:rsidP="00053198">
            <w:pPr>
              <w:jc w:val="right"/>
              <w:rPr>
                <w:sz w:val="14"/>
              </w:rPr>
            </w:pPr>
            <w:r w:rsidRPr="00D96063">
              <w:rPr>
                <w:sz w:val="14"/>
              </w:rPr>
              <w:t>148</w:t>
            </w:r>
          </w:p>
        </w:tc>
        <w:tc>
          <w:tcPr>
            <w:tcW w:w="393" w:type="pct"/>
            <w:tcBorders>
              <w:top w:val="nil"/>
              <w:left w:val="single" w:sz="4" w:space="0" w:color="auto"/>
              <w:bottom w:val="nil"/>
              <w:right w:val="single" w:sz="4" w:space="0" w:color="auto"/>
            </w:tcBorders>
            <w:noWrap/>
            <w:hideMark/>
          </w:tcPr>
          <w:p w14:paraId="3AF4C20C" w14:textId="77777777" w:rsidR="00C15F2E" w:rsidRPr="00D96063" w:rsidRDefault="00C15F2E" w:rsidP="00053198">
            <w:pPr>
              <w:jc w:val="right"/>
              <w:rPr>
                <w:sz w:val="14"/>
              </w:rPr>
            </w:pPr>
            <w:r w:rsidRPr="00D96063">
              <w:rPr>
                <w:sz w:val="14"/>
              </w:rPr>
              <w:t>151</w:t>
            </w:r>
          </w:p>
        </w:tc>
        <w:tc>
          <w:tcPr>
            <w:tcW w:w="393" w:type="pct"/>
            <w:tcBorders>
              <w:top w:val="nil"/>
              <w:left w:val="single" w:sz="4" w:space="0" w:color="auto"/>
              <w:bottom w:val="nil"/>
              <w:right w:val="single" w:sz="4" w:space="0" w:color="auto"/>
            </w:tcBorders>
            <w:noWrap/>
            <w:hideMark/>
          </w:tcPr>
          <w:p w14:paraId="5AC519E7" w14:textId="77777777" w:rsidR="00C15F2E" w:rsidRPr="00D96063" w:rsidRDefault="00C15F2E" w:rsidP="00053198">
            <w:pPr>
              <w:jc w:val="right"/>
              <w:rPr>
                <w:sz w:val="14"/>
              </w:rPr>
            </w:pPr>
            <w:r w:rsidRPr="00D96063">
              <w:rPr>
                <w:sz w:val="14"/>
              </w:rPr>
              <w:t>154</w:t>
            </w:r>
          </w:p>
        </w:tc>
        <w:tc>
          <w:tcPr>
            <w:tcW w:w="393" w:type="pct"/>
            <w:tcBorders>
              <w:top w:val="nil"/>
              <w:left w:val="single" w:sz="4" w:space="0" w:color="auto"/>
              <w:bottom w:val="nil"/>
              <w:right w:val="single" w:sz="4" w:space="0" w:color="auto"/>
            </w:tcBorders>
            <w:noWrap/>
            <w:hideMark/>
          </w:tcPr>
          <w:p w14:paraId="567FA110" w14:textId="77777777" w:rsidR="00C15F2E" w:rsidRPr="00D96063" w:rsidRDefault="00C15F2E" w:rsidP="00053198">
            <w:pPr>
              <w:jc w:val="right"/>
              <w:rPr>
                <w:sz w:val="14"/>
              </w:rPr>
            </w:pPr>
            <w:r w:rsidRPr="00D96063">
              <w:rPr>
                <w:rFonts w:cs="Calibri"/>
                <w:sz w:val="14"/>
                <w:szCs w:val="14"/>
              </w:rPr>
              <w:t>1,394</w:t>
            </w:r>
          </w:p>
        </w:tc>
        <w:tc>
          <w:tcPr>
            <w:tcW w:w="470" w:type="pct"/>
            <w:tcBorders>
              <w:top w:val="nil"/>
              <w:left w:val="single" w:sz="4" w:space="0" w:color="auto"/>
              <w:bottom w:val="nil"/>
              <w:right w:val="single" w:sz="4" w:space="0" w:color="auto"/>
            </w:tcBorders>
            <w:noWrap/>
            <w:hideMark/>
          </w:tcPr>
          <w:p w14:paraId="7952BD19" w14:textId="77777777" w:rsidR="00C15F2E" w:rsidRPr="00D96063" w:rsidRDefault="00C15F2E" w:rsidP="00053198">
            <w:pPr>
              <w:jc w:val="right"/>
              <w:rPr>
                <w:sz w:val="14"/>
              </w:rPr>
            </w:pPr>
            <w:r w:rsidRPr="00D96063">
              <w:rPr>
                <w:sz w:val="14"/>
              </w:rPr>
              <w:t>146</w:t>
            </w:r>
          </w:p>
        </w:tc>
        <w:tc>
          <w:tcPr>
            <w:tcW w:w="477" w:type="pct"/>
            <w:tcBorders>
              <w:top w:val="nil"/>
              <w:left w:val="single" w:sz="4" w:space="0" w:color="auto"/>
              <w:bottom w:val="nil"/>
              <w:right w:val="single" w:sz="4" w:space="0" w:color="auto"/>
            </w:tcBorders>
            <w:noWrap/>
            <w:hideMark/>
          </w:tcPr>
          <w:p w14:paraId="762D6390" w14:textId="77777777" w:rsidR="00C15F2E" w:rsidRPr="00D96063" w:rsidRDefault="00C15F2E" w:rsidP="002C1DC3">
            <w:pPr>
              <w:ind w:right="170"/>
              <w:jc w:val="right"/>
              <w:rPr>
                <w:sz w:val="14"/>
              </w:rPr>
            </w:pPr>
            <w:r w:rsidRPr="00D96063">
              <w:rPr>
                <w:sz w:val="14"/>
              </w:rPr>
              <w:t xml:space="preserve">0.2 </w:t>
            </w:r>
          </w:p>
        </w:tc>
        <w:tc>
          <w:tcPr>
            <w:tcW w:w="471" w:type="pct"/>
            <w:tcBorders>
              <w:top w:val="nil"/>
              <w:left w:val="single" w:sz="4" w:space="0" w:color="auto"/>
              <w:bottom w:val="nil"/>
              <w:right w:val="single" w:sz="4" w:space="0" w:color="auto"/>
            </w:tcBorders>
            <w:noWrap/>
            <w:hideMark/>
          </w:tcPr>
          <w:p w14:paraId="46517257" w14:textId="77777777" w:rsidR="00C15F2E" w:rsidRPr="00D96063" w:rsidRDefault="00C15F2E" w:rsidP="00053198">
            <w:pPr>
              <w:jc w:val="right"/>
              <w:rPr>
                <w:sz w:val="14"/>
              </w:rPr>
            </w:pPr>
            <w:r w:rsidRPr="00D96063">
              <w:rPr>
                <w:sz w:val="14"/>
              </w:rPr>
              <w:t>9.7</w:t>
            </w:r>
          </w:p>
        </w:tc>
        <w:tc>
          <w:tcPr>
            <w:tcW w:w="361" w:type="pct"/>
            <w:tcBorders>
              <w:top w:val="nil"/>
              <w:left w:val="single" w:sz="4" w:space="0" w:color="auto"/>
              <w:bottom w:val="nil"/>
              <w:right w:val="single" w:sz="4" w:space="0" w:color="auto"/>
            </w:tcBorders>
            <w:noWrap/>
            <w:hideMark/>
          </w:tcPr>
          <w:p w14:paraId="3D9C4427" w14:textId="77777777" w:rsidR="00C15F2E" w:rsidRPr="00D96063" w:rsidRDefault="00C15F2E" w:rsidP="00053198">
            <w:pPr>
              <w:jc w:val="right"/>
              <w:rPr>
                <w:sz w:val="14"/>
              </w:rPr>
            </w:pPr>
            <w:r w:rsidRPr="00D96063">
              <w:rPr>
                <w:sz w:val="14"/>
              </w:rPr>
              <w:t>2.2</w:t>
            </w:r>
          </w:p>
        </w:tc>
      </w:tr>
      <w:tr w:rsidR="00C15F2E" w:rsidRPr="00D96063" w14:paraId="245B7932"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32AD3AF1" w14:textId="77777777" w:rsidR="00C15F2E" w:rsidRPr="00D96063" w:rsidRDefault="00C15F2E" w:rsidP="00053198">
            <w:pPr>
              <w:jc w:val="left"/>
              <w:rPr>
                <w:sz w:val="14"/>
              </w:rPr>
            </w:pPr>
            <w:r w:rsidRPr="00D96063">
              <w:rPr>
                <w:sz w:val="14"/>
              </w:rPr>
              <w:t>Palm kernels</w:t>
            </w:r>
          </w:p>
        </w:tc>
        <w:tc>
          <w:tcPr>
            <w:tcW w:w="313" w:type="pct"/>
            <w:tcBorders>
              <w:top w:val="nil"/>
              <w:left w:val="single" w:sz="4" w:space="0" w:color="auto"/>
              <w:bottom w:val="nil"/>
              <w:right w:val="single" w:sz="4" w:space="0" w:color="auto"/>
            </w:tcBorders>
            <w:noWrap/>
            <w:hideMark/>
          </w:tcPr>
          <w:p w14:paraId="3ABAF5AF" w14:textId="77777777" w:rsidR="00C15F2E" w:rsidRPr="00D96063" w:rsidRDefault="00C15F2E" w:rsidP="00053198">
            <w:pPr>
              <w:jc w:val="right"/>
              <w:rPr>
                <w:sz w:val="14"/>
              </w:rPr>
            </w:pPr>
            <w:r w:rsidRPr="00D96063">
              <w:rPr>
                <w:sz w:val="14"/>
              </w:rPr>
              <w:t>118</w:t>
            </w:r>
          </w:p>
        </w:tc>
        <w:tc>
          <w:tcPr>
            <w:tcW w:w="393" w:type="pct"/>
            <w:tcBorders>
              <w:top w:val="nil"/>
              <w:left w:val="single" w:sz="4" w:space="0" w:color="auto"/>
              <w:bottom w:val="nil"/>
              <w:right w:val="single" w:sz="4" w:space="0" w:color="auto"/>
            </w:tcBorders>
            <w:noWrap/>
            <w:hideMark/>
          </w:tcPr>
          <w:p w14:paraId="31701504" w14:textId="77777777" w:rsidR="00C15F2E" w:rsidRPr="00D96063" w:rsidRDefault="00C15F2E" w:rsidP="00053198">
            <w:pPr>
              <w:jc w:val="right"/>
              <w:rPr>
                <w:sz w:val="14"/>
              </w:rPr>
            </w:pPr>
            <w:r w:rsidRPr="00D96063">
              <w:rPr>
                <w:sz w:val="14"/>
              </w:rPr>
              <w:t>120</w:t>
            </w:r>
          </w:p>
        </w:tc>
        <w:tc>
          <w:tcPr>
            <w:tcW w:w="394" w:type="pct"/>
            <w:tcBorders>
              <w:top w:val="nil"/>
              <w:left w:val="single" w:sz="4" w:space="0" w:color="auto"/>
              <w:bottom w:val="nil"/>
              <w:right w:val="single" w:sz="4" w:space="0" w:color="auto"/>
            </w:tcBorders>
            <w:noWrap/>
            <w:hideMark/>
          </w:tcPr>
          <w:p w14:paraId="33E2F725" w14:textId="77777777" w:rsidR="00C15F2E" w:rsidRPr="00D96063" w:rsidRDefault="00C15F2E" w:rsidP="00053198">
            <w:pPr>
              <w:jc w:val="right"/>
              <w:rPr>
                <w:sz w:val="14"/>
              </w:rPr>
            </w:pPr>
            <w:r w:rsidRPr="00D96063">
              <w:rPr>
                <w:sz w:val="14"/>
              </w:rPr>
              <w:t>123</w:t>
            </w:r>
          </w:p>
        </w:tc>
        <w:tc>
          <w:tcPr>
            <w:tcW w:w="393" w:type="pct"/>
            <w:tcBorders>
              <w:top w:val="nil"/>
              <w:left w:val="single" w:sz="4" w:space="0" w:color="auto"/>
              <w:bottom w:val="nil"/>
              <w:right w:val="single" w:sz="4" w:space="0" w:color="auto"/>
            </w:tcBorders>
            <w:noWrap/>
            <w:hideMark/>
          </w:tcPr>
          <w:p w14:paraId="2530253A" w14:textId="77777777" w:rsidR="00C15F2E" w:rsidRPr="00D96063" w:rsidRDefault="00C15F2E" w:rsidP="00053198">
            <w:pPr>
              <w:jc w:val="right"/>
              <w:rPr>
                <w:sz w:val="14"/>
              </w:rPr>
            </w:pPr>
            <w:r w:rsidRPr="00D96063">
              <w:rPr>
                <w:sz w:val="14"/>
              </w:rPr>
              <w:t>128</w:t>
            </w:r>
          </w:p>
        </w:tc>
        <w:tc>
          <w:tcPr>
            <w:tcW w:w="393" w:type="pct"/>
            <w:tcBorders>
              <w:top w:val="nil"/>
              <w:left w:val="single" w:sz="4" w:space="0" w:color="auto"/>
              <w:bottom w:val="nil"/>
              <w:right w:val="single" w:sz="4" w:space="0" w:color="auto"/>
            </w:tcBorders>
            <w:noWrap/>
            <w:hideMark/>
          </w:tcPr>
          <w:p w14:paraId="4310F34B" w14:textId="77777777" w:rsidR="00C15F2E" w:rsidRPr="00D96063" w:rsidRDefault="00C15F2E" w:rsidP="00053198">
            <w:pPr>
              <w:jc w:val="right"/>
              <w:rPr>
                <w:sz w:val="14"/>
              </w:rPr>
            </w:pPr>
            <w:r w:rsidRPr="00D96063">
              <w:rPr>
                <w:sz w:val="14"/>
              </w:rPr>
              <w:t>130</w:t>
            </w:r>
          </w:p>
        </w:tc>
        <w:tc>
          <w:tcPr>
            <w:tcW w:w="393" w:type="pct"/>
            <w:tcBorders>
              <w:top w:val="nil"/>
              <w:left w:val="single" w:sz="4" w:space="0" w:color="auto"/>
              <w:bottom w:val="nil"/>
              <w:right w:val="single" w:sz="4" w:space="0" w:color="auto"/>
            </w:tcBorders>
            <w:noWrap/>
            <w:hideMark/>
          </w:tcPr>
          <w:p w14:paraId="7C525A2F" w14:textId="77777777" w:rsidR="00C15F2E" w:rsidRPr="00D96063" w:rsidRDefault="00C15F2E" w:rsidP="00053198">
            <w:pPr>
              <w:jc w:val="right"/>
              <w:rPr>
                <w:sz w:val="14"/>
              </w:rPr>
            </w:pPr>
            <w:r w:rsidRPr="00D96063">
              <w:rPr>
                <w:sz w:val="14"/>
              </w:rPr>
              <w:t>..</w:t>
            </w:r>
          </w:p>
        </w:tc>
        <w:tc>
          <w:tcPr>
            <w:tcW w:w="393" w:type="pct"/>
            <w:tcBorders>
              <w:top w:val="nil"/>
              <w:left w:val="single" w:sz="4" w:space="0" w:color="auto"/>
              <w:bottom w:val="nil"/>
              <w:right w:val="single" w:sz="4" w:space="0" w:color="auto"/>
            </w:tcBorders>
            <w:noWrap/>
            <w:hideMark/>
          </w:tcPr>
          <w:p w14:paraId="7E5ACA63"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nil"/>
              <w:right w:val="single" w:sz="4" w:space="0" w:color="auto"/>
            </w:tcBorders>
            <w:noWrap/>
            <w:hideMark/>
          </w:tcPr>
          <w:p w14:paraId="7C1327FB" w14:textId="77777777" w:rsidR="00C15F2E" w:rsidRPr="00D96063" w:rsidRDefault="00C15F2E" w:rsidP="00053198">
            <w:pPr>
              <w:jc w:val="right"/>
              <w:rPr>
                <w:sz w:val="14"/>
              </w:rPr>
            </w:pPr>
            <w:r w:rsidRPr="00D96063">
              <w:rPr>
                <w:sz w:val="14"/>
              </w:rPr>
              <w:t>124</w:t>
            </w:r>
          </w:p>
        </w:tc>
        <w:tc>
          <w:tcPr>
            <w:tcW w:w="477" w:type="pct"/>
            <w:tcBorders>
              <w:top w:val="nil"/>
              <w:left w:val="single" w:sz="4" w:space="0" w:color="auto"/>
              <w:bottom w:val="nil"/>
              <w:right w:val="single" w:sz="4" w:space="0" w:color="auto"/>
            </w:tcBorders>
            <w:noWrap/>
            <w:hideMark/>
          </w:tcPr>
          <w:p w14:paraId="05F1B74E" w14:textId="77777777" w:rsidR="00C15F2E" w:rsidRPr="00D96063" w:rsidRDefault="00C15F2E" w:rsidP="002C1DC3">
            <w:pPr>
              <w:ind w:right="170"/>
              <w:jc w:val="right"/>
              <w:rPr>
                <w:sz w:val="14"/>
              </w:rPr>
            </w:pPr>
            <w:r w:rsidRPr="00D96063">
              <w:rPr>
                <w:sz w:val="14"/>
              </w:rPr>
              <w:t xml:space="preserve">0.8 </w:t>
            </w:r>
          </w:p>
        </w:tc>
        <w:tc>
          <w:tcPr>
            <w:tcW w:w="471" w:type="pct"/>
            <w:tcBorders>
              <w:top w:val="nil"/>
              <w:left w:val="single" w:sz="4" w:space="0" w:color="auto"/>
              <w:bottom w:val="nil"/>
              <w:right w:val="single" w:sz="4" w:space="0" w:color="auto"/>
            </w:tcBorders>
            <w:noWrap/>
            <w:hideMark/>
          </w:tcPr>
          <w:p w14:paraId="2511ED33" w14:textId="77777777" w:rsidR="00C15F2E" w:rsidRPr="00D96063" w:rsidRDefault="00C15F2E" w:rsidP="00053198">
            <w:pPr>
              <w:jc w:val="right"/>
              <w:rPr>
                <w:sz w:val="14"/>
              </w:rPr>
            </w:pPr>
            <w:r w:rsidRPr="00D96063">
              <w:rPr>
                <w:sz w:val="14"/>
              </w:rPr>
              <w:t>..</w:t>
            </w:r>
          </w:p>
        </w:tc>
        <w:tc>
          <w:tcPr>
            <w:tcW w:w="361" w:type="pct"/>
            <w:tcBorders>
              <w:top w:val="nil"/>
              <w:left w:val="single" w:sz="4" w:space="0" w:color="auto"/>
              <w:bottom w:val="nil"/>
              <w:right w:val="single" w:sz="4" w:space="0" w:color="auto"/>
            </w:tcBorders>
            <w:noWrap/>
            <w:hideMark/>
          </w:tcPr>
          <w:p w14:paraId="3BC58A68" w14:textId="77777777" w:rsidR="00C15F2E" w:rsidRPr="00D96063" w:rsidRDefault="00C15F2E" w:rsidP="00053198">
            <w:pPr>
              <w:jc w:val="right"/>
              <w:rPr>
                <w:sz w:val="14"/>
              </w:rPr>
            </w:pPr>
            <w:r w:rsidRPr="00D96063">
              <w:rPr>
                <w:sz w:val="14"/>
              </w:rPr>
              <w:t>..</w:t>
            </w:r>
          </w:p>
        </w:tc>
      </w:tr>
      <w:tr w:rsidR="00C15F2E" w:rsidRPr="00D96063" w14:paraId="4604C8F1" w14:textId="77777777" w:rsidTr="00053198">
        <w:trPr>
          <w:trHeight w:val="240"/>
        </w:trPr>
        <w:tc>
          <w:tcPr>
            <w:tcW w:w="548" w:type="pct"/>
            <w:tcBorders>
              <w:top w:val="nil"/>
              <w:left w:val="single" w:sz="4" w:space="0" w:color="auto"/>
              <w:bottom w:val="nil"/>
              <w:right w:val="single" w:sz="4" w:space="0" w:color="auto"/>
            </w:tcBorders>
            <w:noWrap/>
            <w:hideMark/>
          </w:tcPr>
          <w:p w14:paraId="64453C98" w14:textId="77777777" w:rsidR="00C15F2E" w:rsidRPr="00D96063" w:rsidRDefault="00C15F2E" w:rsidP="00053198">
            <w:pPr>
              <w:jc w:val="left"/>
              <w:rPr>
                <w:sz w:val="14"/>
              </w:rPr>
            </w:pPr>
            <w:r w:rsidRPr="00D96063">
              <w:rPr>
                <w:sz w:val="14"/>
              </w:rPr>
              <w:t>Poultry meat</w:t>
            </w:r>
          </w:p>
        </w:tc>
        <w:tc>
          <w:tcPr>
            <w:tcW w:w="313" w:type="pct"/>
            <w:tcBorders>
              <w:top w:val="nil"/>
              <w:left w:val="single" w:sz="4" w:space="0" w:color="auto"/>
              <w:bottom w:val="nil"/>
              <w:right w:val="single" w:sz="4" w:space="0" w:color="auto"/>
            </w:tcBorders>
            <w:noWrap/>
            <w:hideMark/>
          </w:tcPr>
          <w:p w14:paraId="4F326D5B" w14:textId="77777777" w:rsidR="00C15F2E" w:rsidRPr="00D96063" w:rsidRDefault="00C15F2E" w:rsidP="00053198">
            <w:pPr>
              <w:jc w:val="right"/>
              <w:rPr>
                <w:sz w:val="14"/>
              </w:rPr>
            </w:pPr>
            <w:r w:rsidRPr="00D96063">
              <w:rPr>
                <w:sz w:val="14"/>
              </w:rPr>
              <w:t>54.8</w:t>
            </w:r>
          </w:p>
        </w:tc>
        <w:tc>
          <w:tcPr>
            <w:tcW w:w="393" w:type="pct"/>
            <w:tcBorders>
              <w:top w:val="nil"/>
              <w:left w:val="single" w:sz="4" w:space="0" w:color="auto"/>
              <w:bottom w:val="nil"/>
              <w:right w:val="single" w:sz="4" w:space="0" w:color="auto"/>
            </w:tcBorders>
            <w:noWrap/>
            <w:hideMark/>
          </w:tcPr>
          <w:p w14:paraId="5C9A299A" w14:textId="77777777" w:rsidR="00C15F2E" w:rsidRPr="00D96063" w:rsidRDefault="00C15F2E" w:rsidP="00053198">
            <w:pPr>
              <w:jc w:val="right"/>
              <w:rPr>
                <w:sz w:val="14"/>
              </w:rPr>
            </w:pPr>
            <w:r w:rsidRPr="00D96063">
              <w:rPr>
                <w:sz w:val="14"/>
              </w:rPr>
              <w:t>57.3</w:t>
            </w:r>
          </w:p>
        </w:tc>
        <w:tc>
          <w:tcPr>
            <w:tcW w:w="394" w:type="pct"/>
            <w:tcBorders>
              <w:top w:val="nil"/>
              <w:left w:val="single" w:sz="4" w:space="0" w:color="auto"/>
              <w:bottom w:val="nil"/>
              <w:right w:val="single" w:sz="4" w:space="0" w:color="auto"/>
            </w:tcBorders>
            <w:noWrap/>
            <w:hideMark/>
          </w:tcPr>
          <w:p w14:paraId="213AE837" w14:textId="77777777" w:rsidR="00C15F2E" w:rsidRPr="00D96063" w:rsidRDefault="00C15F2E" w:rsidP="00053198">
            <w:pPr>
              <w:jc w:val="right"/>
              <w:rPr>
                <w:sz w:val="14"/>
              </w:rPr>
            </w:pPr>
            <w:r w:rsidRPr="00D96063">
              <w:rPr>
                <w:sz w:val="14"/>
              </w:rPr>
              <w:t>57.3</w:t>
            </w:r>
          </w:p>
        </w:tc>
        <w:tc>
          <w:tcPr>
            <w:tcW w:w="393" w:type="pct"/>
            <w:tcBorders>
              <w:top w:val="nil"/>
              <w:left w:val="single" w:sz="4" w:space="0" w:color="auto"/>
              <w:bottom w:val="nil"/>
              <w:right w:val="single" w:sz="4" w:space="0" w:color="auto"/>
            </w:tcBorders>
            <w:noWrap/>
            <w:hideMark/>
          </w:tcPr>
          <w:p w14:paraId="6BEB55B4" w14:textId="77777777" w:rsidR="00C15F2E" w:rsidRPr="00D96063" w:rsidRDefault="00C15F2E" w:rsidP="00053198">
            <w:pPr>
              <w:jc w:val="right"/>
              <w:rPr>
                <w:sz w:val="14"/>
              </w:rPr>
            </w:pPr>
            <w:r w:rsidRPr="00D96063">
              <w:rPr>
                <w:sz w:val="14"/>
              </w:rPr>
              <w:t>57.1</w:t>
            </w:r>
          </w:p>
        </w:tc>
        <w:tc>
          <w:tcPr>
            <w:tcW w:w="393" w:type="pct"/>
            <w:tcBorders>
              <w:top w:val="nil"/>
              <w:left w:val="single" w:sz="4" w:space="0" w:color="auto"/>
              <w:bottom w:val="nil"/>
              <w:right w:val="single" w:sz="4" w:space="0" w:color="auto"/>
            </w:tcBorders>
            <w:noWrap/>
            <w:hideMark/>
          </w:tcPr>
          <w:p w14:paraId="3E43BE6C" w14:textId="77777777" w:rsidR="00C15F2E" w:rsidRPr="00D96063" w:rsidRDefault="00C15F2E" w:rsidP="00053198">
            <w:pPr>
              <w:jc w:val="right"/>
              <w:rPr>
                <w:sz w:val="14"/>
              </w:rPr>
            </w:pPr>
            <w:r w:rsidRPr="00D96063">
              <w:rPr>
                <w:sz w:val="14"/>
              </w:rPr>
              <w:t>61.7</w:t>
            </w:r>
          </w:p>
        </w:tc>
        <w:tc>
          <w:tcPr>
            <w:tcW w:w="393" w:type="pct"/>
            <w:tcBorders>
              <w:top w:val="nil"/>
              <w:left w:val="single" w:sz="4" w:space="0" w:color="auto"/>
              <w:bottom w:val="nil"/>
              <w:right w:val="single" w:sz="4" w:space="0" w:color="auto"/>
            </w:tcBorders>
            <w:noWrap/>
            <w:hideMark/>
          </w:tcPr>
          <w:p w14:paraId="47ECFB98" w14:textId="77777777" w:rsidR="00C15F2E" w:rsidRPr="00D96063" w:rsidRDefault="00C15F2E" w:rsidP="00053198">
            <w:pPr>
              <w:jc w:val="right"/>
              <w:rPr>
                <w:sz w:val="14"/>
              </w:rPr>
            </w:pPr>
            <w:r w:rsidRPr="00D96063">
              <w:rPr>
                <w:sz w:val="14"/>
              </w:rPr>
              <w:t>66.0</w:t>
            </w:r>
          </w:p>
        </w:tc>
        <w:tc>
          <w:tcPr>
            <w:tcW w:w="393" w:type="pct"/>
            <w:tcBorders>
              <w:top w:val="nil"/>
              <w:left w:val="single" w:sz="4" w:space="0" w:color="auto"/>
              <w:bottom w:val="nil"/>
              <w:right w:val="single" w:sz="4" w:space="0" w:color="auto"/>
            </w:tcBorders>
            <w:noWrap/>
            <w:hideMark/>
          </w:tcPr>
          <w:p w14:paraId="697CBF32"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nil"/>
              <w:right w:val="single" w:sz="4" w:space="0" w:color="auto"/>
            </w:tcBorders>
            <w:noWrap/>
            <w:hideMark/>
          </w:tcPr>
          <w:p w14:paraId="71BFDE37" w14:textId="77777777" w:rsidR="00C15F2E" w:rsidRPr="00D96063" w:rsidRDefault="00C15F2E" w:rsidP="00053198">
            <w:pPr>
              <w:jc w:val="right"/>
              <w:rPr>
                <w:sz w:val="14"/>
              </w:rPr>
            </w:pPr>
            <w:r w:rsidRPr="00D96063">
              <w:rPr>
                <w:sz w:val="14"/>
              </w:rPr>
              <w:t>59.0</w:t>
            </w:r>
          </w:p>
        </w:tc>
        <w:tc>
          <w:tcPr>
            <w:tcW w:w="477" w:type="pct"/>
            <w:tcBorders>
              <w:top w:val="nil"/>
              <w:left w:val="single" w:sz="4" w:space="0" w:color="auto"/>
              <w:bottom w:val="nil"/>
              <w:right w:val="single" w:sz="4" w:space="0" w:color="auto"/>
            </w:tcBorders>
            <w:noWrap/>
            <w:hideMark/>
          </w:tcPr>
          <w:p w14:paraId="68BCEA40" w14:textId="77777777" w:rsidR="00C15F2E" w:rsidRPr="00D96063" w:rsidRDefault="00C15F2E" w:rsidP="002C1DC3">
            <w:pPr>
              <w:ind w:right="170"/>
              <w:jc w:val="right"/>
              <w:rPr>
                <w:sz w:val="14"/>
              </w:rPr>
            </w:pPr>
            <w:r w:rsidRPr="00D96063">
              <w:rPr>
                <w:sz w:val="14"/>
              </w:rPr>
              <w:t>0.1</w:t>
            </w:r>
          </w:p>
        </w:tc>
        <w:tc>
          <w:tcPr>
            <w:tcW w:w="471" w:type="pct"/>
            <w:tcBorders>
              <w:top w:val="nil"/>
              <w:left w:val="single" w:sz="4" w:space="0" w:color="auto"/>
              <w:bottom w:val="nil"/>
              <w:right w:val="single" w:sz="4" w:space="0" w:color="auto"/>
            </w:tcBorders>
            <w:noWrap/>
            <w:hideMark/>
          </w:tcPr>
          <w:p w14:paraId="32738646" w14:textId="77777777" w:rsidR="00C15F2E" w:rsidRPr="00D96063" w:rsidRDefault="00C15F2E" w:rsidP="00053198">
            <w:pPr>
              <w:jc w:val="right"/>
              <w:rPr>
                <w:sz w:val="14"/>
              </w:rPr>
            </w:pPr>
            <w:r w:rsidRPr="00D96063">
              <w:rPr>
                <w:sz w:val="14"/>
              </w:rPr>
              <w:t>57.1</w:t>
            </w:r>
          </w:p>
        </w:tc>
        <w:tc>
          <w:tcPr>
            <w:tcW w:w="361" w:type="pct"/>
            <w:tcBorders>
              <w:top w:val="nil"/>
              <w:left w:val="single" w:sz="4" w:space="0" w:color="auto"/>
              <w:bottom w:val="nil"/>
              <w:right w:val="single" w:sz="4" w:space="0" w:color="auto"/>
            </w:tcBorders>
            <w:noWrap/>
            <w:hideMark/>
          </w:tcPr>
          <w:p w14:paraId="14F2E9EC" w14:textId="77777777" w:rsidR="00C15F2E" w:rsidRPr="00D96063" w:rsidRDefault="00C15F2E" w:rsidP="00053198">
            <w:pPr>
              <w:jc w:val="right"/>
              <w:rPr>
                <w:sz w:val="14"/>
              </w:rPr>
            </w:pPr>
            <w:r w:rsidRPr="00D96063">
              <w:rPr>
                <w:sz w:val="14"/>
              </w:rPr>
              <w:t xml:space="preserve">3.8 </w:t>
            </w:r>
          </w:p>
        </w:tc>
      </w:tr>
      <w:tr w:rsidR="00C15F2E" w:rsidRPr="00D96063" w14:paraId="0FBBC319"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409DA6F5" w14:textId="77777777" w:rsidR="00C15F2E" w:rsidRPr="00D96063" w:rsidRDefault="00C15F2E" w:rsidP="00053198">
            <w:pPr>
              <w:jc w:val="left"/>
              <w:rPr>
                <w:sz w:val="14"/>
              </w:rPr>
            </w:pPr>
            <w:r w:rsidRPr="00D96063">
              <w:rPr>
                <w:sz w:val="14"/>
              </w:rPr>
              <w:t>Cow milk</w:t>
            </w:r>
          </w:p>
        </w:tc>
        <w:tc>
          <w:tcPr>
            <w:tcW w:w="313" w:type="pct"/>
            <w:tcBorders>
              <w:top w:val="nil"/>
              <w:left w:val="single" w:sz="4" w:space="0" w:color="auto"/>
              <w:bottom w:val="nil"/>
              <w:right w:val="single" w:sz="4" w:space="0" w:color="auto"/>
            </w:tcBorders>
            <w:noWrap/>
            <w:hideMark/>
          </w:tcPr>
          <w:p w14:paraId="7B1AE3EF" w14:textId="77777777" w:rsidR="00C15F2E" w:rsidRPr="00D96063" w:rsidRDefault="00C15F2E" w:rsidP="00053198">
            <w:pPr>
              <w:jc w:val="right"/>
              <w:rPr>
                <w:sz w:val="14"/>
              </w:rPr>
            </w:pPr>
            <w:r w:rsidRPr="00D96063">
              <w:rPr>
                <w:sz w:val="14"/>
              </w:rPr>
              <w:t>41.4</w:t>
            </w:r>
          </w:p>
        </w:tc>
        <w:tc>
          <w:tcPr>
            <w:tcW w:w="393" w:type="pct"/>
            <w:tcBorders>
              <w:top w:val="nil"/>
              <w:left w:val="single" w:sz="4" w:space="0" w:color="auto"/>
              <w:bottom w:val="nil"/>
              <w:right w:val="single" w:sz="4" w:space="0" w:color="auto"/>
            </w:tcBorders>
            <w:noWrap/>
            <w:hideMark/>
          </w:tcPr>
          <w:p w14:paraId="51A74D58" w14:textId="77777777" w:rsidR="00C15F2E" w:rsidRPr="00D96063" w:rsidRDefault="00C15F2E" w:rsidP="00053198">
            <w:pPr>
              <w:jc w:val="right"/>
              <w:rPr>
                <w:sz w:val="14"/>
              </w:rPr>
            </w:pPr>
            <w:r w:rsidRPr="00D96063">
              <w:rPr>
                <w:sz w:val="14"/>
              </w:rPr>
              <w:t>42.7</w:t>
            </w:r>
          </w:p>
        </w:tc>
        <w:tc>
          <w:tcPr>
            <w:tcW w:w="394" w:type="pct"/>
            <w:tcBorders>
              <w:top w:val="nil"/>
              <w:left w:val="single" w:sz="4" w:space="0" w:color="auto"/>
              <w:bottom w:val="nil"/>
              <w:right w:val="single" w:sz="4" w:space="0" w:color="auto"/>
            </w:tcBorders>
            <w:noWrap/>
            <w:hideMark/>
          </w:tcPr>
          <w:p w14:paraId="1A4F1D2F" w14:textId="77777777" w:rsidR="00C15F2E" w:rsidRPr="00D96063" w:rsidRDefault="00C15F2E" w:rsidP="00053198">
            <w:pPr>
              <w:jc w:val="right"/>
              <w:rPr>
                <w:sz w:val="14"/>
              </w:rPr>
            </w:pPr>
            <w:r w:rsidRPr="00D96063">
              <w:rPr>
                <w:sz w:val="14"/>
              </w:rPr>
              <w:t>44.1</w:t>
            </w:r>
          </w:p>
        </w:tc>
        <w:tc>
          <w:tcPr>
            <w:tcW w:w="393" w:type="pct"/>
            <w:tcBorders>
              <w:top w:val="nil"/>
              <w:left w:val="single" w:sz="4" w:space="0" w:color="auto"/>
              <w:bottom w:val="nil"/>
              <w:right w:val="single" w:sz="4" w:space="0" w:color="auto"/>
            </w:tcBorders>
            <w:noWrap/>
            <w:hideMark/>
          </w:tcPr>
          <w:p w14:paraId="681F6359" w14:textId="77777777" w:rsidR="00C15F2E" w:rsidRPr="00D96063" w:rsidRDefault="00C15F2E" w:rsidP="00053198">
            <w:pPr>
              <w:jc w:val="right"/>
              <w:rPr>
                <w:sz w:val="14"/>
              </w:rPr>
            </w:pPr>
            <w:r w:rsidRPr="00D96063">
              <w:rPr>
                <w:sz w:val="14"/>
              </w:rPr>
              <w:t>45.5</w:t>
            </w:r>
          </w:p>
        </w:tc>
        <w:tc>
          <w:tcPr>
            <w:tcW w:w="393" w:type="pct"/>
            <w:tcBorders>
              <w:top w:val="nil"/>
              <w:left w:val="single" w:sz="4" w:space="0" w:color="auto"/>
              <w:bottom w:val="nil"/>
              <w:right w:val="single" w:sz="4" w:space="0" w:color="auto"/>
            </w:tcBorders>
            <w:noWrap/>
            <w:hideMark/>
          </w:tcPr>
          <w:p w14:paraId="17332DEB" w14:textId="77777777" w:rsidR="00C15F2E" w:rsidRPr="00D96063" w:rsidRDefault="00C15F2E" w:rsidP="00053198">
            <w:pPr>
              <w:jc w:val="right"/>
              <w:rPr>
                <w:sz w:val="14"/>
              </w:rPr>
            </w:pPr>
            <w:r w:rsidRPr="00D96063">
              <w:rPr>
                <w:sz w:val="14"/>
              </w:rPr>
              <w:t>45.9</w:t>
            </w:r>
          </w:p>
        </w:tc>
        <w:tc>
          <w:tcPr>
            <w:tcW w:w="393" w:type="pct"/>
            <w:tcBorders>
              <w:top w:val="nil"/>
              <w:left w:val="single" w:sz="4" w:space="0" w:color="auto"/>
              <w:bottom w:val="nil"/>
              <w:right w:val="single" w:sz="4" w:space="0" w:color="auto"/>
            </w:tcBorders>
            <w:noWrap/>
            <w:hideMark/>
          </w:tcPr>
          <w:p w14:paraId="21754905" w14:textId="77777777" w:rsidR="00C15F2E" w:rsidRPr="00D96063" w:rsidRDefault="00C15F2E" w:rsidP="00053198">
            <w:pPr>
              <w:jc w:val="right"/>
              <w:rPr>
                <w:sz w:val="14"/>
              </w:rPr>
            </w:pPr>
            <w:r w:rsidRPr="00D96063">
              <w:rPr>
                <w:sz w:val="14"/>
              </w:rPr>
              <w:t>46.3</w:t>
            </w:r>
          </w:p>
        </w:tc>
        <w:tc>
          <w:tcPr>
            <w:tcW w:w="393" w:type="pct"/>
            <w:tcBorders>
              <w:top w:val="nil"/>
              <w:left w:val="single" w:sz="4" w:space="0" w:color="auto"/>
              <w:bottom w:val="nil"/>
              <w:right w:val="single" w:sz="4" w:space="0" w:color="auto"/>
            </w:tcBorders>
            <w:noWrap/>
            <w:hideMark/>
          </w:tcPr>
          <w:p w14:paraId="2B7F0495"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nil"/>
              <w:right w:val="single" w:sz="4" w:space="0" w:color="auto"/>
            </w:tcBorders>
            <w:noWrap/>
            <w:hideMark/>
          </w:tcPr>
          <w:p w14:paraId="42DF91B5" w14:textId="77777777" w:rsidR="00C15F2E" w:rsidRPr="00D96063" w:rsidRDefault="00C15F2E" w:rsidP="00053198">
            <w:pPr>
              <w:jc w:val="right"/>
              <w:rPr>
                <w:sz w:val="14"/>
              </w:rPr>
            </w:pPr>
            <w:r w:rsidRPr="00D96063">
              <w:rPr>
                <w:sz w:val="14"/>
              </w:rPr>
              <w:t>44.3</w:t>
            </w:r>
          </w:p>
        </w:tc>
        <w:tc>
          <w:tcPr>
            <w:tcW w:w="477" w:type="pct"/>
            <w:tcBorders>
              <w:top w:val="nil"/>
              <w:left w:val="single" w:sz="4" w:space="0" w:color="auto"/>
              <w:bottom w:val="nil"/>
              <w:right w:val="single" w:sz="4" w:space="0" w:color="auto"/>
            </w:tcBorders>
            <w:noWrap/>
            <w:hideMark/>
          </w:tcPr>
          <w:p w14:paraId="15E5B4D5" w14:textId="77777777" w:rsidR="00C15F2E" w:rsidRPr="00D96063" w:rsidRDefault="00C15F2E" w:rsidP="002C1DC3">
            <w:pPr>
              <w:ind w:right="170"/>
              <w:jc w:val="right"/>
              <w:rPr>
                <w:sz w:val="14"/>
              </w:rPr>
            </w:pPr>
            <w:r w:rsidRPr="00D96063">
              <w:rPr>
                <w:sz w:val="14"/>
              </w:rPr>
              <w:t>0.0</w:t>
            </w:r>
          </w:p>
        </w:tc>
        <w:tc>
          <w:tcPr>
            <w:tcW w:w="471" w:type="pct"/>
            <w:tcBorders>
              <w:top w:val="nil"/>
              <w:left w:val="single" w:sz="4" w:space="0" w:color="auto"/>
              <w:bottom w:val="nil"/>
              <w:right w:val="single" w:sz="4" w:space="0" w:color="auto"/>
            </w:tcBorders>
            <w:noWrap/>
            <w:hideMark/>
          </w:tcPr>
          <w:p w14:paraId="28570E52" w14:textId="77777777" w:rsidR="00C15F2E" w:rsidRPr="00D96063" w:rsidRDefault="00C15F2E" w:rsidP="00053198">
            <w:pPr>
              <w:jc w:val="right"/>
              <w:rPr>
                <w:sz w:val="14"/>
              </w:rPr>
            </w:pPr>
            <w:r w:rsidRPr="00D96063">
              <w:rPr>
                <w:sz w:val="14"/>
              </w:rPr>
              <w:t>3.4</w:t>
            </w:r>
          </w:p>
        </w:tc>
        <w:tc>
          <w:tcPr>
            <w:tcW w:w="361" w:type="pct"/>
            <w:tcBorders>
              <w:top w:val="nil"/>
              <w:left w:val="single" w:sz="4" w:space="0" w:color="auto"/>
              <w:bottom w:val="nil"/>
              <w:right w:val="single" w:sz="4" w:space="0" w:color="auto"/>
            </w:tcBorders>
            <w:noWrap/>
            <w:hideMark/>
          </w:tcPr>
          <w:p w14:paraId="2ECD2972" w14:textId="77777777" w:rsidR="00C15F2E" w:rsidRPr="00D96063" w:rsidRDefault="00C15F2E" w:rsidP="00053198">
            <w:pPr>
              <w:jc w:val="right"/>
              <w:rPr>
                <w:sz w:val="14"/>
              </w:rPr>
            </w:pPr>
            <w:r w:rsidRPr="00D96063">
              <w:rPr>
                <w:sz w:val="14"/>
              </w:rPr>
              <w:t xml:space="preserve">2.2 </w:t>
            </w:r>
          </w:p>
        </w:tc>
      </w:tr>
      <w:tr w:rsidR="00C15F2E" w:rsidRPr="00D96063" w14:paraId="2F38BE0B" w14:textId="77777777" w:rsidTr="00053198">
        <w:trPr>
          <w:trHeight w:val="240"/>
        </w:trPr>
        <w:tc>
          <w:tcPr>
            <w:tcW w:w="548" w:type="pct"/>
            <w:tcBorders>
              <w:top w:val="nil"/>
              <w:left w:val="single" w:sz="4" w:space="0" w:color="auto"/>
              <w:bottom w:val="nil"/>
              <w:right w:val="single" w:sz="4" w:space="0" w:color="auto"/>
            </w:tcBorders>
            <w:noWrap/>
            <w:hideMark/>
          </w:tcPr>
          <w:p w14:paraId="313850E7" w14:textId="77777777" w:rsidR="00C15F2E" w:rsidRPr="00D96063" w:rsidRDefault="00C15F2E" w:rsidP="00053198">
            <w:pPr>
              <w:jc w:val="left"/>
              <w:rPr>
                <w:sz w:val="14"/>
              </w:rPr>
            </w:pPr>
            <w:r w:rsidRPr="00D96063">
              <w:rPr>
                <w:sz w:val="14"/>
              </w:rPr>
              <w:t>Bovine meat</w:t>
            </w:r>
          </w:p>
        </w:tc>
        <w:tc>
          <w:tcPr>
            <w:tcW w:w="313" w:type="pct"/>
            <w:tcBorders>
              <w:top w:val="nil"/>
              <w:left w:val="single" w:sz="4" w:space="0" w:color="auto"/>
              <w:bottom w:val="nil"/>
              <w:right w:val="single" w:sz="4" w:space="0" w:color="auto"/>
            </w:tcBorders>
            <w:noWrap/>
            <w:hideMark/>
          </w:tcPr>
          <w:p w14:paraId="588477F2" w14:textId="77777777" w:rsidR="00C15F2E" w:rsidRPr="00D96063" w:rsidRDefault="00C15F2E" w:rsidP="00053198">
            <w:pPr>
              <w:jc w:val="right"/>
              <w:rPr>
                <w:sz w:val="14"/>
              </w:rPr>
            </w:pPr>
            <w:r w:rsidRPr="00D96063">
              <w:rPr>
                <w:sz w:val="14"/>
              </w:rPr>
              <w:t>22.8</w:t>
            </w:r>
          </w:p>
        </w:tc>
        <w:tc>
          <w:tcPr>
            <w:tcW w:w="393" w:type="pct"/>
            <w:tcBorders>
              <w:top w:val="nil"/>
              <w:left w:val="single" w:sz="4" w:space="0" w:color="auto"/>
              <w:bottom w:val="nil"/>
              <w:right w:val="single" w:sz="4" w:space="0" w:color="auto"/>
            </w:tcBorders>
            <w:noWrap/>
            <w:hideMark/>
          </w:tcPr>
          <w:p w14:paraId="6CFA6A6F" w14:textId="77777777" w:rsidR="00C15F2E" w:rsidRPr="00D96063" w:rsidRDefault="00C15F2E" w:rsidP="00053198">
            <w:pPr>
              <w:jc w:val="right"/>
              <w:rPr>
                <w:sz w:val="14"/>
              </w:rPr>
            </w:pPr>
            <w:r w:rsidRPr="00D96063">
              <w:rPr>
                <w:sz w:val="14"/>
              </w:rPr>
              <w:t>23.8</w:t>
            </w:r>
          </w:p>
        </w:tc>
        <w:tc>
          <w:tcPr>
            <w:tcW w:w="394" w:type="pct"/>
            <w:tcBorders>
              <w:top w:val="nil"/>
              <w:left w:val="single" w:sz="4" w:space="0" w:color="auto"/>
              <w:bottom w:val="nil"/>
              <w:right w:val="single" w:sz="4" w:space="0" w:color="auto"/>
            </w:tcBorders>
            <w:noWrap/>
            <w:hideMark/>
          </w:tcPr>
          <w:p w14:paraId="5DD21743" w14:textId="77777777" w:rsidR="00C15F2E" w:rsidRPr="00D96063" w:rsidRDefault="00C15F2E" w:rsidP="00053198">
            <w:pPr>
              <w:jc w:val="right"/>
              <w:rPr>
                <w:sz w:val="14"/>
              </w:rPr>
            </w:pPr>
            <w:r w:rsidRPr="00D96063">
              <w:rPr>
                <w:sz w:val="14"/>
              </w:rPr>
              <w:t>23.8</w:t>
            </w:r>
          </w:p>
        </w:tc>
        <w:tc>
          <w:tcPr>
            <w:tcW w:w="393" w:type="pct"/>
            <w:tcBorders>
              <w:top w:val="nil"/>
              <w:left w:val="single" w:sz="4" w:space="0" w:color="auto"/>
              <w:bottom w:val="nil"/>
              <w:right w:val="single" w:sz="4" w:space="0" w:color="auto"/>
            </w:tcBorders>
            <w:noWrap/>
            <w:hideMark/>
          </w:tcPr>
          <w:p w14:paraId="5FD357C1" w14:textId="77777777" w:rsidR="00C15F2E" w:rsidRPr="00D96063" w:rsidRDefault="00C15F2E" w:rsidP="00053198">
            <w:pPr>
              <w:jc w:val="right"/>
              <w:rPr>
                <w:sz w:val="14"/>
              </w:rPr>
            </w:pPr>
            <w:r w:rsidRPr="00D96063">
              <w:rPr>
                <w:sz w:val="14"/>
              </w:rPr>
              <w:t>32.6</w:t>
            </w:r>
          </w:p>
        </w:tc>
        <w:tc>
          <w:tcPr>
            <w:tcW w:w="393" w:type="pct"/>
            <w:tcBorders>
              <w:top w:val="nil"/>
              <w:left w:val="single" w:sz="4" w:space="0" w:color="auto"/>
              <w:bottom w:val="nil"/>
              <w:right w:val="single" w:sz="4" w:space="0" w:color="auto"/>
            </w:tcBorders>
            <w:noWrap/>
            <w:hideMark/>
          </w:tcPr>
          <w:p w14:paraId="49DA6EF7" w14:textId="77777777" w:rsidR="00C15F2E" w:rsidRPr="00D96063" w:rsidRDefault="00C15F2E" w:rsidP="00053198">
            <w:pPr>
              <w:jc w:val="right"/>
              <w:rPr>
                <w:sz w:val="14"/>
              </w:rPr>
            </w:pPr>
            <w:r w:rsidRPr="00D96063">
              <w:rPr>
                <w:sz w:val="14"/>
              </w:rPr>
              <w:t>28.6</w:t>
            </w:r>
          </w:p>
        </w:tc>
        <w:tc>
          <w:tcPr>
            <w:tcW w:w="393" w:type="pct"/>
            <w:tcBorders>
              <w:top w:val="nil"/>
              <w:left w:val="single" w:sz="4" w:space="0" w:color="auto"/>
              <w:bottom w:val="nil"/>
              <w:right w:val="single" w:sz="4" w:space="0" w:color="auto"/>
            </w:tcBorders>
            <w:noWrap/>
            <w:hideMark/>
          </w:tcPr>
          <w:p w14:paraId="5BDFCA21" w14:textId="77777777" w:rsidR="00C15F2E" w:rsidRPr="00D96063" w:rsidRDefault="00C15F2E" w:rsidP="00053198">
            <w:pPr>
              <w:jc w:val="right"/>
              <w:rPr>
                <w:sz w:val="14"/>
              </w:rPr>
            </w:pPr>
            <w:r w:rsidRPr="00D96063">
              <w:rPr>
                <w:sz w:val="14"/>
              </w:rPr>
              <w:t>28.9</w:t>
            </w:r>
          </w:p>
        </w:tc>
        <w:tc>
          <w:tcPr>
            <w:tcW w:w="393" w:type="pct"/>
            <w:tcBorders>
              <w:top w:val="nil"/>
              <w:left w:val="single" w:sz="4" w:space="0" w:color="auto"/>
              <w:bottom w:val="nil"/>
              <w:right w:val="single" w:sz="4" w:space="0" w:color="auto"/>
            </w:tcBorders>
            <w:noWrap/>
            <w:hideMark/>
          </w:tcPr>
          <w:p w14:paraId="335A2A02"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nil"/>
              <w:right w:val="single" w:sz="4" w:space="0" w:color="auto"/>
            </w:tcBorders>
            <w:noWrap/>
            <w:hideMark/>
          </w:tcPr>
          <w:p w14:paraId="250A5649" w14:textId="77777777" w:rsidR="00C15F2E" w:rsidRPr="00D96063" w:rsidRDefault="00C15F2E" w:rsidP="00053198">
            <w:pPr>
              <w:jc w:val="right"/>
              <w:rPr>
                <w:sz w:val="14"/>
              </w:rPr>
            </w:pPr>
            <w:r w:rsidRPr="00D96063">
              <w:rPr>
                <w:sz w:val="14"/>
              </w:rPr>
              <w:t>26.8</w:t>
            </w:r>
          </w:p>
        </w:tc>
        <w:tc>
          <w:tcPr>
            <w:tcW w:w="477" w:type="pct"/>
            <w:tcBorders>
              <w:top w:val="nil"/>
              <w:left w:val="single" w:sz="4" w:space="0" w:color="auto"/>
              <w:bottom w:val="nil"/>
              <w:right w:val="single" w:sz="4" w:space="0" w:color="auto"/>
            </w:tcBorders>
            <w:noWrap/>
            <w:hideMark/>
          </w:tcPr>
          <w:p w14:paraId="189CF3E8" w14:textId="77777777" w:rsidR="00C15F2E" w:rsidRPr="00D96063" w:rsidRDefault="00C15F2E" w:rsidP="002C1DC3">
            <w:pPr>
              <w:ind w:right="170"/>
              <w:jc w:val="right"/>
              <w:rPr>
                <w:sz w:val="14"/>
              </w:rPr>
            </w:pPr>
            <w:r w:rsidRPr="00D96063">
              <w:rPr>
                <w:sz w:val="14"/>
              </w:rPr>
              <w:t>0.0</w:t>
            </w:r>
          </w:p>
        </w:tc>
        <w:tc>
          <w:tcPr>
            <w:tcW w:w="471" w:type="pct"/>
            <w:tcBorders>
              <w:top w:val="nil"/>
              <w:left w:val="single" w:sz="4" w:space="0" w:color="auto"/>
              <w:bottom w:val="nil"/>
              <w:right w:val="single" w:sz="4" w:space="0" w:color="auto"/>
            </w:tcBorders>
            <w:noWrap/>
            <w:hideMark/>
          </w:tcPr>
          <w:p w14:paraId="5845C666" w14:textId="77777777" w:rsidR="00C15F2E" w:rsidRPr="00D96063" w:rsidRDefault="00C15F2E" w:rsidP="00053198">
            <w:pPr>
              <w:jc w:val="right"/>
              <w:rPr>
                <w:sz w:val="14"/>
              </w:rPr>
            </w:pPr>
            <w:r w:rsidRPr="00D96063">
              <w:rPr>
                <w:sz w:val="14"/>
              </w:rPr>
              <w:t>18.5</w:t>
            </w:r>
          </w:p>
        </w:tc>
        <w:tc>
          <w:tcPr>
            <w:tcW w:w="361" w:type="pct"/>
            <w:tcBorders>
              <w:top w:val="nil"/>
              <w:left w:val="single" w:sz="4" w:space="0" w:color="auto"/>
              <w:bottom w:val="nil"/>
              <w:right w:val="single" w:sz="4" w:space="0" w:color="auto"/>
            </w:tcBorders>
            <w:noWrap/>
            <w:hideMark/>
          </w:tcPr>
          <w:p w14:paraId="07D91CF6" w14:textId="77777777" w:rsidR="00C15F2E" w:rsidRPr="00D96063" w:rsidRDefault="00C15F2E" w:rsidP="00053198">
            <w:pPr>
              <w:jc w:val="right"/>
              <w:rPr>
                <w:sz w:val="14"/>
              </w:rPr>
            </w:pPr>
            <w:r w:rsidRPr="00D96063">
              <w:rPr>
                <w:sz w:val="14"/>
              </w:rPr>
              <w:t xml:space="preserve">4.9 </w:t>
            </w:r>
          </w:p>
        </w:tc>
      </w:tr>
      <w:tr w:rsidR="00C15F2E" w:rsidRPr="00D96063" w14:paraId="0FBC0418"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nil"/>
              <w:right w:val="single" w:sz="4" w:space="0" w:color="auto"/>
            </w:tcBorders>
            <w:noWrap/>
            <w:hideMark/>
          </w:tcPr>
          <w:p w14:paraId="2EDF7A13" w14:textId="77777777" w:rsidR="00C15F2E" w:rsidRPr="00D96063" w:rsidRDefault="00C15F2E" w:rsidP="00053198">
            <w:pPr>
              <w:jc w:val="left"/>
              <w:rPr>
                <w:sz w:val="14"/>
              </w:rPr>
            </w:pPr>
            <w:r w:rsidRPr="00D96063">
              <w:rPr>
                <w:sz w:val="14"/>
              </w:rPr>
              <w:t>Goat meat</w:t>
            </w:r>
          </w:p>
        </w:tc>
        <w:tc>
          <w:tcPr>
            <w:tcW w:w="313" w:type="pct"/>
            <w:tcBorders>
              <w:top w:val="nil"/>
              <w:left w:val="single" w:sz="4" w:space="0" w:color="auto"/>
              <w:bottom w:val="nil"/>
              <w:right w:val="single" w:sz="4" w:space="0" w:color="auto"/>
            </w:tcBorders>
            <w:noWrap/>
            <w:hideMark/>
          </w:tcPr>
          <w:p w14:paraId="4E5AE8B8" w14:textId="77777777" w:rsidR="00C15F2E" w:rsidRPr="00D96063" w:rsidRDefault="00C15F2E" w:rsidP="00053198">
            <w:pPr>
              <w:jc w:val="right"/>
              <w:rPr>
                <w:sz w:val="14"/>
              </w:rPr>
            </w:pPr>
            <w:r w:rsidRPr="00D96063">
              <w:rPr>
                <w:sz w:val="14"/>
              </w:rPr>
              <w:t>23.6</w:t>
            </w:r>
          </w:p>
        </w:tc>
        <w:tc>
          <w:tcPr>
            <w:tcW w:w="393" w:type="pct"/>
            <w:tcBorders>
              <w:top w:val="nil"/>
              <w:left w:val="single" w:sz="4" w:space="0" w:color="auto"/>
              <w:bottom w:val="nil"/>
              <w:right w:val="single" w:sz="4" w:space="0" w:color="auto"/>
            </w:tcBorders>
            <w:noWrap/>
            <w:hideMark/>
          </w:tcPr>
          <w:p w14:paraId="109EAF11" w14:textId="77777777" w:rsidR="00C15F2E" w:rsidRPr="00D96063" w:rsidRDefault="00C15F2E" w:rsidP="00053198">
            <w:pPr>
              <w:jc w:val="right"/>
              <w:rPr>
                <w:sz w:val="14"/>
              </w:rPr>
            </w:pPr>
            <w:r w:rsidRPr="00D96063">
              <w:rPr>
                <w:sz w:val="14"/>
              </w:rPr>
              <w:t>24.8</w:t>
            </w:r>
          </w:p>
        </w:tc>
        <w:tc>
          <w:tcPr>
            <w:tcW w:w="394" w:type="pct"/>
            <w:tcBorders>
              <w:top w:val="nil"/>
              <w:left w:val="single" w:sz="4" w:space="0" w:color="auto"/>
              <w:bottom w:val="nil"/>
              <w:right w:val="single" w:sz="4" w:space="0" w:color="auto"/>
            </w:tcBorders>
            <w:noWrap/>
            <w:hideMark/>
          </w:tcPr>
          <w:p w14:paraId="32AED8F2" w14:textId="77777777" w:rsidR="00C15F2E" w:rsidRPr="00D96063" w:rsidRDefault="00C15F2E" w:rsidP="00053198">
            <w:pPr>
              <w:jc w:val="right"/>
              <w:rPr>
                <w:sz w:val="14"/>
              </w:rPr>
            </w:pPr>
            <w:r w:rsidRPr="00D96063">
              <w:rPr>
                <w:sz w:val="14"/>
              </w:rPr>
              <w:t>24.8</w:t>
            </w:r>
          </w:p>
        </w:tc>
        <w:tc>
          <w:tcPr>
            <w:tcW w:w="393" w:type="pct"/>
            <w:tcBorders>
              <w:top w:val="nil"/>
              <w:left w:val="single" w:sz="4" w:space="0" w:color="auto"/>
              <w:bottom w:val="nil"/>
              <w:right w:val="single" w:sz="4" w:space="0" w:color="auto"/>
            </w:tcBorders>
            <w:noWrap/>
            <w:hideMark/>
          </w:tcPr>
          <w:p w14:paraId="78C59779" w14:textId="77777777" w:rsidR="00C15F2E" w:rsidRPr="00D96063" w:rsidRDefault="00C15F2E" w:rsidP="00053198">
            <w:pPr>
              <w:jc w:val="right"/>
              <w:rPr>
                <w:sz w:val="14"/>
              </w:rPr>
            </w:pPr>
            <w:r w:rsidRPr="00D96063">
              <w:rPr>
                <w:sz w:val="14"/>
              </w:rPr>
              <w:t>25.8</w:t>
            </w:r>
          </w:p>
        </w:tc>
        <w:tc>
          <w:tcPr>
            <w:tcW w:w="393" w:type="pct"/>
            <w:tcBorders>
              <w:top w:val="nil"/>
              <w:left w:val="single" w:sz="4" w:space="0" w:color="auto"/>
              <w:bottom w:val="nil"/>
              <w:right w:val="single" w:sz="4" w:space="0" w:color="auto"/>
            </w:tcBorders>
            <w:noWrap/>
            <w:hideMark/>
          </w:tcPr>
          <w:p w14:paraId="4F50FBCF" w14:textId="77777777" w:rsidR="00C15F2E" w:rsidRPr="00D96063" w:rsidRDefault="00C15F2E" w:rsidP="00053198">
            <w:pPr>
              <w:jc w:val="right"/>
              <w:rPr>
                <w:sz w:val="14"/>
              </w:rPr>
            </w:pPr>
            <w:r w:rsidRPr="00D96063">
              <w:rPr>
                <w:sz w:val="14"/>
              </w:rPr>
              <w:t>27.9</w:t>
            </w:r>
          </w:p>
        </w:tc>
        <w:tc>
          <w:tcPr>
            <w:tcW w:w="393" w:type="pct"/>
            <w:tcBorders>
              <w:top w:val="nil"/>
              <w:left w:val="single" w:sz="4" w:space="0" w:color="auto"/>
              <w:bottom w:val="nil"/>
              <w:right w:val="single" w:sz="4" w:space="0" w:color="auto"/>
            </w:tcBorders>
            <w:noWrap/>
            <w:hideMark/>
          </w:tcPr>
          <w:p w14:paraId="70D921F7" w14:textId="77777777" w:rsidR="00C15F2E" w:rsidRPr="00D96063" w:rsidRDefault="00C15F2E" w:rsidP="00053198">
            <w:pPr>
              <w:jc w:val="right"/>
              <w:rPr>
                <w:sz w:val="14"/>
              </w:rPr>
            </w:pPr>
            <w:r w:rsidRPr="00D96063">
              <w:rPr>
                <w:sz w:val="14"/>
              </w:rPr>
              <w:t>29.2</w:t>
            </w:r>
          </w:p>
        </w:tc>
        <w:tc>
          <w:tcPr>
            <w:tcW w:w="393" w:type="pct"/>
            <w:tcBorders>
              <w:top w:val="nil"/>
              <w:left w:val="single" w:sz="4" w:space="0" w:color="auto"/>
              <w:bottom w:val="nil"/>
              <w:right w:val="single" w:sz="4" w:space="0" w:color="auto"/>
            </w:tcBorders>
            <w:noWrap/>
            <w:hideMark/>
          </w:tcPr>
          <w:p w14:paraId="54F904E7"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nil"/>
              <w:right w:val="single" w:sz="4" w:space="0" w:color="auto"/>
            </w:tcBorders>
            <w:noWrap/>
            <w:hideMark/>
          </w:tcPr>
          <w:p w14:paraId="703DFBA4" w14:textId="77777777" w:rsidR="00C15F2E" w:rsidRPr="00D96063" w:rsidRDefault="00C15F2E" w:rsidP="00053198">
            <w:pPr>
              <w:jc w:val="right"/>
              <w:rPr>
                <w:sz w:val="14"/>
              </w:rPr>
            </w:pPr>
            <w:r w:rsidRPr="00D96063">
              <w:rPr>
                <w:sz w:val="14"/>
              </w:rPr>
              <w:t>26.0</w:t>
            </w:r>
          </w:p>
        </w:tc>
        <w:tc>
          <w:tcPr>
            <w:tcW w:w="477" w:type="pct"/>
            <w:tcBorders>
              <w:top w:val="nil"/>
              <w:left w:val="single" w:sz="4" w:space="0" w:color="auto"/>
              <w:bottom w:val="nil"/>
              <w:right w:val="single" w:sz="4" w:space="0" w:color="auto"/>
            </w:tcBorders>
            <w:noWrap/>
            <w:hideMark/>
          </w:tcPr>
          <w:p w14:paraId="14EBA7BC" w14:textId="77777777" w:rsidR="00C15F2E" w:rsidRPr="00D96063" w:rsidRDefault="00C15F2E" w:rsidP="002C1DC3">
            <w:pPr>
              <w:ind w:right="170"/>
              <w:jc w:val="right"/>
              <w:rPr>
                <w:sz w:val="14"/>
              </w:rPr>
            </w:pPr>
            <w:r w:rsidRPr="00D96063">
              <w:rPr>
                <w:sz w:val="14"/>
              </w:rPr>
              <w:t>0.4</w:t>
            </w:r>
          </w:p>
        </w:tc>
        <w:tc>
          <w:tcPr>
            <w:tcW w:w="471" w:type="pct"/>
            <w:tcBorders>
              <w:top w:val="nil"/>
              <w:left w:val="single" w:sz="4" w:space="0" w:color="auto"/>
              <w:bottom w:val="nil"/>
              <w:right w:val="single" w:sz="4" w:space="0" w:color="auto"/>
            </w:tcBorders>
            <w:noWrap/>
            <w:hideMark/>
          </w:tcPr>
          <w:p w14:paraId="2F8E932A" w14:textId="77777777" w:rsidR="00C15F2E" w:rsidRPr="00D96063" w:rsidRDefault="00C15F2E" w:rsidP="00053198">
            <w:pPr>
              <w:jc w:val="right"/>
              <w:rPr>
                <w:sz w:val="14"/>
              </w:rPr>
            </w:pPr>
            <w:r w:rsidRPr="00D96063">
              <w:rPr>
                <w:sz w:val="14"/>
              </w:rPr>
              <w:t>18.0</w:t>
            </w:r>
          </w:p>
        </w:tc>
        <w:tc>
          <w:tcPr>
            <w:tcW w:w="361" w:type="pct"/>
            <w:tcBorders>
              <w:top w:val="nil"/>
              <w:left w:val="single" w:sz="4" w:space="0" w:color="auto"/>
              <w:bottom w:val="nil"/>
              <w:right w:val="single" w:sz="4" w:space="0" w:color="auto"/>
            </w:tcBorders>
            <w:noWrap/>
            <w:hideMark/>
          </w:tcPr>
          <w:p w14:paraId="0BB0911F" w14:textId="77777777" w:rsidR="00C15F2E" w:rsidRPr="00D96063" w:rsidRDefault="00C15F2E" w:rsidP="00053198">
            <w:pPr>
              <w:jc w:val="right"/>
              <w:rPr>
                <w:sz w:val="14"/>
              </w:rPr>
            </w:pPr>
            <w:r w:rsidRPr="00D96063">
              <w:rPr>
                <w:sz w:val="14"/>
              </w:rPr>
              <w:t xml:space="preserve">4.4 </w:t>
            </w:r>
          </w:p>
        </w:tc>
      </w:tr>
      <w:tr w:rsidR="00C15F2E" w:rsidRPr="00D96063" w14:paraId="1DE0605A" w14:textId="77777777" w:rsidTr="00053198">
        <w:trPr>
          <w:trHeight w:val="240"/>
        </w:trPr>
        <w:tc>
          <w:tcPr>
            <w:tcW w:w="548" w:type="pct"/>
            <w:tcBorders>
              <w:top w:val="nil"/>
              <w:left w:val="single" w:sz="4" w:space="0" w:color="auto"/>
              <w:bottom w:val="nil"/>
              <w:right w:val="single" w:sz="4" w:space="0" w:color="auto"/>
            </w:tcBorders>
            <w:noWrap/>
            <w:hideMark/>
          </w:tcPr>
          <w:p w14:paraId="3AF5B82E" w14:textId="77777777" w:rsidR="00C15F2E" w:rsidRPr="00D96063" w:rsidRDefault="00C15F2E" w:rsidP="00053198">
            <w:pPr>
              <w:jc w:val="left"/>
              <w:rPr>
                <w:sz w:val="14"/>
              </w:rPr>
            </w:pPr>
            <w:r w:rsidRPr="00D96063">
              <w:rPr>
                <w:sz w:val="14"/>
              </w:rPr>
              <w:t>Pig meat</w:t>
            </w:r>
          </w:p>
        </w:tc>
        <w:tc>
          <w:tcPr>
            <w:tcW w:w="313" w:type="pct"/>
            <w:tcBorders>
              <w:top w:val="nil"/>
              <w:left w:val="single" w:sz="4" w:space="0" w:color="auto"/>
              <w:bottom w:val="nil"/>
              <w:right w:val="single" w:sz="4" w:space="0" w:color="auto"/>
            </w:tcBorders>
            <w:noWrap/>
            <w:hideMark/>
          </w:tcPr>
          <w:p w14:paraId="7FA77DAC" w14:textId="77777777" w:rsidR="00C15F2E" w:rsidRPr="00D96063" w:rsidRDefault="00C15F2E" w:rsidP="00053198">
            <w:pPr>
              <w:jc w:val="right"/>
              <w:rPr>
                <w:sz w:val="14"/>
              </w:rPr>
            </w:pPr>
            <w:r w:rsidRPr="00D96063">
              <w:rPr>
                <w:sz w:val="14"/>
              </w:rPr>
              <w:t>22.9</w:t>
            </w:r>
          </w:p>
        </w:tc>
        <w:tc>
          <w:tcPr>
            <w:tcW w:w="393" w:type="pct"/>
            <w:tcBorders>
              <w:top w:val="nil"/>
              <w:left w:val="single" w:sz="4" w:space="0" w:color="auto"/>
              <w:bottom w:val="nil"/>
              <w:right w:val="single" w:sz="4" w:space="0" w:color="auto"/>
            </w:tcBorders>
            <w:noWrap/>
            <w:hideMark/>
          </w:tcPr>
          <w:p w14:paraId="578D1BD4" w14:textId="77777777" w:rsidR="00C15F2E" w:rsidRPr="00D96063" w:rsidRDefault="00C15F2E" w:rsidP="00053198">
            <w:pPr>
              <w:jc w:val="right"/>
              <w:rPr>
                <w:sz w:val="14"/>
              </w:rPr>
            </w:pPr>
            <w:r w:rsidRPr="00D96063">
              <w:rPr>
                <w:sz w:val="14"/>
              </w:rPr>
              <w:t>24.5</w:t>
            </w:r>
          </w:p>
        </w:tc>
        <w:tc>
          <w:tcPr>
            <w:tcW w:w="394" w:type="pct"/>
            <w:tcBorders>
              <w:top w:val="nil"/>
              <w:left w:val="single" w:sz="4" w:space="0" w:color="auto"/>
              <w:bottom w:val="nil"/>
              <w:right w:val="single" w:sz="4" w:space="0" w:color="auto"/>
            </w:tcBorders>
            <w:noWrap/>
            <w:hideMark/>
          </w:tcPr>
          <w:p w14:paraId="5B718707" w14:textId="77777777" w:rsidR="00C15F2E" w:rsidRPr="00D96063" w:rsidRDefault="00C15F2E" w:rsidP="00053198">
            <w:pPr>
              <w:jc w:val="right"/>
              <w:rPr>
                <w:sz w:val="14"/>
              </w:rPr>
            </w:pPr>
            <w:r w:rsidRPr="00D96063">
              <w:rPr>
                <w:sz w:val="14"/>
              </w:rPr>
              <w:t>24.5</w:t>
            </w:r>
          </w:p>
        </w:tc>
        <w:tc>
          <w:tcPr>
            <w:tcW w:w="393" w:type="pct"/>
            <w:tcBorders>
              <w:top w:val="nil"/>
              <w:left w:val="single" w:sz="4" w:space="0" w:color="auto"/>
              <w:bottom w:val="nil"/>
              <w:right w:val="single" w:sz="4" w:space="0" w:color="auto"/>
            </w:tcBorders>
            <w:noWrap/>
            <w:hideMark/>
          </w:tcPr>
          <w:p w14:paraId="2D5610C7" w14:textId="77777777" w:rsidR="00C15F2E" w:rsidRPr="00D96063" w:rsidRDefault="00C15F2E" w:rsidP="00053198">
            <w:pPr>
              <w:jc w:val="right"/>
              <w:rPr>
                <w:sz w:val="14"/>
              </w:rPr>
            </w:pPr>
            <w:r w:rsidRPr="00D96063">
              <w:rPr>
                <w:sz w:val="14"/>
              </w:rPr>
              <w:t>26.2</w:t>
            </w:r>
          </w:p>
        </w:tc>
        <w:tc>
          <w:tcPr>
            <w:tcW w:w="393" w:type="pct"/>
            <w:tcBorders>
              <w:top w:val="nil"/>
              <w:left w:val="single" w:sz="4" w:space="0" w:color="auto"/>
              <w:bottom w:val="nil"/>
              <w:right w:val="single" w:sz="4" w:space="0" w:color="auto"/>
            </w:tcBorders>
            <w:noWrap/>
            <w:hideMark/>
          </w:tcPr>
          <w:p w14:paraId="59CE7816" w14:textId="77777777" w:rsidR="00C15F2E" w:rsidRPr="00D96063" w:rsidRDefault="00C15F2E" w:rsidP="00053198">
            <w:pPr>
              <w:jc w:val="right"/>
              <w:rPr>
                <w:sz w:val="14"/>
              </w:rPr>
            </w:pPr>
            <w:r w:rsidRPr="00D96063">
              <w:rPr>
                <w:sz w:val="14"/>
              </w:rPr>
              <w:t>26.5</w:t>
            </w:r>
          </w:p>
        </w:tc>
        <w:tc>
          <w:tcPr>
            <w:tcW w:w="393" w:type="pct"/>
            <w:tcBorders>
              <w:top w:val="nil"/>
              <w:left w:val="single" w:sz="4" w:space="0" w:color="auto"/>
              <w:bottom w:val="nil"/>
              <w:right w:val="single" w:sz="4" w:space="0" w:color="auto"/>
            </w:tcBorders>
            <w:noWrap/>
            <w:hideMark/>
          </w:tcPr>
          <w:p w14:paraId="60E1BD01" w14:textId="77777777" w:rsidR="00C15F2E" w:rsidRPr="00D96063" w:rsidRDefault="00C15F2E" w:rsidP="00053198">
            <w:pPr>
              <w:jc w:val="right"/>
              <w:rPr>
                <w:sz w:val="14"/>
              </w:rPr>
            </w:pPr>
            <w:r w:rsidRPr="00D96063">
              <w:rPr>
                <w:sz w:val="14"/>
              </w:rPr>
              <w:t>25.7</w:t>
            </w:r>
          </w:p>
        </w:tc>
        <w:tc>
          <w:tcPr>
            <w:tcW w:w="393" w:type="pct"/>
            <w:tcBorders>
              <w:top w:val="nil"/>
              <w:left w:val="single" w:sz="4" w:space="0" w:color="auto"/>
              <w:bottom w:val="nil"/>
              <w:right w:val="single" w:sz="4" w:space="0" w:color="auto"/>
            </w:tcBorders>
            <w:noWrap/>
            <w:hideMark/>
          </w:tcPr>
          <w:p w14:paraId="4F1CC779"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nil"/>
              <w:right w:val="single" w:sz="4" w:space="0" w:color="auto"/>
            </w:tcBorders>
            <w:noWrap/>
            <w:hideMark/>
          </w:tcPr>
          <w:p w14:paraId="1E1D4D51" w14:textId="77777777" w:rsidR="00C15F2E" w:rsidRPr="00D96063" w:rsidRDefault="00C15F2E" w:rsidP="00053198">
            <w:pPr>
              <w:jc w:val="right"/>
              <w:rPr>
                <w:sz w:val="14"/>
              </w:rPr>
            </w:pPr>
            <w:r w:rsidRPr="00D96063">
              <w:rPr>
                <w:sz w:val="14"/>
              </w:rPr>
              <w:t>25.0</w:t>
            </w:r>
          </w:p>
        </w:tc>
        <w:tc>
          <w:tcPr>
            <w:tcW w:w="477" w:type="pct"/>
            <w:tcBorders>
              <w:top w:val="nil"/>
              <w:left w:val="single" w:sz="4" w:space="0" w:color="auto"/>
              <w:bottom w:val="nil"/>
              <w:right w:val="single" w:sz="4" w:space="0" w:color="auto"/>
            </w:tcBorders>
            <w:noWrap/>
            <w:hideMark/>
          </w:tcPr>
          <w:p w14:paraId="652BE687" w14:textId="77777777" w:rsidR="00C15F2E" w:rsidRPr="00D96063" w:rsidRDefault="00C15F2E" w:rsidP="002C1DC3">
            <w:pPr>
              <w:ind w:right="170"/>
              <w:jc w:val="right"/>
              <w:rPr>
                <w:sz w:val="14"/>
              </w:rPr>
            </w:pPr>
            <w:r w:rsidRPr="00D96063">
              <w:rPr>
                <w:sz w:val="14"/>
              </w:rPr>
              <w:t>0.0</w:t>
            </w:r>
          </w:p>
        </w:tc>
        <w:tc>
          <w:tcPr>
            <w:tcW w:w="471" w:type="pct"/>
            <w:tcBorders>
              <w:top w:val="nil"/>
              <w:left w:val="single" w:sz="4" w:space="0" w:color="auto"/>
              <w:bottom w:val="nil"/>
              <w:right w:val="single" w:sz="4" w:space="0" w:color="auto"/>
            </w:tcBorders>
            <w:noWrap/>
            <w:hideMark/>
          </w:tcPr>
          <w:p w14:paraId="6037BB88" w14:textId="77777777" w:rsidR="00C15F2E" w:rsidRPr="00D96063" w:rsidRDefault="00C15F2E" w:rsidP="00053198">
            <w:pPr>
              <w:jc w:val="right"/>
              <w:rPr>
                <w:sz w:val="14"/>
              </w:rPr>
            </w:pPr>
            <w:r w:rsidRPr="00D96063">
              <w:rPr>
                <w:sz w:val="14"/>
              </w:rPr>
              <w:t>19.4</w:t>
            </w:r>
          </w:p>
        </w:tc>
        <w:tc>
          <w:tcPr>
            <w:tcW w:w="361" w:type="pct"/>
            <w:tcBorders>
              <w:top w:val="nil"/>
              <w:left w:val="single" w:sz="4" w:space="0" w:color="auto"/>
              <w:bottom w:val="nil"/>
              <w:right w:val="single" w:sz="4" w:space="0" w:color="auto"/>
            </w:tcBorders>
            <w:noWrap/>
            <w:hideMark/>
          </w:tcPr>
          <w:p w14:paraId="55223F39" w14:textId="77777777" w:rsidR="00C15F2E" w:rsidRPr="00D96063" w:rsidRDefault="00C15F2E" w:rsidP="00053198">
            <w:pPr>
              <w:jc w:val="right"/>
              <w:rPr>
                <w:sz w:val="14"/>
              </w:rPr>
            </w:pPr>
            <w:r w:rsidRPr="00D96063">
              <w:rPr>
                <w:sz w:val="14"/>
              </w:rPr>
              <w:t xml:space="preserve">2.3 </w:t>
            </w:r>
          </w:p>
        </w:tc>
      </w:tr>
      <w:tr w:rsidR="00C15F2E" w:rsidRPr="00D96063" w14:paraId="3693C2CD"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548" w:type="pct"/>
            <w:tcBorders>
              <w:top w:val="nil"/>
              <w:left w:val="single" w:sz="4" w:space="0" w:color="auto"/>
              <w:bottom w:val="single" w:sz="4" w:space="0" w:color="auto"/>
              <w:right w:val="single" w:sz="4" w:space="0" w:color="auto"/>
            </w:tcBorders>
            <w:noWrap/>
            <w:hideMark/>
          </w:tcPr>
          <w:p w14:paraId="43DD0CB9" w14:textId="77777777" w:rsidR="00C15F2E" w:rsidRPr="00D96063" w:rsidRDefault="00C15F2E" w:rsidP="00053198">
            <w:pPr>
              <w:jc w:val="left"/>
              <w:rPr>
                <w:sz w:val="14"/>
              </w:rPr>
            </w:pPr>
            <w:r w:rsidRPr="00D96063">
              <w:rPr>
                <w:sz w:val="14"/>
              </w:rPr>
              <w:t>Sheep meat</w:t>
            </w:r>
          </w:p>
        </w:tc>
        <w:tc>
          <w:tcPr>
            <w:tcW w:w="313" w:type="pct"/>
            <w:tcBorders>
              <w:top w:val="nil"/>
              <w:left w:val="single" w:sz="4" w:space="0" w:color="auto"/>
              <w:bottom w:val="single" w:sz="4" w:space="0" w:color="auto"/>
              <w:right w:val="single" w:sz="4" w:space="0" w:color="auto"/>
            </w:tcBorders>
            <w:noWrap/>
            <w:hideMark/>
          </w:tcPr>
          <w:p w14:paraId="123DFF9C" w14:textId="77777777" w:rsidR="00C15F2E" w:rsidRPr="00D96063" w:rsidRDefault="00C15F2E" w:rsidP="00053198">
            <w:pPr>
              <w:jc w:val="right"/>
              <w:rPr>
                <w:sz w:val="14"/>
              </w:rPr>
            </w:pPr>
            <w:r w:rsidRPr="00D96063">
              <w:rPr>
                <w:sz w:val="14"/>
              </w:rPr>
              <w:t>19.5</w:t>
            </w:r>
          </w:p>
        </w:tc>
        <w:tc>
          <w:tcPr>
            <w:tcW w:w="393" w:type="pct"/>
            <w:tcBorders>
              <w:top w:val="nil"/>
              <w:left w:val="single" w:sz="4" w:space="0" w:color="auto"/>
              <w:bottom w:val="single" w:sz="4" w:space="0" w:color="auto"/>
              <w:right w:val="single" w:sz="4" w:space="0" w:color="auto"/>
            </w:tcBorders>
            <w:noWrap/>
            <w:hideMark/>
          </w:tcPr>
          <w:p w14:paraId="6F83B473" w14:textId="77777777" w:rsidR="00C15F2E" w:rsidRPr="00D96063" w:rsidRDefault="00C15F2E" w:rsidP="00053198">
            <w:pPr>
              <w:jc w:val="right"/>
              <w:rPr>
                <w:sz w:val="14"/>
              </w:rPr>
            </w:pPr>
            <w:r w:rsidRPr="00D96063">
              <w:rPr>
                <w:sz w:val="14"/>
              </w:rPr>
              <w:t>20.3</w:t>
            </w:r>
          </w:p>
        </w:tc>
        <w:tc>
          <w:tcPr>
            <w:tcW w:w="394" w:type="pct"/>
            <w:tcBorders>
              <w:top w:val="nil"/>
              <w:left w:val="single" w:sz="4" w:space="0" w:color="auto"/>
              <w:bottom w:val="single" w:sz="4" w:space="0" w:color="auto"/>
              <w:right w:val="single" w:sz="4" w:space="0" w:color="auto"/>
            </w:tcBorders>
            <w:noWrap/>
            <w:hideMark/>
          </w:tcPr>
          <w:p w14:paraId="2AAE8322" w14:textId="77777777" w:rsidR="00C15F2E" w:rsidRPr="00D96063" w:rsidRDefault="00C15F2E" w:rsidP="00053198">
            <w:pPr>
              <w:jc w:val="right"/>
              <w:rPr>
                <w:sz w:val="14"/>
              </w:rPr>
            </w:pPr>
            <w:r w:rsidRPr="00D96063">
              <w:rPr>
                <w:sz w:val="14"/>
              </w:rPr>
              <w:t>20.3</w:t>
            </w:r>
          </w:p>
        </w:tc>
        <w:tc>
          <w:tcPr>
            <w:tcW w:w="393" w:type="pct"/>
            <w:tcBorders>
              <w:top w:val="nil"/>
              <w:left w:val="single" w:sz="4" w:space="0" w:color="auto"/>
              <w:bottom w:val="single" w:sz="4" w:space="0" w:color="auto"/>
              <w:right w:val="single" w:sz="4" w:space="0" w:color="auto"/>
            </w:tcBorders>
            <w:noWrap/>
            <w:hideMark/>
          </w:tcPr>
          <w:p w14:paraId="03E983CD" w14:textId="77777777" w:rsidR="00C15F2E" w:rsidRPr="00D96063" w:rsidRDefault="00C15F2E" w:rsidP="00053198">
            <w:pPr>
              <w:jc w:val="right"/>
              <w:rPr>
                <w:sz w:val="14"/>
              </w:rPr>
            </w:pPr>
            <w:r w:rsidRPr="00D96063">
              <w:rPr>
                <w:sz w:val="14"/>
              </w:rPr>
              <w:t>21.1</w:t>
            </w:r>
          </w:p>
        </w:tc>
        <w:tc>
          <w:tcPr>
            <w:tcW w:w="393" w:type="pct"/>
            <w:tcBorders>
              <w:top w:val="nil"/>
              <w:left w:val="single" w:sz="4" w:space="0" w:color="auto"/>
              <w:bottom w:val="single" w:sz="4" w:space="0" w:color="auto"/>
              <w:right w:val="single" w:sz="4" w:space="0" w:color="auto"/>
            </w:tcBorders>
            <w:noWrap/>
            <w:hideMark/>
          </w:tcPr>
          <w:p w14:paraId="3071F7C9" w14:textId="77777777" w:rsidR="00C15F2E" w:rsidRPr="00D96063" w:rsidRDefault="00C15F2E" w:rsidP="00053198">
            <w:pPr>
              <w:jc w:val="right"/>
              <w:rPr>
                <w:sz w:val="14"/>
              </w:rPr>
            </w:pPr>
            <w:r w:rsidRPr="00D96063">
              <w:rPr>
                <w:sz w:val="14"/>
              </w:rPr>
              <w:t>23.1</w:t>
            </w:r>
          </w:p>
        </w:tc>
        <w:tc>
          <w:tcPr>
            <w:tcW w:w="393" w:type="pct"/>
            <w:tcBorders>
              <w:top w:val="nil"/>
              <w:left w:val="single" w:sz="4" w:space="0" w:color="auto"/>
              <w:bottom w:val="single" w:sz="4" w:space="0" w:color="auto"/>
              <w:right w:val="single" w:sz="4" w:space="0" w:color="auto"/>
            </w:tcBorders>
            <w:noWrap/>
            <w:hideMark/>
          </w:tcPr>
          <w:p w14:paraId="1F3BA939" w14:textId="77777777" w:rsidR="00C15F2E" w:rsidRPr="00D96063" w:rsidRDefault="00C15F2E" w:rsidP="00053198">
            <w:pPr>
              <w:jc w:val="right"/>
              <w:rPr>
                <w:sz w:val="14"/>
              </w:rPr>
            </w:pPr>
            <w:r w:rsidRPr="00D96063">
              <w:rPr>
                <w:sz w:val="14"/>
              </w:rPr>
              <w:t>23.9</w:t>
            </w:r>
          </w:p>
        </w:tc>
        <w:tc>
          <w:tcPr>
            <w:tcW w:w="393" w:type="pct"/>
            <w:tcBorders>
              <w:top w:val="nil"/>
              <w:left w:val="single" w:sz="4" w:space="0" w:color="auto"/>
              <w:bottom w:val="single" w:sz="4" w:space="0" w:color="auto"/>
              <w:right w:val="single" w:sz="4" w:space="0" w:color="auto"/>
            </w:tcBorders>
            <w:noWrap/>
            <w:hideMark/>
          </w:tcPr>
          <w:p w14:paraId="4ED7A2F5" w14:textId="77777777" w:rsidR="00C15F2E" w:rsidRPr="00D96063" w:rsidRDefault="00C15F2E" w:rsidP="00053198">
            <w:pPr>
              <w:jc w:val="right"/>
              <w:rPr>
                <w:sz w:val="14"/>
              </w:rPr>
            </w:pPr>
            <w:r w:rsidRPr="00D96063">
              <w:rPr>
                <w:sz w:val="14"/>
              </w:rPr>
              <w:t>..</w:t>
            </w:r>
          </w:p>
        </w:tc>
        <w:tc>
          <w:tcPr>
            <w:tcW w:w="470" w:type="pct"/>
            <w:tcBorders>
              <w:top w:val="nil"/>
              <w:left w:val="single" w:sz="4" w:space="0" w:color="auto"/>
              <w:bottom w:val="single" w:sz="4" w:space="0" w:color="auto"/>
              <w:right w:val="single" w:sz="4" w:space="0" w:color="auto"/>
            </w:tcBorders>
            <w:noWrap/>
            <w:hideMark/>
          </w:tcPr>
          <w:p w14:paraId="41937422" w14:textId="77777777" w:rsidR="00C15F2E" w:rsidRPr="00D96063" w:rsidRDefault="00C15F2E" w:rsidP="00053198">
            <w:pPr>
              <w:jc w:val="right"/>
              <w:rPr>
                <w:sz w:val="14"/>
              </w:rPr>
            </w:pPr>
            <w:r w:rsidRPr="00D96063">
              <w:rPr>
                <w:sz w:val="14"/>
              </w:rPr>
              <w:t>0.2</w:t>
            </w:r>
          </w:p>
        </w:tc>
        <w:tc>
          <w:tcPr>
            <w:tcW w:w="477" w:type="pct"/>
            <w:tcBorders>
              <w:top w:val="nil"/>
              <w:left w:val="single" w:sz="4" w:space="0" w:color="auto"/>
              <w:bottom w:val="single" w:sz="4" w:space="0" w:color="auto"/>
              <w:right w:val="single" w:sz="4" w:space="0" w:color="auto"/>
            </w:tcBorders>
            <w:noWrap/>
            <w:hideMark/>
          </w:tcPr>
          <w:p w14:paraId="50DB221A" w14:textId="77777777" w:rsidR="00C15F2E" w:rsidRPr="00D96063" w:rsidRDefault="00C15F2E" w:rsidP="002C1DC3">
            <w:pPr>
              <w:ind w:right="170"/>
              <w:jc w:val="right"/>
              <w:rPr>
                <w:sz w:val="14"/>
              </w:rPr>
            </w:pPr>
            <w:r w:rsidRPr="00D96063">
              <w:rPr>
                <w:sz w:val="14"/>
              </w:rPr>
              <w:t>14.8</w:t>
            </w:r>
          </w:p>
        </w:tc>
        <w:tc>
          <w:tcPr>
            <w:tcW w:w="471" w:type="pct"/>
            <w:tcBorders>
              <w:top w:val="nil"/>
              <w:left w:val="single" w:sz="4" w:space="0" w:color="auto"/>
              <w:bottom w:val="single" w:sz="4" w:space="0" w:color="auto"/>
              <w:right w:val="single" w:sz="4" w:space="0" w:color="auto"/>
            </w:tcBorders>
            <w:noWrap/>
            <w:hideMark/>
          </w:tcPr>
          <w:p w14:paraId="01B832EA" w14:textId="77777777" w:rsidR="00C15F2E" w:rsidRPr="00D96063" w:rsidRDefault="00C15F2E" w:rsidP="00053198">
            <w:pPr>
              <w:jc w:val="right"/>
              <w:rPr>
                <w:sz w:val="14"/>
              </w:rPr>
            </w:pPr>
            <w:r w:rsidRPr="00D96063">
              <w:rPr>
                <w:sz w:val="14"/>
              </w:rPr>
              <w:t xml:space="preserve">4.1 </w:t>
            </w:r>
          </w:p>
        </w:tc>
        <w:tc>
          <w:tcPr>
            <w:tcW w:w="361" w:type="pct"/>
            <w:tcBorders>
              <w:top w:val="nil"/>
              <w:left w:val="single" w:sz="4" w:space="0" w:color="auto"/>
              <w:bottom w:val="single" w:sz="4" w:space="0" w:color="auto"/>
              <w:right w:val="single" w:sz="4" w:space="0" w:color="auto"/>
            </w:tcBorders>
            <w:noWrap/>
            <w:hideMark/>
          </w:tcPr>
          <w:p w14:paraId="1285EAF7" w14:textId="77777777" w:rsidR="00C15F2E" w:rsidRPr="00D96063" w:rsidRDefault="00C15F2E" w:rsidP="00053198">
            <w:pPr>
              <w:jc w:val="right"/>
              <w:rPr>
                <w:sz w:val="14"/>
              </w:rPr>
            </w:pPr>
            <w:r w:rsidRPr="00D96063">
              <w:rPr>
                <w:sz w:val="14"/>
              </w:rPr>
              <w:t>19.5</w:t>
            </w:r>
          </w:p>
        </w:tc>
      </w:tr>
    </w:tbl>
    <w:p w14:paraId="5DA4FE60" w14:textId="77777777" w:rsidR="00C15F2E" w:rsidRPr="00D96063" w:rsidRDefault="00C15F2E" w:rsidP="00D868BF">
      <w:pPr>
        <w:pStyle w:val="NoteText"/>
        <w:spacing w:before="120" w:after="120"/>
        <w:rPr>
          <w:lang w:eastAsia="en-GB"/>
        </w:rPr>
      </w:pPr>
      <w:r w:rsidRPr="00D96063">
        <w:rPr>
          <w:lang w:eastAsia="en-GB"/>
        </w:rPr>
        <w:t>..</w:t>
      </w:r>
      <w:r w:rsidRPr="00D96063">
        <w:rPr>
          <w:lang w:eastAsia="en-GB"/>
        </w:rPr>
        <w:tab/>
        <w:t>Not available.</w:t>
      </w:r>
    </w:p>
    <w:p w14:paraId="1DBF82CB" w14:textId="77777777" w:rsidR="00C15F2E" w:rsidRPr="00D96063" w:rsidRDefault="00C15F2E" w:rsidP="00D868BF">
      <w:pPr>
        <w:pStyle w:val="NoteText"/>
        <w:spacing w:before="120" w:after="120"/>
        <w:rPr>
          <w:bCs/>
          <w:lang w:eastAsia="en-GB"/>
        </w:rPr>
      </w:pPr>
      <w:r w:rsidRPr="00D96063">
        <w:rPr>
          <w:lang w:eastAsia="en-GB"/>
        </w:rPr>
        <w:t>a</w:t>
      </w:r>
      <w:r w:rsidRPr="00D96063">
        <w:rPr>
          <w:lang w:eastAsia="en-GB"/>
        </w:rPr>
        <w:tab/>
      </w:r>
      <w:r w:rsidRPr="00D96063">
        <w:rPr>
          <w:bCs/>
        </w:rPr>
        <w:t>Major item according to the simple average during the period 2014-19.</w:t>
      </w:r>
    </w:p>
    <w:p w14:paraId="57095806" w14:textId="77777777" w:rsidR="00C15F2E" w:rsidRPr="00D96063" w:rsidRDefault="00C15F2E" w:rsidP="00D868BF">
      <w:pPr>
        <w:pStyle w:val="NoteText"/>
        <w:spacing w:before="120" w:after="120"/>
        <w:rPr>
          <w:lang w:eastAsia="en-GB"/>
        </w:rPr>
      </w:pPr>
      <w:r w:rsidRPr="00D96063">
        <w:rPr>
          <w:lang w:eastAsia="en-GB"/>
        </w:rPr>
        <w:t>Source:</w:t>
      </w:r>
      <w:r w:rsidRPr="00D96063">
        <w:rPr>
          <w:lang w:eastAsia="en-GB"/>
        </w:rPr>
        <w:tab/>
        <w:t xml:space="preserve">WTO Secretariat calculations, based on FAO Stat. Viewed at: </w:t>
      </w:r>
      <w:hyperlink r:id="rId87" w:anchor="data" w:history="1">
        <w:r w:rsidRPr="00D96063">
          <w:rPr>
            <w:rStyle w:val="Hyperlink"/>
          </w:rPr>
          <w:t>http://www.fao.org/faostat/en/#data</w:t>
        </w:r>
      </w:hyperlink>
      <w:r w:rsidRPr="00D96063">
        <w:rPr>
          <w:lang w:eastAsia="en-GB"/>
        </w:rPr>
        <w:t>.</w:t>
      </w:r>
    </w:p>
    <w:p w14:paraId="1C82B373" w14:textId="77777777" w:rsidR="00C15F2E" w:rsidRPr="00D96063" w:rsidRDefault="00C15F2E" w:rsidP="00D868BF">
      <w:pPr>
        <w:pStyle w:val="BodyText"/>
      </w:pPr>
      <w:r w:rsidRPr="00D96063">
        <w:t>Agricultural policy is based on a national agricultural investment plan called Investing for Food and Jobs: An Agenda for Transforming Ghana's Agriculture (2018-2021)</w:t>
      </w:r>
      <w:r w:rsidRPr="00D96063">
        <w:rPr>
          <w:rStyle w:val="FootnoteReference"/>
        </w:rPr>
        <w:footnoteReference w:id="121"/>
      </w:r>
      <w:r w:rsidRPr="00D96063">
        <w:t xml:space="preserve">, which is aligned with the Government's Medium-Term National Development Policy Framework "Agenda for Jobs: Creating Prosperity and Equal Opportunity for All (2018-2021)". The agricultural investment plan attempts to bring Ghana's agricultural policy in line with commitments made at the regional level (the </w:t>
      </w:r>
      <w:r w:rsidRPr="00D96063">
        <w:lastRenderedPageBreak/>
        <w:t>Comprehensive African Agriculture Development Programme/Malabo declaration, and the Economic Community of West Africa Agricultural Policy (ECOWAP)). The objective of these initiatives is to support and transform the agricultural sector through government investing in agriculture of at least 10% of the national budget, with a corresponding sector growth rate of at least 6%.</w:t>
      </w:r>
    </w:p>
    <w:p w14:paraId="5D2B1160" w14:textId="77777777" w:rsidR="00C15F2E" w:rsidRPr="00D96063" w:rsidRDefault="00C15F2E" w:rsidP="00D868BF">
      <w:pPr>
        <w:pStyle w:val="BodyText"/>
      </w:pPr>
      <w:bookmarkStart w:id="185" w:name="_Hlk97566171"/>
      <w:r w:rsidRPr="00D96063">
        <w:t>Based on the above, a new agricultural programme/campaign called Planting for Food and Jobs was launched in April 2017</w:t>
      </w:r>
      <w:bookmarkEnd w:id="185"/>
      <w:r w:rsidRPr="00D96063">
        <w:t>. It rests on five pillars (modules), each with supporting instruments: crops ("Food Crops"); livestock ("Rearing for Food and Jobs"); export and rural development ("Planting for Export and Rural Development"); horticulture ("Greenhouse Villages"); and agricultural mechanization services. Other interventions include irrigation and water management, agricultural marketing, and post-harvest management.</w:t>
      </w:r>
    </w:p>
    <w:p w14:paraId="58467E78" w14:textId="77777777" w:rsidR="00C15F2E" w:rsidRPr="00D96063" w:rsidRDefault="00C15F2E" w:rsidP="003758E5">
      <w:pPr>
        <w:pStyle w:val="Heading4"/>
        <w:numPr>
          <w:ilvl w:val="3"/>
          <w:numId w:val="34"/>
        </w:numPr>
      </w:pPr>
      <w:bookmarkStart w:id="186" w:name="_Toc103607710"/>
      <w:r w:rsidRPr="00D96063">
        <w:t>Market access</w:t>
      </w:r>
      <w:bookmarkEnd w:id="186"/>
    </w:p>
    <w:p w14:paraId="236E9F55" w14:textId="014A746B" w:rsidR="00C15F2E" w:rsidRPr="00D96063" w:rsidRDefault="00C15F2E" w:rsidP="00D868BF">
      <w:pPr>
        <w:pStyle w:val="BodyText"/>
        <w:rPr>
          <w:rFonts w:eastAsia="Times New Roman" w:cs="Arial"/>
        </w:rPr>
      </w:pPr>
      <w:bookmarkStart w:id="187" w:name="_Hlk99384413"/>
      <w:r w:rsidRPr="00D96063">
        <w:t xml:space="preserve">The customs tariff based on the common external tariff (CET) is the main import policy instrument in the agriculture sector. The average applied MFN tariff on agriculture products (WTO definition) was 15.5% in 2022; tariff protection was highest for live animals and meat at 24.1%, an </w:t>
      </w:r>
      <w:r w:rsidRPr="00D96063">
        <w:rPr>
          <w:lang w:eastAsia="en-GB"/>
        </w:rPr>
        <w:t xml:space="preserve">increase of 5 percentage points over 2013 following the introduction of the Economic Community of West African States (ECOWAS) tariff (Table 3.4). This is an additional burden for consumers, as most of the meat consumption is imported. </w:t>
      </w:r>
      <w:bookmarkStart w:id="188" w:name="_Hlk99384366"/>
      <w:r w:rsidRPr="00D96063">
        <w:rPr>
          <w:lang w:eastAsia="en-GB"/>
        </w:rPr>
        <w:t xml:space="preserve">Poultry production and imports averaged </w:t>
      </w:r>
      <w:r w:rsidR="004C46DC" w:rsidRPr="00D96063">
        <w:rPr>
          <w:lang w:eastAsia="en-GB"/>
        </w:rPr>
        <w:t xml:space="preserve">about </w:t>
      </w:r>
      <w:r w:rsidRPr="00D96063">
        <w:rPr>
          <w:lang w:eastAsia="en-GB"/>
        </w:rPr>
        <w:t>62,000 tonnes and 170,000 tonnes, respectively, in 2017-19 (Table 4.1). MFN tariffs on poultry meat are set at 35% and imports are subject to import licensing (import permit) requirements to protect domestic production.</w:t>
      </w:r>
    </w:p>
    <w:bookmarkEnd w:id="187"/>
    <w:bookmarkEnd w:id="188"/>
    <w:p w14:paraId="65E33C45" w14:textId="77777777" w:rsidR="00C15F2E" w:rsidRPr="00D96063" w:rsidRDefault="00C15F2E" w:rsidP="00D868BF">
      <w:pPr>
        <w:pStyle w:val="BodyText"/>
      </w:pPr>
      <w:r w:rsidRPr="00D96063">
        <w:t>The Government's priority staples include maize, rice, millets, sorghum, and yam, all of which the MOFA is promoting to enable the country to meet its food security needs, while hoping to reduce imports – particularly of rice. The adoption of the ECOWAS tariff in 2015 led to a decrease in milled rice and broken rice tariffs (from 20% to 10%), and an increase for paddy (from duty-free to 5%). Ghana spent on average GHS 1.5 billion annually to import 960,993 MT of rice between 2017-19.</w:t>
      </w:r>
      <w:r w:rsidRPr="00D96063">
        <w:rPr>
          <w:rStyle w:val="FootnoteReference"/>
        </w:rPr>
        <w:footnoteReference w:id="122"/>
      </w:r>
      <w:r w:rsidRPr="00D96063">
        <w:t xml:space="preserve"> Most locally produced rice is grown by smallholder farmers, with limited access to improved seeds and inputs, and productivity tends to be low. Additionally, the rice mills available to the typical farmer produce a large percentage of broken grains. These factors make it difficult for small farmers to compete with high-quality imports from the Americas and Asia. Recently, the quality of rice has improved due to the use of improved varieties and the establishment of large mills, fitted with destoners that produce high-quality rice comparable to any imported rice.</w:t>
      </w:r>
    </w:p>
    <w:p w14:paraId="598C0C57" w14:textId="77777777" w:rsidR="00C15F2E" w:rsidRPr="00D96063" w:rsidRDefault="00C15F2E" w:rsidP="003758E5">
      <w:pPr>
        <w:pStyle w:val="Heading4"/>
        <w:numPr>
          <w:ilvl w:val="3"/>
          <w:numId w:val="18"/>
        </w:numPr>
      </w:pPr>
      <w:bookmarkStart w:id="189" w:name="_Toc103607711"/>
      <w:r w:rsidRPr="00D96063">
        <w:t>Domestic support</w:t>
      </w:r>
      <w:bookmarkEnd w:id="189"/>
    </w:p>
    <w:p w14:paraId="6CC2474F" w14:textId="77777777" w:rsidR="00C15F2E" w:rsidRPr="00D96063" w:rsidRDefault="00C15F2E" w:rsidP="00D868BF">
      <w:pPr>
        <w:pStyle w:val="BodyText"/>
      </w:pPr>
      <w:r w:rsidRPr="00D96063">
        <w:t>Ghana has not submitted any notification to the WTO Committee on Agriculture since 2001. Ghana provides mainly Green Box support in the form of research and extensions services, pest and disease control, and infrastructural services, as well as input subsidies to smallholders.</w:t>
      </w:r>
    </w:p>
    <w:p w14:paraId="74369C81" w14:textId="77777777" w:rsidR="00C15F2E" w:rsidRPr="00D96063" w:rsidRDefault="00C15F2E" w:rsidP="00D868BF">
      <w:pPr>
        <w:pStyle w:val="BodyText"/>
      </w:pPr>
      <w:r w:rsidRPr="00D96063">
        <w:t>GIDA is in charge of providing the irrigation infrastructure and other water management techniques. The total area under irrigation is estimated at about 221,000 ha, out of which 11,775 ha (2016) fall under 56 public irrigation schemes. Ghana is in the process of implementing the Pwalugu multi-purpose dam and irrigation project (24,000 ha), the largest public investment project in agriculture since independence.</w:t>
      </w:r>
    </w:p>
    <w:p w14:paraId="34CF4E10" w14:textId="77777777" w:rsidR="00C15F2E" w:rsidRPr="00D96063" w:rsidRDefault="00C15F2E" w:rsidP="00D868BF">
      <w:pPr>
        <w:pStyle w:val="BodyText"/>
      </w:pPr>
      <w:r w:rsidRPr="00D96063">
        <w:t>Ghana introduced a national fertilizer subsidy programme in 2008 in the wake of the global food crisis. However, fertilizer use in Ghana remains low, even by regional standards.</w:t>
      </w:r>
      <w:r w:rsidRPr="00D96063">
        <w:rPr>
          <w:vertAlign w:val="superscript"/>
        </w:rPr>
        <w:footnoteReference w:id="123"/>
      </w:r>
    </w:p>
    <w:p w14:paraId="0FF2985A" w14:textId="77777777" w:rsidR="00C15F2E" w:rsidRPr="00D96063" w:rsidRDefault="00C15F2E" w:rsidP="00D868BF">
      <w:pPr>
        <w:pStyle w:val="BodyText"/>
      </w:pPr>
      <w:r w:rsidRPr="00D96063">
        <w:t xml:space="preserve">Under the Planting for Food and Jobs (PFJ) programme, </w:t>
      </w:r>
      <w:bookmarkStart w:id="190" w:name="_Hlk97566697"/>
      <w:r w:rsidRPr="00D96063">
        <w:t>the scope of the fertilizer and seed subsidies</w:t>
      </w:r>
      <w:bookmarkEnd w:id="190"/>
      <w:r w:rsidRPr="00D96063">
        <w:t xml:space="preserve"> has been significantly enhanced in recent years, in terms of deliveries, crop coverage, and beneficiaries (Table 4.2). MOFA provides subsidized inputs, mainly fertilizers, improved seeds, seedlings, breeding stock, and mechanization services. Eligible farmers have 5 acres or less and </w:t>
      </w:r>
      <w:r w:rsidRPr="00D96063">
        <w:lastRenderedPageBreak/>
        <w:t>must register with MOFA for the purpose of the PFJ.</w:t>
      </w:r>
      <w:r w:rsidRPr="00D96063">
        <w:rPr>
          <w:rStyle w:val="FootnoteReference"/>
        </w:rPr>
        <w:footnoteReference w:id="124"/>
      </w:r>
      <w:r w:rsidRPr="00D96063">
        <w:t xml:space="preserve"> Overall, PFJ crop yields have improved considerably in recent years (Table 4.2). Fertilizer use in the PFJ programme increased from about 8 kg/ha in 2016 to 20 kg/ha in 2021.</w:t>
      </w:r>
    </w:p>
    <w:p w14:paraId="68CB74AF" w14:textId="77777777" w:rsidR="00C15F2E" w:rsidRPr="00D96063" w:rsidRDefault="00C15F2E" w:rsidP="00D868BF">
      <w:pPr>
        <w:pStyle w:val="BodyText"/>
      </w:pPr>
      <w:r w:rsidRPr="00D96063">
        <w:t>Fertilizer companies are reimbursed for the difference between the purchasing price (as stipulated in the contract with the Government), and the price at which the companies' agents (or district offices of MOFA where there are no agents present) sell the fertilizer to farmers (which is also part of the contract). According to the authorities, the average subsidy was GHS 78.33 in 2019 (52% of the retail price) and 50% of the retail price in 2020.</w:t>
      </w:r>
    </w:p>
    <w:p w14:paraId="60483C0F" w14:textId="77777777" w:rsidR="00C15F2E" w:rsidRPr="00D96063" w:rsidRDefault="00C15F2E" w:rsidP="00D868BF">
      <w:pPr>
        <w:pStyle w:val="BodyText"/>
      </w:pPr>
      <w:r w:rsidRPr="00D96063">
        <w:t>Ghana has experienced problems with smuggling of subsidized inputs. In response, the Government has taken measures, such as branding of fertilizer bags with the PFJ logo, reducing the size from the usual 50 kg bags to 25 kg bags, delegating the administration of fertilizer distribution to regional ministers, engaging security agencies, and limiting the number of participating retailers and distributors in four border regions.</w:t>
      </w:r>
    </w:p>
    <w:p w14:paraId="4E34E729" w14:textId="11A1FD9B" w:rsidR="00C15F2E" w:rsidRPr="00D96063" w:rsidRDefault="00C15F2E" w:rsidP="00D868BF">
      <w:pPr>
        <w:pStyle w:val="Caption"/>
        <w:rPr>
          <w:b w:val="0"/>
          <w:bCs w:val="0"/>
        </w:rPr>
      </w:pPr>
      <w:bookmarkStart w:id="191" w:name="_Toc103607898"/>
      <w:r w:rsidRPr="00D96063">
        <w:t xml:space="preserve">Table </w:t>
      </w:r>
      <w:fldSimple w:instr=" STYLEREF 1 \s ">
        <w:r w:rsidR="004B63B1">
          <w:rPr>
            <w:noProof/>
          </w:rPr>
          <w:t>4</w:t>
        </w:r>
      </w:fldSimple>
      <w:r w:rsidR="00BF3184">
        <w:t>.</w:t>
      </w:r>
      <w:fldSimple w:instr=" SEQ Table \* ARABIC \s 1 ">
        <w:r w:rsidR="004B63B1">
          <w:rPr>
            <w:noProof/>
          </w:rPr>
          <w:t>2</w:t>
        </w:r>
      </w:fldSimple>
      <w:r w:rsidRPr="00D96063">
        <w:t xml:space="preserve"> Deliveries of subsidized fertilizers and seeds, 2016-20</w:t>
      </w:r>
      <w:bookmarkEnd w:id="191"/>
    </w:p>
    <w:p w14:paraId="5E94F652" w14:textId="77777777" w:rsidR="00C15F2E" w:rsidRPr="00D96063" w:rsidRDefault="00C15F2E" w:rsidP="00D868BF">
      <w:pPr>
        <w:pStyle w:val="BodyText"/>
        <w:numPr>
          <w:ilvl w:val="0"/>
          <w:numId w:val="0"/>
        </w:numPr>
        <w:spacing w:after="0"/>
        <w:rPr>
          <w:sz w:val="16"/>
          <w:szCs w:val="16"/>
        </w:rPr>
      </w:pPr>
      <w:r w:rsidRPr="00D96063">
        <w:rPr>
          <w:sz w:val="16"/>
          <w:szCs w:val="16"/>
        </w:rPr>
        <w:t>(Tonnes)</w:t>
      </w:r>
    </w:p>
    <w:tbl>
      <w:tblPr>
        <w:tblStyle w:val="WTOTable1"/>
        <w:tblW w:w="5000" w:type="pct"/>
        <w:tblLook w:val="04A0" w:firstRow="1" w:lastRow="0" w:firstColumn="1" w:lastColumn="0" w:noHBand="0" w:noVBand="1"/>
      </w:tblPr>
      <w:tblGrid>
        <w:gridCol w:w="2966"/>
        <w:gridCol w:w="1206"/>
        <w:gridCol w:w="1207"/>
        <w:gridCol w:w="1207"/>
        <w:gridCol w:w="1215"/>
        <w:gridCol w:w="1215"/>
      </w:tblGrid>
      <w:tr w:rsidR="00226C5B" w:rsidRPr="00D96063" w14:paraId="4C91D8E9" w14:textId="77777777" w:rsidTr="004C2148">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auto"/>
              <w:left w:val="single" w:sz="4" w:space="0" w:color="auto"/>
              <w:bottom w:val="nil"/>
              <w:right w:val="single" w:sz="4" w:space="0" w:color="auto"/>
            </w:tcBorders>
          </w:tcPr>
          <w:p w14:paraId="13BA8D3F" w14:textId="77777777" w:rsidR="00C15F2E" w:rsidRPr="00D96063" w:rsidRDefault="00C15F2E" w:rsidP="00053198">
            <w:pPr>
              <w:rPr>
                <w:sz w:val="16"/>
                <w:szCs w:val="16"/>
              </w:rPr>
            </w:pPr>
          </w:p>
        </w:tc>
        <w:tc>
          <w:tcPr>
            <w:tcW w:w="1206" w:type="dxa"/>
            <w:tcBorders>
              <w:top w:val="single" w:sz="4" w:space="0" w:color="auto"/>
              <w:left w:val="single" w:sz="4" w:space="0" w:color="auto"/>
              <w:bottom w:val="nil"/>
              <w:right w:val="single" w:sz="4" w:space="0" w:color="auto"/>
            </w:tcBorders>
            <w:hideMark/>
          </w:tcPr>
          <w:p w14:paraId="76C95B1D" w14:textId="77777777" w:rsidR="00C15F2E" w:rsidRPr="00D96063" w:rsidRDefault="00C15F2E" w:rsidP="002C1DC3">
            <w:pPr>
              <w:ind w:right="170"/>
              <w:jc w:val="right"/>
              <w:rPr>
                <w:sz w:val="16"/>
                <w:szCs w:val="16"/>
              </w:rPr>
            </w:pPr>
            <w:r w:rsidRPr="00D96063">
              <w:rPr>
                <w:sz w:val="16"/>
                <w:szCs w:val="16"/>
              </w:rPr>
              <w:t>2016</w:t>
            </w:r>
          </w:p>
        </w:tc>
        <w:tc>
          <w:tcPr>
            <w:tcW w:w="1207" w:type="dxa"/>
            <w:tcBorders>
              <w:top w:val="single" w:sz="4" w:space="0" w:color="auto"/>
              <w:left w:val="single" w:sz="4" w:space="0" w:color="auto"/>
              <w:bottom w:val="nil"/>
              <w:right w:val="single" w:sz="4" w:space="0" w:color="auto"/>
            </w:tcBorders>
            <w:hideMark/>
          </w:tcPr>
          <w:p w14:paraId="25B94E57" w14:textId="77777777" w:rsidR="00C15F2E" w:rsidRPr="00D96063" w:rsidRDefault="00C15F2E" w:rsidP="002C1DC3">
            <w:pPr>
              <w:ind w:right="170"/>
              <w:jc w:val="right"/>
              <w:rPr>
                <w:sz w:val="16"/>
                <w:szCs w:val="16"/>
              </w:rPr>
            </w:pPr>
            <w:r w:rsidRPr="00D96063">
              <w:rPr>
                <w:sz w:val="16"/>
                <w:szCs w:val="16"/>
              </w:rPr>
              <w:t>2017</w:t>
            </w:r>
          </w:p>
        </w:tc>
        <w:tc>
          <w:tcPr>
            <w:tcW w:w="1207" w:type="dxa"/>
            <w:tcBorders>
              <w:top w:val="single" w:sz="4" w:space="0" w:color="auto"/>
              <w:left w:val="single" w:sz="4" w:space="0" w:color="auto"/>
              <w:bottom w:val="nil"/>
              <w:right w:val="single" w:sz="4" w:space="0" w:color="auto"/>
            </w:tcBorders>
            <w:hideMark/>
          </w:tcPr>
          <w:p w14:paraId="50FF1B2C" w14:textId="77777777" w:rsidR="00C15F2E" w:rsidRPr="00D96063" w:rsidRDefault="00C15F2E" w:rsidP="002C1DC3">
            <w:pPr>
              <w:ind w:right="170"/>
              <w:jc w:val="right"/>
              <w:rPr>
                <w:sz w:val="16"/>
                <w:szCs w:val="16"/>
              </w:rPr>
            </w:pPr>
            <w:r w:rsidRPr="00D96063">
              <w:rPr>
                <w:sz w:val="16"/>
                <w:szCs w:val="16"/>
              </w:rPr>
              <w:t>2018</w:t>
            </w:r>
          </w:p>
        </w:tc>
        <w:tc>
          <w:tcPr>
            <w:tcW w:w="1207" w:type="dxa"/>
            <w:tcBorders>
              <w:top w:val="single" w:sz="4" w:space="0" w:color="auto"/>
              <w:left w:val="single" w:sz="4" w:space="0" w:color="auto"/>
              <w:bottom w:val="nil"/>
              <w:right w:val="single" w:sz="4" w:space="0" w:color="auto"/>
            </w:tcBorders>
            <w:hideMark/>
          </w:tcPr>
          <w:p w14:paraId="65C25055" w14:textId="77777777" w:rsidR="00C15F2E" w:rsidRPr="00D96063" w:rsidRDefault="00C15F2E" w:rsidP="002C1DC3">
            <w:pPr>
              <w:ind w:right="170"/>
              <w:jc w:val="right"/>
              <w:rPr>
                <w:sz w:val="16"/>
                <w:szCs w:val="16"/>
              </w:rPr>
            </w:pPr>
            <w:r w:rsidRPr="00D96063">
              <w:rPr>
                <w:sz w:val="16"/>
                <w:szCs w:val="16"/>
              </w:rPr>
              <w:t>2019</w:t>
            </w:r>
          </w:p>
        </w:tc>
        <w:tc>
          <w:tcPr>
            <w:tcW w:w="1207" w:type="dxa"/>
            <w:tcBorders>
              <w:top w:val="single" w:sz="4" w:space="0" w:color="auto"/>
              <w:left w:val="single" w:sz="4" w:space="0" w:color="auto"/>
              <w:bottom w:val="nil"/>
              <w:right w:val="single" w:sz="4" w:space="0" w:color="auto"/>
            </w:tcBorders>
            <w:hideMark/>
          </w:tcPr>
          <w:p w14:paraId="6A90B58D" w14:textId="77777777" w:rsidR="00C15F2E" w:rsidRPr="00D96063" w:rsidRDefault="00C15F2E" w:rsidP="002C1DC3">
            <w:pPr>
              <w:ind w:right="170"/>
              <w:jc w:val="right"/>
              <w:rPr>
                <w:sz w:val="16"/>
                <w:szCs w:val="16"/>
              </w:rPr>
            </w:pPr>
            <w:r w:rsidRPr="00D96063">
              <w:rPr>
                <w:sz w:val="16"/>
                <w:szCs w:val="16"/>
              </w:rPr>
              <w:t>2020</w:t>
            </w:r>
          </w:p>
        </w:tc>
      </w:tr>
      <w:tr w:rsidR="00226C5B" w:rsidRPr="00D96063" w14:paraId="15809A1E" w14:textId="77777777" w:rsidTr="004C2148">
        <w:tc>
          <w:tcPr>
            <w:tcW w:w="0" w:type="auto"/>
            <w:tcBorders>
              <w:top w:val="nil"/>
              <w:left w:val="single" w:sz="4" w:space="0" w:color="auto"/>
              <w:bottom w:val="nil"/>
              <w:right w:val="single" w:sz="4" w:space="0" w:color="auto"/>
            </w:tcBorders>
            <w:hideMark/>
          </w:tcPr>
          <w:p w14:paraId="123B31B2" w14:textId="77777777" w:rsidR="00C15F2E" w:rsidRPr="00D96063" w:rsidRDefault="00C15F2E" w:rsidP="00053198">
            <w:pPr>
              <w:jc w:val="left"/>
              <w:rPr>
                <w:sz w:val="16"/>
                <w:szCs w:val="16"/>
              </w:rPr>
            </w:pPr>
            <w:r w:rsidRPr="00D96063">
              <w:rPr>
                <w:sz w:val="16"/>
                <w:szCs w:val="16"/>
              </w:rPr>
              <w:t>Fertilizers</w:t>
            </w:r>
          </w:p>
        </w:tc>
        <w:tc>
          <w:tcPr>
            <w:tcW w:w="1206" w:type="dxa"/>
            <w:tcBorders>
              <w:top w:val="nil"/>
              <w:left w:val="single" w:sz="4" w:space="0" w:color="auto"/>
              <w:bottom w:val="nil"/>
              <w:right w:val="single" w:sz="4" w:space="0" w:color="auto"/>
            </w:tcBorders>
            <w:hideMark/>
          </w:tcPr>
          <w:p w14:paraId="03EE4558" w14:textId="77777777" w:rsidR="00C15F2E" w:rsidRPr="00D96063" w:rsidRDefault="00C15F2E" w:rsidP="002C1DC3">
            <w:pPr>
              <w:ind w:right="170"/>
              <w:jc w:val="right"/>
              <w:rPr>
                <w:sz w:val="16"/>
                <w:szCs w:val="16"/>
              </w:rPr>
            </w:pPr>
            <w:r w:rsidRPr="00D96063">
              <w:rPr>
                <w:sz w:val="16"/>
                <w:szCs w:val="16"/>
              </w:rPr>
              <w:t>134,000</w:t>
            </w:r>
          </w:p>
        </w:tc>
        <w:tc>
          <w:tcPr>
            <w:tcW w:w="1207" w:type="dxa"/>
            <w:tcBorders>
              <w:top w:val="nil"/>
              <w:left w:val="single" w:sz="4" w:space="0" w:color="auto"/>
              <w:bottom w:val="nil"/>
              <w:right w:val="single" w:sz="4" w:space="0" w:color="auto"/>
            </w:tcBorders>
            <w:hideMark/>
          </w:tcPr>
          <w:p w14:paraId="66E705FA" w14:textId="77777777" w:rsidR="00C15F2E" w:rsidRPr="00D96063" w:rsidRDefault="00C15F2E" w:rsidP="002C1DC3">
            <w:pPr>
              <w:ind w:right="170"/>
              <w:jc w:val="right"/>
              <w:rPr>
                <w:sz w:val="16"/>
                <w:szCs w:val="16"/>
              </w:rPr>
            </w:pPr>
            <w:r w:rsidRPr="00D96063">
              <w:rPr>
                <w:sz w:val="16"/>
                <w:szCs w:val="16"/>
              </w:rPr>
              <w:t>167,000</w:t>
            </w:r>
          </w:p>
        </w:tc>
        <w:tc>
          <w:tcPr>
            <w:tcW w:w="1207" w:type="dxa"/>
            <w:tcBorders>
              <w:top w:val="nil"/>
              <w:left w:val="single" w:sz="4" w:space="0" w:color="auto"/>
              <w:bottom w:val="nil"/>
              <w:right w:val="single" w:sz="4" w:space="0" w:color="auto"/>
            </w:tcBorders>
            <w:hideMark/>
          </w:tcPr>
          <w:p w14:paraId="47DD2CD3" w14:textId="77777777" w:rsidR="00C15F2E" w:rsidRPr="00D96063" w:rsidRDefault="00C15F2E" w:rsidP="002C1DC3">
            <w:pPr>
              <w:ind w:right="170"/>
              <w:jc w:val="right"/>
              <w:rPr>
                <w:sz w:val="16"/>
                <w:szCs w:val="16"/>
              </w:rPr>
            </w:pPr>
            <w:r w:rsidRPr="00D96063">
              <w:rPr>
                <w:sz w:val="16"/>
                <w:szCs w:val="16"/>
              </w:rPr>
              <w:t>247,000</w:t>
            </w:r>
          </w:p>
        </w:tc>
        <w:tc>
          <w:tcPr>
            <w:tcW w:w="1207" w:type="dxa"/>
            <w:tcBorders>
              <w:top w:val="nil"/>
              <w:left w:val="single" w:sz="4" w:space="0" w:color="auto"/>
              <w:bottom w:val="nil"/>
              <w:right w:val="single" w:sz="4" w:space="0" w:color="auto"/>
            </w:tcBorders>
            <w:hideMark/>
          </w:tcPr>
          <w:p w14:paraId="0B0D6ECD" w14:textId="77777777" w:rsidR="00C15F2E" w:rsidRPr="00D96063" w:rsidRDefault="00C15F2E" w:rsidP="002C1DC3">
            <w:pPr>
              <w:ind w:right="170"/>
              <w:jc w:val="right"/>
              <w:rPr>
                <w:sz w:val="16"/>
                <w:szCs w:val="16"/>
              </w:rPr>
            </w:pPr>
            <w:r w:rsidRPr="00D96063">
              <w:rPr>
                <w:sz w:val="16"/>
                <w:szCs w:val="16"/>
              </w:rPr>
              <w:t>331,000</w:t>
            </w:r>
          </w:p>
        </w:tc>
        <w:tc>
          <w:tcPr>
            <w:tcW w:w="1207" w:type="dxa"/>
            <w:tcBorders>
              <w:top w:val="nil"/>
              <w:left w:val="single" w:sz="4" w:space="0" w:color="auto"/>
              <w:bottom w:val="nil"/>
              <w:right w:val="single" w:sz="4" w:space="0" w:color="auto"/>
            </w:tcBorders>
            <w:hideMark/>
          </w:tcPr>
          <w:p w14:paraId="1D606147" w14:textId="77777777" w:rsidR="00C15F2E" w:rsidRPr="00D96063" w:rsidRDefault="00C15F2E" w:rsidP="002C1DC3">
            <w:pPr>
              <w:ind w:right="170"/>
              <w:jc w:val="right"/>
              <w:rPr>
                <w:sz w:val="16"/>
                <w:szCs w:val="16"/>
              </w:rPr>
            </w:pPr>
            <w:r w:rsidRPr="00D96063">
              <w:rPr>
                <w:sz w:val="16"/>
                <w:szCs w:val="16"/>
              </w:rPr>
              <w:t>424,000</w:t>
            </w:r>
          </w:p>
        </w:tc>
      </w:tr>
      <w:tr w:rsidR="00226C5B" w:rsidRPr="00D96063" w14:paraId="52204117" w14:textId="77777777" w:rsidTr="004C2148">
        <w:trPr>
          <w:cnfStyle w:val="000000010000" w:firstRow="0" w:lastRow="0" w:firstColumn="0" w:lastColumn="0" w:oddVBand="0" w:evenVBand="0" w:oddHBand="0" w:evenHBand="1" w:firstRowFirstColumn="0" w:firstRowLastColumn="0" w:lastRowFirstColumn="0" w:lastRowLastColumn="0"/>
        </w:trPr>
        <w:tc>
          <w:tcPr>
            <w:tcW w:w="0" w:type="auto"/>
            <w:tcBorders>
              <w:top w:val="nil"/>
              <w:left w:val="single" w:sz="4" w:space="0" w:color="auto"/>
              <w:bottom w:val="nil"/>
              <w:right w:val="single" w:sz="4" w:space="0" w:color="auto"/>
            </w:tcBorders>
            <w:hideMark/>
          </w:tcPr>
          <w:p w14:paraId="01A522A8" w14:textId="77777777" w:rsidR="00C15F2E" w:rsidRPr="00D96063" w:rsidRDefault="00C15F2E" w:rsidP="00053198">
            <w:pPr>
              <w:jc w:val="left"/>
              <w:rPr>
                <w:sz w:val="16"/>
                <w:szCs w:val="16"/>
              </w:rPr>
            </w:pPr>
            <w:r w:rsidRPr="00D96063">
              <w:rPr>
                <w:sz w:val="16"/>
                <w:szCs w:val="16"/>
              </w:rPr>
              <w:t>Improved seeds</w:t>
            </w:r>
          </w:p>
        </w:tc>
        <w:tc>
          <w:tcPr>
            <w:tcW w:w="1206" w:type="dxa"/>
            <w:tcBorders>
              <w:top w:val="nil"/>
              <w:left w:val="single" w:sz="4" w:space="0" w:color="auto"/>
              <w:bottom w:val="nil"/>
              <w:right w:val="single" w:sz="4" w:space="0" w:color="auto"/>
            </w:tcBorders>
            <w:hideMark/>
          </w:tcPr>
          <w:p w14:paraId="372F2B86" w14:textId="77777777" w:rsidR="00C15F2E" w:rsidRPr="00D96063" w:rsidRDefault="00C15F2E" w:rsidP="002C1DC3">
            <w:pPr>
              <w:ind w:right="170"/>
              <w:jc w:val="right"/>
              <w:rPr>
                <w:sz w:val="16"/>
                <w:szCs w:val="16"/>
              </w:rPr>
            </w:pPr>
            <w:r w:rsidRPr="00D96063">
              <w:rPr>
                <w:sz w:val="16"/>
                <w:szCs w:val="16"/>
              </w:rPr>
              <w:t>2,000</w:t>
            </w:r>
          </w:p>
        </w:tc>
        <w:tc>
          <w:tcPr>
            <w:tcW w:w="1207" w:type="dxa"/>
            <w:tcBorders>
              <w:top w:val="nil"/>
              <w:left w:val="single" w:sz="4" w:space="0" w:color="auto"/>
              <w:bottom w:val="nil"/>
              <w:right w:val="single" w:sz="4" w:space="0" w:color="auto"/>
            </w:tcBorders>
            <w:hideMark/>
          </w:tcPr>
          <w:p w14:paraId="27A578C4" w14:textId="77777777" w:rsidR="00C15F2E" w:rsidRPr="00D96063" w:rsidRDefault="00C15F2E" w:rsidP="002C1DC3">
            <w:pPr>
              <w:ind w:right="170"/>
              <w:jc w:val="right"/>
              <w:rPr>
                <w:sz w:val="16"/>
                <w:szCs w:val="16"/>
              </w:rPr>
            </w:pPr>
            <w:r w:rsidRPr="00D96063">
              <w:rPr>
                <w:sz w:val="16"/>
                <w:szCs w:val="16"/>
              </w:rPr>
              <w:t>4,400</w:t>
            </w:r>
          </w:p>
        </w:tc>
        <w:tc>
          <w:tcPr>
            <w:tcW w:w="1207" w:type="dxa"/>
            <w:tcBorders>
              <w:top w:val="nil"/>
              <w:left w:val="single" w:sz="4" w:space="0" w:color="auto"/>
              <w:bottom w:val="nil"/>
              <w:right w:val="single" w:sz="4" w:space="0" w:color="auto"/>
            </w:tcBorders>
            <w:hideMark/>
          </w:tcPr>
          <w:p w14:paraId="1216C847" w14:textId="77777777" w:rsidR="00C15F2E" w:rsidRPr="00D96063" w:rsidRDefault="00C15F2E" w:rsidP="002C1DC3">
            <w:pPr>
              <w:ind w:right="170"/>
              <w:jc w:val="right"/>
              <w:rPr>
                <w:sz w:val="16"/>
                <w:szCs w:val="16"/>
              </w:rPr>
            </w:pPr>
            <w:r w:rsidRPr="00D96063">
              <w:rPr>
                <w:sz w:val="16"/>
                <w:szCs w:val="16"/>
              </w:rPr>
              <w:t>6,800</w:t>
            </w:r>
          </w:p>
        </w:tc>
        <w:tc>
          <w:tcPr>
            <w:tcW w:w="1207" w:type="dxa"/>
            <w:tcBorders>
              <w:top w:val="nil"/>
              <w:left w:val="single" w:sz="4" w:space="0" w:color="auto"/>
              <w:bottom w:val="nil"/>
              <w:right w:val="single" w:sz="4" w:space="0" w:color="auto"/>
            </w:tcBorders>
            <w:hideMark/>
          </w:tcPr>
          <w:p w14:paraId="0F0E13CD" w14:textId="77777777" w:rsidR="00C15F2E" w:rsidRPr="00D96063" w:rsidRDefault="00C15F2E" w:rsidP="002C1DC3">
            <w:pPr>
              <w:ind w:right="170"/>
              <w:jc w:val="right"/>
              <w:rPr>
                <w:sz w:val="16"/>
                <w:szCs w:val="16"/>
              </w:rPr>
            </w:pPr>
            <w:r w:rsidRPr="00D96063">
              <w:rPr>
                <w:sz w:val="16"/>
                <w:szCs w:val="16"/>
              </w:rPr>
              <w:t>18,333</w:t>
            </w:r>
          </w:p>
        </w:tc>
        <w:tc>
          <w:tcPr>
            <w:tcW w:w="1207" w:type="dxa"/>
            <w:tcBorders>
              <w:top w:val="nil"/>
              <w:left w:val="single" w:sz="4" w:space="0" w:color="auto"/>
              <w:bottom w:val="nil"/>
              <w:right w:val="single" w:sz="4" w:space="0" w:color="auto"/>
            </w:tcBorders>
            <w:hideMark/>
          </w:tcPr>
          <w:p w14:paraId="2A1A684E" w14:textId="77777777" w:rsidR="00C15F2E" w:rsidRPr="00D96063" w:rsidRDefault="00C15F2E" w:rsidP="002C1DC3">
            <w:pPr>
              <w:ind w:right="170"/>
              <w:jc w:val="right"/>
              <w:rPr>
                <w:sz w:val="16"/>
                <w:szCs w:val="16"/>
              </w:rPr>
            </w:pPr>
            <w:r w:rsidRPr="00D96063">
              <w:rPr>
                <w:sz w:val="16"/>
                <w:szCs w:val="16"/>
              </w:rPr>
              <w:t>29,000</w:t>
            </w:r>
          </w:p>
        </w:tc>
      </w:tr>
      <w:tr w:rsidR="00226C5B" w:rsidRPr="00D96063" w14:paraId="017CCBB5" w14:textId="77777777" w:rsidTr="004C2148">
        <w:tc>
          <w:tcPr>
            <w:tcW w:w="0" w:type="auto"/>
            <w:tcBorders>
              <w:top w:val="nil"/>
              <w:left w:val="single" w:sz="4" w:space="0" w:color="auto"/>
              <w:bottom w:val="nil"/>
              <w:right w:val="single" w:sz="4" w:space="0" w:color="auto"/>
            </w:tcBorders>
            <w:hideMark/>
          </w:tcPr>
          <w:p w14:paraId="3A6DF782" w14:textId="77777777" w:rsidR="00C15F2E" w:rsidRPr="00D96063" w:rsidRDefault="00C15F2E" w:rsidP="00053198">
            <w:pPr>
              <w:jc w:val="left"/>
              <w:rPr>
                <w:sz w:val="16"/>
                <w:szCs w:val="16"/>
              </w:rPr>
            </w:pPr>
            <w:r w:rsidRPr="00D96063">
              <w:rPr>
                <w:sz w:val="16"/>
                <w:szCs w:val="16"/>
              </w:rPr>
              <w:t>PFJ beneficiaries</w:t>
            </w:r>
          </w:p>
        </w:tc>
        <w:tc>
          <w:tcPr>
            <w:tcW w:w="1206" w:type="dxa"/>
            <w:tcBorders>
              <w:top w:val="nil"/>
              <w:left w:val="single" w:sz="4" w:space="0" w:color="auto"/>
              <w:bottom w:val="nil"/>
              <w:right w:val="single" w:sz="4" w:space="0" w:color="auto"/>
            </w:tcBorders>
            <w:hideMark/>
          </w:tcPr>
          <w:p w14:paraId="27BCFC23" w14:textId="77777777" w:rsidR="00C15F2E" w:rsidRPr="00D96063" w:rsidRDefault="00C15F2E" w:rsidP="002C1DC3">
            <w:pPr>
              <w:ind w:right="170"/>
              <w:jc w:val="right"/>
              <w:rPr>
                <w:sz w:val="16"/>
                <w:szCs w:val="16"/>
              </w:rPr>
            </w:pPr>
            <w:r w:rsidRPr="00D96063">
              <w:rPr>
                <w:sz w:val="16"/>
                <w:szCs w:val="16"/>
              </w:rPr>
              <w:t>120,000</w:t>
            </w:r>
          </w:p>
        </w:tc>
        <w:tc>
          <w:tcPr>
            <w:tcW w:w="1207" w:type="dxa"/>
            <w:tcBorders>
              <w:top w:val="nil"/>
              <w:left w:val="single" w:sz="4" w:space="0" w:color="auto"/>
              <w:bottom w:val="nil"/>
              <w:right w:val="single" w:sz="4" w:space="0" w:color="auto"/>
            </w:tcBorders>
            <w:hideMark/>
          </w:tcPr>
          <w:p w14:paraId="18219040" w14:textId="77777777" w:rsidR="00C15F2E" w:rsidRPr="00D96063" w:rsidRDefault="00C15F2E" w:rsidP="002C1DC3">
            <w:pPr>
              <w:ind w:right="170"/>
              <w:jc w:val="right"/>
              <w:rPr>
                <w:sz w:val="16"/>
                <w:szCs w:val="16"/>
              </w:rPr>
            </w:pPr>
            <w:r w:rsidRPr="00D96063">
              <w:rPr>
                <w:sz w:val="16"/>
                <w:szCs w:val="16"/>
              </w:rPr>
              <w:t>202,000</w:t>
            </w:r>
          </w:p>
        </w:tc>
        <w:tc>
          <w:tcPr>
            <w:tcW w:w="1207" w:type="dxa"/>
            <w:tcBorders>
              <w:top w:val="nil"/>
              <w:left w:val="single" w:sz="4" w:space="0" w:color="auto"/>
              <w:bottom w:val="nil"/>
              <w:right w:val="single" w:sz="4" w:space="0" w:color="auto"/>
            </w:tcBorders>
            <w:hideMark/>
          </w:tcPr>
          <w:p w14:paraId="5AA7B04E" w14:textId="77777777" w:rsidR="00C15F2E" w:rsidRPr="00D96063" w:rsidRDefault="00C15F2E" w:rsidP="002C1DC3">
            <w:pPr>
              <w:ind w:right="170"/>
              <w:jc w:val="right"/>
              <w:rPr>
                <w:sz w:val="16"/>
                <w:szCs w:val="16"/>
              </w:rPr>
            </w:pPr>
            <w:r w:rsidRPr="00D96063">
              <w:rPr>
                <w:sz w:val="16"/>
                <w:szCs w:val="16"/>
              </w:rPr>
              <w:t>677,000</w:t>
            </w:r>
          </w:p>
        </w:tc>
        <w:tc>
          <w:tcPr>
            <w:tcW w:w="1207" w:type="dxa"/>
            <w:tcBorders>
              <w:top w:val="nil"/>
              <w:left w:val="single" w:sz="4" w:space="0" w:color="auto"/>
              <w:bottom w:val="nil"/>
              <w:right w:val="single" w:sz="4" w:space="0" w:color="auto"/>
            </w:tcBorders>
            <w:hideMark/>
          </w:tcPr>
          <w:p w14:paraId="6E237DFE" w14:textId="77777777" w:rsidR="00C15F2E" w:rsidRPr="00D96063" w:rsidRDefault="00C15F2E" w:rsidP="002C1DC3">
            <w:pPr>
              <w:ind w:right="170"/>
              <w:jc w:val="right"/>
              <w:rPr>
                <w:sz w:val="16"/>
                <w:szCs w:val="16"/>
              </w:rPr>
            </w:pPr>
            <w:r w:rsidRPr="00D96063">
              <w:rPr>
                <w:sz w:val="16"/>
                <w:szCs w:val="16"/>
              </w:rPr>
              <w:t>1,183,000</w:t>
            </w:r>
          </w:p>
        </w:tc>
        <w:tc>
          <w:tcPr>
            <w:tcW w:w="1207" w:type="dxa"/>
            <w:tcBorders>
              <w:top w:val="nil"/>
              <w:left w:val="single" w:sz="4" w:space="0" w:color="auto"/>
              <w:bottom w:val="nil"/>
              <w:right w:val="single" w:sz="4" w:space="0" w:color="auto"/>
            </w:tcBorders>
            <w:hideMark/>
          </w:tcPr>
          <w:p w14:paraId="62A57B6C" w14:textId="77777777" w:rsidR="00C15F2E" w:rsidRPr="00D96063" w:rsidRDefault="00C15F2E" w:rsidP="002C1DC3">
            <w:pPr>
              <w:ind w:right="170"/>
              <w:jc w:val="right"/>
              <w:rPr>
                <w:sz w:val="16"/>
                <w:szCs w:val="16"/>
              </w:rPr>
            </w:pPr>
            <w:r w:rsidRPr="00D96063">
              <w:rPr>
                <w:sz w:val="16"/>
                <w:szCs w:val="16"/>
              </w:rPr>
              <w:t>1,400,000</w:t>
            </w:r>
          </w:p>
        </w:tc>
      </w:tr>
      <w:tr w:rsidR="00226C5B" w:rsidRPr="00D96063" w14:paraId="0D1875FB" w14:textId="77777777" w:rsidTr="004C2148">
        <w:trPr>
          <w:cnfStyle w:val="000000010000" w:firstRow="0" w:lastRow="0" w:firstColumn="0" w:lastColumn="0" w:oddVBand="0" w:evenVBand="0" w:oddHBand="0" w:evenHBand="1" w:firstRowFirstColumn="0" w:firstRowLastColumn="0" w:lastRowFirstColumn="0" w:lastRowLastColumn="0"/>
          <w:trHeight w:val="116"/>
        </w:trPr>
        <w:tc>
          <w:tcPr>
            <w:tcW w:w="0" w:type="auto"/>
            <w:tcBorders>
              <w:top w:val="nil"/>
              <w:left w:val="single" w:sz="4" w:space="0" w:color="auto"/>
              <w:bottom w:val="nil"/>
              <w:right w:val="single" w:sz="4" w:space="0" w:color="auto"/>
            </w:tcBorders>
            <w:hideMark/>
          </w:tcPr>
          <w:p w14:paraId="2B9FA0B1" w14:textId="79A2E861" w:rsidR="00C15F2E" w:rsidRPr="00D96063" w:rsidRDefault="00C15F2E" w:rsidP="00053198">
            <w:pPr>
              <w:jc w:val="left"/>
              <w:rPr>
                <w:b/>
                <w:sz w:val="16"/>
              </w:rPr>
            </w:pPr>
            <w:r w:rsidRPr="00D96063">
              <w:rPr>
                <w:b/>
                <w:bCs/>
                <w:sz w:val="16"/>
                <w:szCs w:val="16"/>
              </w:rPr>
              <w:t>PFJ maize</w:t>
            </w:r>
            <w:r w:rsidRPr="00D96063">
              <w:rPr>
                <w:b/>
                <w:sz w:val="16"/>
              </w:rPr>
              <w:t xml:space="preserve"> yields</w:t>
            </w:r>
            <w:r w:rsidR="00226C5B">
              <w:rPr>
                <w:b/>
                <w:sz w:val="16"/>
              </w:rPr>
              <w:t>/hectare</w:t>
            </w:r>
          </w:p>
        </w:tc>
        <w:tc>
          <w:tcPr>
            <w:tcW w:w="1206" w:type="dxa"/>
            <w:tcBorders>
              <w:top w:val="nil"/>
              <w:left w:val="single" w:sz="4" w:space="0" w:color="auto"/>
              <w:bottom w:val="nil"/>
              <w:right w:val="single" w:sz="4" w:space="0" w:color="auto"/>
            </w:tcBorders>
            <w:hideMark/>
          </w:tcPr>
          <w:p w14:paraId="25E47A26" w14:textId="77777777" w:rsidR="00C15F2E" w:rsidRPr="00D96063" w:rsidRDefault="00C15F2E" w:rsidP="002C1DC3">
            <w:pPr>
              <w:ind w:right="170"/>
              <w:jc w:val="right"/>
              <w:rPr>
                <w:sz w:val="16"/>
                <w:szCs w:val="16"/>
              </w:rPr>
            </w:pPr>
            <w:r w:rsidRPr="00D96063">
              <w:rPr>
                <w:sz w:val="16"/>
                <w:szCs w:val="16"/>
              </w:rPr>
              <w:t>1.7</w:t>
            </w:r>
            <w:r w:rsidRPr="00D96063">
              <w:rPr>
                <w:sz w:val="16"/>
                <w:szCs w:val="16"/>
                <w:vertAlign w:val="superscript"/>
              </w:rPr>
              <w:t>a</w:t>
            </w:r>
          </w:p>
        </w:tc>
        <w:tc>
          <w:tcPr>
            <w:tcW w:w="1207" w:type="dxa"/>
            <w:tcBorders>
              <w:top w:val="nil"/>
              <w:left w:val="single" w:sz="4" w:space="0" w:color="auto"/>
              <w:bottom w:val="nil"/>
              <w:right w:val="single" w:sz="4" w:space="0" w:color="auto"/>
            </w:tcBorders>
            <w:hideMark/>
          </w:tcPr>
          <w:p w14:paraId="492ECC99" w14:textId="77777777" w:rsidR="00C15F2E" w:rsidRPr="00D96063" w:rsidRDefault="00C15F2E" w:rsidP="002C1DC3">
            <w:pPr>
              <w:ind w:right="170"/>
              <w:jc w:val="right"/>
              <w:rPr>
                <w:sz w:val="16"/>
                <w:szCs w:val="16"/>
              </w:rPr>
            </w:pPr>
            <w:r w:rsidRPr="00D96063">
              <w:rPr>
                <w:sz w:val="16"/>
                <w:szCs w:val="16"/>
              </w:rPr>
              <w:t>3.5</w:t>
            </w:r>
          </w:p>
        </w:tc>
        <w:tc>
          <w:tcPr>
            <w:tcW w:w="1207" w:type="dxa"/>
            <w:tcBorders>
              <w:top w:val="nil"/>
              <w:left w:val="single" w:sz="4" w:space="0" w:color="auto"/>
              <w:bottom w:val="nil"/>
              <w:right w:val="single" w:sz="4" w:space="0" w:color="auto"/>
            </w:tcBorders>
            <w:hideMark/>
          </w:tcPr>
          <w:p w14:paraId="236BE209" w14:textId="77777777" w:rsidR="00C15F2E" w:rsidRPr="00D96063" w:rsidRDefault="00C15F2E" w:rsidP="002C1DC3">
            <w:pPr>
              <w:ind w:right="170"/>
              <w:jc w:val="right"/>
              <w:rPr>
                <w:sz w:val="16"/>
                <w:szCs w:val="16"/>
              </w:rPr>
            </w:pPr>
            <w:r w:rsidRPr="00D96063">
              <w:rPr>
                <w:sz w:val="16"/>
                <w:szCs w:val="16"/>
              </w:rPr>
              <w:t>3.5</w:t>
            </w:r>
          </w:p>
        </w:tc>
        <w:tc>
          <w:tcPr>
            <w:tcW w:w="1207" w:type="dxa"/>
            <w:tcBorders>
              <w:top w:val="nil"/>
              <w:left w:val="single" w:sz="4" w:space="0" w:color="auto"/>
              <w:bottom w:val="nil"/>
              <w:right w:val="single" w:sz="4" w:space="0" w:color="auto"/>
            </w:tcBorders>
            <w:hideMark/>
          </w:tcPr>
          <w:p w14:paraId="7CCB4A55" w14:textId="77777777" w:rsidR="00C15F2E" w:rsidRPr="00D96063" w:rsidRDefault="00C15F2E" w:rsidP="002C1DC3">
            <w:pPr>
              <w:ind w:right="170"/>
              <w:jc w:val="right"/>
              <w:rPr>
                <w:sz w:val="16"/>
                <w:szCs w:val="16"/>
              </w:rPr>
            </w:pPr>
            <w:r w:rsidRPr="00D96063">
              <w:rPr>
                <w:sz w:val="16"/>
                <w:szCs w:val="16"/>
              </w:rPr>
              <w:t>3.8</w:t>
            </w:r>
          </w:p>
        </w:tc>
        <w:tc>
          <w:tcPr>
            <w:tcW w:w="1207" w:type="dxa"/>
            <w:tcBorders>
              <w:top w:val="nil"/>
              <w:left w:val="single" w:sz="4" w:space="0" w:color="auto"/>
              <w:bottom w:val="nil"/>
              <w:right w:val="single" w:sz="4" w:space="0" w:color="auto"/>
            </w:tcBorders>
            <w:hideMark/>
          </w:tcPr>
          <w:p w14:paraId="1DEFA1A2" w14:textId="77777777" w:rsidR="00C15F2E" w:rsidRPr="00D96063" w:rsidRDefault="00C15F2E" w:rsidP="002C1DC3">
            <w:pPr>
              <w:ind w:right="170"/>
              <w:jc w:val="right"/>
              <w:rPr>
                <w:sz w:val="16"/>
                <w:szCs w:val="16"/>
              </w:rPr>
            </w:pPr>
            <w:r w:rsidRPr="00D96063">
              <w:rPr>
                <w:sz w:val="16"/>
                <w:szCs w:val="16"/>
              </w:rPr>
              <w:t>2.8</w:t>
            </w:r>
          </w:p>
        </w:tc>
      </w:tr>
      <w:tr w:rsidR="00226C5B" w:rsidRPr="00D96063" w14:paraId="574B920C" w14:textId="77777777" w:rsidTr="004C2148">
        <w:tc>
          <w:tcPr>
            <w:tcW w:w="0" w:type="auto"/>
            <w:tcBorders>
              <w:top w:val="nil"/>
              <w:left w:val="single" w:sz="4" w:space="0" w:color="auto"/>
              <w:bottom w:val="single" w:sz="4" w:space="0" w:color="auto"/>
              <w:right w:val="single" w:sz="4" w:space="0" w:color="auto"/>
            </w:tcBorders>
            <w:hideMark/>
          </w:tcPr>
          <w:p w14:paraId="7E72E583" w14:textId="2AAEFEF6" w:rsidR="00C15F2E" w:rsidRPr="00D96063" w:rsidRDefault="00C15F2E" w:rsidP="00053198">
            <w:pPr>
              <w:jc w:val="left"/>
              <w:rPr>
                <w:b/>
                <w:sz w:val="16"/>
              </w:rPr>
            </w:pPr>
            <w:r w:rsidRPr="00D96063">
              <w:rPr>
                <w:b/>
                <w:bCs/>
                <w:sz w:val="16"/>
                <w:szCs w:val="16"/>
              </w:rPr>
              <w:t>PFJ rice</w:t>
            </w:r>
            <w:r w:rsidRPr="00D96063">
              <w:rPr>
                <w:b/>
                <w:sz w:val="16"/>
              </w:rPr>
              <w:t xml:space="preserve"> yields</w:t>
            </w:r>
            <w:r w:rsidR="00226C5B">
              <w:rPr>
                <w:b/>
                <w:sz w:val="16"/>
              </w:rPr>
              <w:t>/hectare</w:t>
            </w:r>
          </w:p>
        </w:tc>
        <w:tc>
          <w:tcPr>
            <w:tcW w:w="1206" w:type="dxa"/>
            <w:tcBorders>
              <w:top w:val="nil"/>
              <w:left w:val="single" w:sz="4" w:space="0" w:color="auto"/>
              <w:bottom w:val="single" w:sz="4" w:space="0" w:color="auto"/>
              <w:right w:val="single" w:sz="4" w:space="0" w:color="auto"/>
            </w:tcBorders>
            <w:hideMark/>
          </w:tcPr>
          <w:p w14:paraId="18DBCFCC" w14:textId="77777777" w:rsidR="00C15F2E" w:rsidRPr="00D96063" w:rsidRDefault="00C15F2E" w:rsidP="002C1DC3">
            <w:pPr>
              <w:ind w:right="170"/>
              <w:jc w:val="right"/>
              <w:rPr>
                <w:sz w:val="16"/>
                <w:szCs w:val="16"/>
              </w:rPr>
            </w:pPr>
            <w:r w:rsidRPr="00D96063">
              <w:rPr>
                <w:sz w:val="16"/>
                <w:szCs w:val="16"/>
              </w:rPr>
              <w:t>2.7</w:t>
            </w:r>
          </w:p>
        </w:tc>
        <w:tc>
          <w:tcPr>
            <w:tcW w:w="1207" w:type="dxa"/>
            <w:tcBorders>
              <w:top w:val="nil"/>
              <w:left w:val="single" w:sz="4" w:space="0" w:color="auto"/>
              <w:bottom w:val="single" w:sz="4" w:space="0" w:color="auto"/>
              <w:right w:val="single" w:sz="4" w:space="0" w:color="auto"/>
            </w:tcBorders>
            <w:hideMark/>
          </w:tcPr>
          <w:p w14:paraId="43BF8CAA" w14:textId="77777777" w:rsidR="00C15F2E" w:rsidRPr="00D96063" w:rsidRDefault="00C15F2E" w:rsidP="002C1DC3">
            <w:pPr>
              <w:ind w:right="170"/>
              <w:jc w:val="right"/>
              <w:rPr>
                <w:sz w:val="16"/>
                <w:szCs w:val="16"/>
              </w:rPr>
            </w:pPr>
            <w:r w:rsidRPr="00D96063">
              <w:rPr>
                <w:sz w:val="16"/>
                <w:szCs w:val="16"/>
              </w:rPr>
              <w:t>4.0</w:t>
            </w:r>
          </w:p>
        </w:tc>
        <w:tc>
          <w:tcPr>
            <w:tcW w:w="1207" w:type="dxa"/>
            <w:tcBorders>
              <w:top w:val="nil"/>
              <w:left w:val="single" w:sz="4" w:space="0" w:color="auto"/>
              <w:bottom w:val="single" w:sz="4" w:space="0" w:color="auto"/>
              <w:right w:val="single" w:sz="4" w:space="0" w:color="auto"/>
            </w:tcBorders>
            <w:hideMark/>
          </w:tcPr>
          <w:p w14:paraId="26844182" w14:textId="77777777" w:rsidR="00C15F2E" w:rsidRPr="00D96063" w:rsidRDefault="00C15F2E" w:rsidP="002C1DC3">
            <w:pPr>
              <w:ind w:right="170"/>
              <w:jc w:val="right"/>
              <w:rPr>
                <w:sz w:val="16"/>
                <w:szCs w:val="16"/>
              </w:rPr>
            </w:pPr>
            <w:r w:rsidRPr="00D96063">
              <w:rPr>
                <w:sz w:val="16"/>
                <w:szCs w:val="16"/>
              </w:rPr>
              <w:t>4.0</w:t>
            </w:r>
          </w:p>
        </w:tc>
        <w:tc>
          <w:tcPr>
            <w:tcW w:w="1207" w:type="dxa"/>
            <w:tcBorders>
              <w:top w:val="nil"/>
              <w:left w:val="single" w:sz="4" w:space="0" w:color="auto"/>
              <w:bottom w:val="single" w:sz="4" w:space="0" w:color="auto"/>
              <w:right w:val="single" w:sz="4" w:space="0" w:color="auto"/>
            </w:tcBorders>
            <w:hideMark/>
          </w:tcPr>
          <w:p w14:paraId="3AD1D358" w14:textId="77777777" w:rsidR="00C15F2E" w:rsidRPr="00D96063" w:rsidRDefault="00C15F2E" w:rsidP="002C1DC3">
            <w:pPr>
              <w:ind w:right="170"/>
              <w:jc w:val="right"/>
              <w:rPr>
                <w:sz w:val="16"/>
                <w:szCs w:val="16"/>
              </w:rPr>
            </w:pPr>
            <w:r w:rsidRPr="00D96063">
              <w:rPr>
                <w:sz w:val="16"/>
                <w:szCs w:val="16"/>
              </w:rPr>
              <w:t>4.3</w:t>
            </w:r>
          </w:p>
        </w:tc>
        <w:tc>
          <w:tcPr>
            <w:tcW w:w="1207" w:type="dxa"/>
            <w:tcBorders>
              <w:top w:val="nil"/>
              <w:left w:val="single" w:sz="4" w:space="0" w:color="auto"/>
              <w:bottom w:val="single" w:sz="4" w:space="0" w:color="auto"/>
              <w:right w:val="single" w:sz="4" w:space="0" w:color="auto"/>
            </w:tcBorders>
            <w:hideMark/>
          </w:tcPr>
          <w:p w14:paraId="1EA5BCE0" w14:textId="77777777" w:rsidR="00C15F2E" w:rsidRPr="00D96063" w:rsidRDefault="00C15F2E" w:rsidP="002C1DC3">
            <w:pPr>
              <w:ind w:right="170"/>
              <w:jc w:val="right"/>
              <w:rPr>
                <w:sz w:val="16"/>
                <w:szCs w:val="16"/>
              </w:rPr>
            </w:pPr>
            <w:r w:rsidRPr="00D96063">
              <w:rPr>
                <w:sz w:val="16"/>
                <w:szCs w:val="16"/>
              </w:rPr>
              <w:t>4.5</w:t>
            </w:r>
          </w:p>
        </w:tc>
      </w:tr>
    </w:tbl>
    <w:p w14:paraId="092ECACD" w14:textId="77777777" w:rsidR="00C15F2E" w:rsidRPr="00D96063" w:rsidRDefault="00C15F2E" w:rsidP="00D868BF">
      <w:pPr>
        <w:pStyle w:val="NoteText"/>
        <w:spacing w:before="120" w:after="120"/>
      </w:pPr>
      <w:r w:rsidRPr="00D96063">
        <w:t>a</w:t>
      </w:r>
      <w:r w:rsidRPr="00D96063">
        <w:tab/>
        <w:t>National average.</w:t>
      </w:r>
    </w:p>
    <w:p w14:paraId="6326D849" w14:textId="77777777" w:rsidR="00C15F2E" w:rsidRPr="00D96063" w:rsidRDefault="00C15F2E" w:rsidP="00D868BF">
      <w:pPr>
        <w:pStyle w:val="NoteText"/>
        <w:spacing w:before="120" w:after="240"/>
      </w:pPr>
      <w:r w:rsidRPr="00D96063">
        <w:t>Source:</w:t>
      </w:r>
      <w:r w:rsidRPr="00D96063">
        <w:tab/>
        <w:t>Information provided by the authorities.</w:t>
      </w:r>
    </w:p>
    <w:p w14:paraId="6444631A" w14:textId="77777777" w:rsidR="00C15F2E" w:rsidRPr="00D96063" w:rsidRDefault="00C15F2E" w:rsidP="00D868BF">
      <w:pPr>
        <w:pStyle w:val="BodyText"/>
      </w:pPr>
      <w:r w:rsidRPr="00D96063">
        <w:t>The agricultural mechanization programme is aimed at promoting smallholders' access to small hand-held machinery and equipment at subsidized prices, and at strengthening and expanding the Agricultural Mechanization and Services Centres. The target is to open at least one Mechanization Centre for each district.</w:t>
      </w:r>
    </w:p>
    <w:p w14:paraId="2E9ABC94" w14:textId="77777777" w:rsidR="00C15F2E" w:rsidRPr="00D96063" w:rsidRDefault="00C15F2E" w:rsidP="00D868BF">
      <w:pPr>
        <w:pStyle w:val="BodyText"/>
      </w:pPr>
      <w:r w:rsidRPr="00D96063">
        <w:t>The Ghana Agricultural Insurance Programme was launched in 2011 to encourage the development of a market for agriculture insurance. Several agricultural insurance products were developed (weather, yield, and traditional indemnities). Nineteen Ghanaian insurance companies form the Ghana Agricultural Insurance Pool, which offers insurance to smallholders; premiums were subsidized at 50% in 2020 and 2021 by the Alliance for a Green Revolution in Africa.</w:t>
      </w:r>
    </w:p>
    <w:p w14:paraId="01415555" w14:textId="77777777" w:rsidR="00C15F2E" w:rsidRPr="00D96063" w:rsidRDefault="00C15F2E" w:rsidP="00D868BF">
      <w:pPr>
        <w:pStyle w:val="BodyText"/>
      </w:pPr>
      <w:r w:rsidRPr="00D96063">
        <w:t>Ghana has plans to support cassava (manioc) production for the manufacture of high-quality cassava flour as a substitute for wheat imports, and for the processing into ethanol and starch to address the supply deficit in the pharmaceutical and brewery industries.</w:t>
      </w:r>
      <w:r w:rsidRPr="00D96063">
        <w:rPr>
          <w:vertAlign w:val="superscript"/>
        </w:rPr>
        <w:footnoteReference w:id="125"/>
      </w:r>
    </w:p>
    <w:p w14:paraId="5CD1240F" w14:textId="77777777" w:rsidR="00C15F2E" w:rsidRPr="00D96063" w:rsidRDefault="00C15F2E" w:rsidP="00D868BF">
      <w:pPr>
        <w:pStyle w:val="BodyText"/>
      </w:pPr>
      <w:r w:rsidRPr="00D96063">
        <w:t>The NAFCO is responsible for purchasing maize, paddy rice, soya beans, millets, beans, and peanuts from smallholders at minimum guaranteed prices (Table 4.3). The minimum prices are set at 10% above cost of production, as determined by the National Postharvest Committee (for price support provided to cocoa, Section 4.1.3). The NAFCO is also responsible for the national food reserve. The sales from the reserve are made to government institutions at prices approved by the Public Procurement Authority. The NAFCO is also in charge of the Emergency Food Programme, which is currently inactive due to lack of funds. There are currently no NAFCO buffer stocks, according to the authorities.</w:t>
      </w:r>
    </w:p>
    <w:p w14:paraId="5E6135C1" w14:textId="58B9B019" w:rsidR="00C15F2E" w:rsidRPr="00D96063" w:rsidRDefault="00C15F2E" w:rsidP="00972A1E">
      <w:pPr>
        <w:pStyle w:val="Caption"/>
        <w:keepLines/>
      </w:pPr>
      <w:bookmarkStart w:id="192" w:name="_Toc103607899"/>
      <w:r w:rsidRPr="00D96063">
        <w:lastRenderedPageBreak/>
        <w:t xml:space="preserve">Table </w:t>
      </w:r>
      <w:fldSimple w:instr=" STYLEREF 1 \s ">
        <w:r w:rsidR="004B63B1">
          <w:rPr>
            <w:noProof/>
          </w:rPr>
          <w:t>4</w:t>
        </w:r>
      </w:fldSimple>
      <w:r w:rsidR="00BF3184">
        <w:t>.</w:t>
      </w:r>
      <w:fldSimple w:instr=" SEQ Table \* ARABIC \s 1 ">
        <w:r w:rsidR="004B63B1">
          <w:rPr>
            <w:noProof/>
          </w:rPr>
          <w:t>3</w:t>
        </w:r>
      </w:fldSimple>
      <w:r w:rsidRPr="00D96063">
        <w:t xml:space="preserve"> Market interventions by the National Food and Buffer Stock Company, 2019-20</w:t>
      </w:r>
      <w:bookmarkEnd w:id="192"/>
    </w:p>
    <w:tbl>
      <w:tblPr>
        <w:tblStyle w:val="WTOTable1"/>
        <w:tblW w:w="5000" w:type="pct"/>
        <w:tblLook w:val="04A0" w:firstRow="1" w:lastRow="0" w:firstColumn="1" w:lastColumn="0" w:noHBand="0" w:noVBand="1"/>
      </w:tblPr>
      <w:tblGrid>
        <w:gridCol w:w="1980"/>
        <w:gridCol w:w="3260"/>
        <w:gridCol w:w="1843"/>
        <w:gridCol w:w="1933"/>
      </w:tblGrid>
      <w:tr w:rsidR="0035382D" w:rsidRPr="00D96063" w14:paraId="2BB76601" w14:textId="77777777" w:rsidTr="00DA47B4">
        <w:trPr>
          <w:cnfStyle w:val="100000000000" w:firstRow="1" w:lastRow="0" w:firstColumn="0" w:lastColumn="0" w:oddVBand="0" w:evenVBand="0" w:oddHBand="0" w:evenHBand="0" w:firstRowFirstColumn="0" w:firstRowLastColumn="0" w:lastRowFirstColumn="0" w:lastRowLastColumn="0"/>
          <w:trHeight w:val="354"/>
        </w:trPr>
        <w:tc>
          <w:tcPr>
            <w:tcW w:w="1098" w:type="pct"/>
            <w:vMerge w:val="restart"/>
            <w:tcBorders>
              <w:top w:val="single" w:sz="4" w:space="0" w:color="auto"/>
            </w:tcBorders>
            <w:noWrap/>
          </w:tcPr>
          <w:p w14:paraId="525812F1" w14:textId="77777777" w:rsidR="0035382D" w:rsidRPr="00D96063" w:rsidRDefault="0035382D" w:rsidP="00972A1E">
            <w:pPr>
              <w:keepNext/>
              <w:keepLines/>
              <w:spacing w:line="276" w:lineRule="auto"/>
              <w:jc w:val="left"/>
              <w:rPr>
                <w:rFonts w:eastAsia="Times New Roman" w:cs="Calibri"/>
                <w:b w:val="0"/>
                <w:bCs/>
                <w:color w:val="FFFFFF" w:themeColor="background1"/>
                <w:szCs w:val="18"/>
              </w:rPr>
            </w:pPr>
          </w:p>
        </w:tc>
        <w:tc>
          <w:tcPr>
            <w:tcW w:w="1808" w:type="pct"/>
            <w:vMerge w:val="restart"/>
            <w:tcBorders>
              <w:top w:val="single" w:sz="4" w:space="0" w:color="auto"/>
            </w:tcBorders>
            <w:hideMark/>
          </w:tcPr>
          <w:p w14:paraId="17DB7BA0" w14:textId="3F23DB7C" w:rsidR="0035382D" w:rsidRPr="00D96063" w:rsidRDefault="0035382D" w:rsidP="00972A1E">
            <w:pPr>
              <w:keepNext/>
              <w:keepLines/>
              <w:spacing w:line="276" w:lineRule="auto"/>
              <w:jc w:val="center"/>
              <w:rPr>
                <w:rFonts w:eastAsia="Times New Roman" w:cs="Calibri"/>
                <w:b w:val="0"/>
                <w:color w:val="FFFFFF" w:themeColor="background1"/>
                <w:sz w:val="16"/>
                <w:szCs w:val="16"/>
              </w:rPr>
            </w:pPr>
            <w:r w:rsidRPr="00D96063">
              <w:rPr>
                <w:rFonts w:eastAsia="Times New Roman" w:cs="Calibri"/>
                <w:color w:val="FFFFFF" w:themeColor="background1"/>
                <w:sz w:val="16"/>
                <w:szCs w:val="16"/>
              </w:rPr>
              <w:t>Market in</w:t>
            </w:r>
            <w:r>
              <w:rPr>
                <w:rFonts w:eastAsia="Times New Roman" w:cs="Calibri"/>
                <w:color w:val="FFFFFF" w:themeColor="background1"/>
                <w:sz w:val="16"/>
                <w:szCs w:val="16"/>
              </w:rPr>
              <w:t>ter</w:t>
            </w:r>
            <w:r w:rsidRPr="00D96063">
              <w:rPr>
                <w:rFonts w:eastAsia="Times New Roman" w:cs="Calibri"/>
                <w:color w:val="FFFFFF" w:themeColor="background1"/>
                <w:sz w:val="16"/>
                <w:szCs w:val="16"/>
              </w:rPr>
              <w:t>ventions</w:t>
            </w:r>
          </w:p>
          <w:p w14:paraId="5A2254F5" w14:textId="0CACEFEF" w:rsidR="0035382D" w:rsidRPr="00D96063" w:rsidRDefault="0035382D" w:rsidP="00972A1E">
            <w:pPr>
              <w:keepNext/>
              <w:keepLines/>
              <w:spacing w:line="276" w:lineRule="auto"/>
              <w:jc w:val="center"/>
              <w:rPr>
                <w:rFonts w:eastAsia="Times New Roman" w:cs="Calibri"/>
                <w:color w:val="FFFFFF" w:themeColor="background1"/>
                <w:szCs w:val="18"/>
              </w:rPr>
            </w:pPr>
            <w:r w:rsidRPr="00D96063">
              <w:rPr>
                <w:rFonts w:eastAsia="Times New Roman" w:cs="Calibri"/>
                <w:bCs/>
                <w:color w:val="FFFFFF" w:themeColor="background1"/>
                <w:sz w:val="16"/>
                <w:szCs w:val="16"/>
              </w:rPr>
              <w:t>2019/20 season</w:t>
            </w:r>
            <w:r w:rsidRPr="00D96063">
              <w:rPr>
                <w:rFonts w:eastAsia="Times New Roman" w:cs="Calibri"/>
                <w:color w:val="FFFFFF" w:themeColor="background1"/>
                <w:sz w:val="16"/>
                <w:szCs w:val="16"/>
              </w:rPr>
              <w:t xml:space="preserve"> (tonnes)</w:t>
            </w:r>
          </w:p>
        </w:tc>
        <w:tc>
          <w:tcPr>
            <w:tcW w:w="2094" w:type="pct"/>
            <w:gridSpan w:val="2"/>
            <w:tcBorders>
              <w:top w:val="single" w:sz="4" w:space="0" w:color="auto"/>
              <w:bottom w:val="single" w:sz="4" w:space="0" w:color="auto"/>
            </w:tcBorders>
            <w:noWrap/>
            <w:hideMark/>
          </w:tcPr>
          <w:p w14:paraId="72221ECE" w14:textId="77777777" w:rsidR="0035382D" w:rsidRPr="00D96063" w:rsidRDefault="0035382D" w:rsidP="00972A1E">
            <w:pPr>
              <w:keepNext/>
              <w:keepLines/>
              <w:spacing w:line="276" w:lineRule="auto"/>
              <w:jc w:val="center"/>
              <w:rPr>
                <w:rFonts w:eastAsia="Times New Roman" w:cs="Calibri"/>
                <w:color w:val="FFFFFF" w:themeColor="background1"/>
                <w:sz w:val="16"/>
                <w:szCs w:val="16"/>
              </w:rPr>
            </w:pPr>
            <w:r w:rsidRPr="00D96063">
              <w:rPr>
                <w:rFonts w:eastAsia="Times New Roman" w:cs="Calibri"/>
                <w:color w:val="FFFFFF" w:themeColor="background1"/>
                <w:sz w:val="16"/>
                <w:szCs w:val="16"/>
              </w:rPr>
              <w:t>Minimum prices</w:t>
            </w:r>
          </w:p>
          <w:p w14:paraId="2204C2F1" w14:textId="77777777" w:rsidR="0035382D" w:rsidRPr="00D96063" w:rsidRDefault="0035382D" w:rsidP="00972A1E">
            <w:pPr>
              <w:keepNext/>
              <w:keepLines/>
              <w:spacing w:line="276" w:lineRule="auto"/>
              <w:jc w:val="center"/>
              <w:rPr>
                <w:rFonts w:eastAsia="Times New Roman" w:cs="Calibri"/>
                <w:color w:val="FFFFFF" w:themeColor="background1"/>
                <w:sz w:val="16"/>
                <w:szCs w:val="16"/>
              </w:rPr>
            </w:pPr>
            <w:r w:rsidRPr="00D96063">
              <w:rPr>
                <w:rFonts w:eastAsia="Times New Roman" w:cs="Calibri"/>
                <w:color w:val="FFFFFF" w:themeColor="background1"/>
                <w:sz w:val="16"/>
                <w:szCs w:val="16"/>
              </w:rPr>
              <w:t>(Unit price per 50 kg, in GHS)</w:t>
            </w:r>
          </w:p>
        </w:tc>
      </w:tr>
      <w:tr w:rsidR="0035382D" w:rsidRPr="00D96063" w14:paraId="06B5A4CF" w14:textId="77777777" w:rsidTr="00DA47B4">
        <w:trPr>
          <w:trHeight w:val="274"/>
        </w:trPr>
        <w:tc>
          <w:tcPr>
            <w:tcW w:w="1098" w:type="pct"/>
            <w:vMerge/>
            <w:tcBorders>
              <w:bottom w:val="nil"/>
            </w:tcBorders>
            <w:shd w:val="clear" w:color="auto" w:fill="006283"/>
            <w:noWrap/>
          </w:tcPr>
          <w:p w14:paraId="35D0EEA9" w14:textId="77777777" w:rsidR="0035382D" w:rsidRPr="00D96063" w:rsidRDefault="0035382D" w:rsidP="00972A1E">
            <w:pPr>
              <w:keepNext/>
              <w:keepLines/>
              <w:spacing w:line="276" w:lineRule="auto"/>
              <w:jc w:val="left"/>
              <w:rPr>
                <w:rFonts w:eastAsia="Times New Roman" w:cs="Calibri"/>
                <w:color w:val="FFFFFF" w:themeColor="background1"/>
                <w:sz w:val="16"/>
                <w:szCs w:val="16"/>
              </w:rPr>
            </w:pPr>
          </w:p>
        </w:tc>
        <w:tc>
          <w:tcPr>
            <w:tcW w:w="1808" w:type="pct"/>
            <w:vMerge/>
            <w:tcBorders>
              <w:bottom w:val="nil"/>
            </w:tcBorders>
            <w:shd w:val="clear" w:color="auto" w:fill="006283"/>
            <w:hideMark/>
          </w:tcPr>
          <w:p w14:paraId="2B608903" w14:textId="77777777" w:rsidR="0035382D" w:rsidRPr="00D96063" w:rsidRDefault="0035382D" w:rsidP="00972A1E">
            <w:pPr>
              <w:keepNext/>
              <w:keepLines/>
              <w:spacing w:line="276" w:lineRule="auto"/>
              <w:jc w:val="center"/>
              <w:rPr>
                <w:rFonts w:eastAsia="Times New Roman" w:cs="Calibri"/>
                <w:b/>
                <w:bCs/>
                <w:color w:val="FFFFFF" w:themeColor="background1"/>
                <w:sz w:val="16"/>
                <w:szCs w:val="16"/>
              </w:rPr>
            </w:pPr>
          </w:p>
        </w:tc>
        <w:tc>
          <w:tcPr>
            <w:tcW w:w="1022" w:type="pct"/>
            <w:tcBorders>
              <w:top w:val="single" w:sz="4" w:space="0" w:color="auto"/>
              <w:bottom w:val="nil"/>
            </w:tcBorders>
            <w:shd w:val="clear" w:color="auto" w:fill="006283"/>
            <w:noWrap/>
            <w:hideMark/>
          </w:tcPr>
          <w:p w14:paraId="3174F3BC" w14:textId="77777777" w:rsidR="0035382D" w:rsidRPr="00D96063" w:rsidRDefault="0035382D" w:rsidP="00972A1E">
            <w:pPr>
              <w:keepNext/>
              <w:keepLines/>
              <w:spacing w:line="276" w:lineRule="auto"/>
              <w:jc w:val="center"/>
              <w:rPr>
                <w:rFonts w:eastAsia="Times New Roman" w:cs="Calibri"/>
                <w:b/>
                <w:bCs/>
                <w:color w:val="FFFFFF" w:themeColor="background1"/>
                <w:sz w:val="16"/>
                <w:szCs w:val="16"/>
              </w:rPr>
            </w:pPr>
            <w:r w:rsidRPr="00D96063">
              <w:rPr>
                <w:rFonts w:eastAsia="Times New Roman" w:cs="Calibri"/>
                <w:b/>
                <w:bCs/>
                <w:color w:val="FFFFFF" w:themeColor="background1"/>
                <w:sz w:val="16"/>
                <w:szCs w:val="16"/>
              </w:rPr>
              <w:t>2019</w:t>
            </w:r>
          </w:p>
        </w:tc>
        <w:tc>
          <w:tcPr>
            <w:tcW w:w="1072" w:type="pct"/>
            <w:tcBorders>
              <w:top w:val="single" w:sz="4" w:space="0" w:color="auto"/>
              <w:bottom w:val="nil"/>
            </w:tcBorders>
            <w:shd w:val="clear" w:color="auto" w:fill="006283"/>
            <w:noWrap/>
            <w:hideMark/>
          </w:tcPr>
          <w:p w14:paraId="6EB73D40" w14:textId="77777777" w:rsidR="0035382D" w:rsidRPr="00D96063" w:rsidRDefault="0035382D" w:rsidP="00972A1E">
            <w:pPr>
              <w:keepNext/>
              <w:keepLines/>
              <w:spacing w:line="276" w:lineRule="auto"/>
              <w:jc w:val="center"/>
              <w:rPr>
                <w:rFonts w:eastAsia="Times New Roman" w:cs="Calibri"/>
                <w:b/>
                <w:bCs/>
                <w:color w:val="FFFFFF" w:themeColor="background1"/>
                <w:sz w:val="16"/>
                <w:szCs w:val="16"/>
              </w:rPr>
            </w:pPr>
            <w:r w:rsidRPr="00D96063">
              <w:rPr>
                <w:rFonts w:eastAsia="Times New Roman" w:cs="Calibri"/>
                <w:b/>
                <w:bCs/>
                <w:color w:val="FFFFFF" w:themeColor="background1"/>
                <w:sz w:val="16"/>
                <w:szCs w:val="16"/>
              </w:rPr>
              <w:t>2020</w:t>
            </w:r>
          </w:p>
        </w:tc>
      </w:tr>
      <w:tr w:rsidR="00C15F2E" w:rsidRPr="00D96063" w14:paraId="0360CACF" w14:textId="77777777" w:rsidTr="00053198">
        <w:trPr>
          <w:cnfStyle w:val="000000010000" w:firstRow="0" w:lastRow="0" w:firstColumn="0" w:lastColumn="0" w:oddVBand="0" w:evenVBand="0" w:oddHBand="0" w:evenHBand="1" w:firstRowFirstColumn="0" w:firstRowLastColumn="0" w:lastRowFirstColumn="0" w:lastRowLastColumn="0"/>
          <w:trHeight w:val="274"/>
        </w:trPr>
        <w:tc>
          <w:tcPr>
            <w:tcW w:w="1098" w:type="pct"/>
            <w:tcBorders>
              <w:top w:val="nil"/>
            </w:tcBorders>
            <w:noWrap/>
            <w:hideMark/>
          </w:tcPr>
          <w:p w14:paraId="018043B0" w14:textId="77777777" w:rsidR="00C15F2E" w:rsidRPr="00D96063" w:rsidRDefault="00C15F2E" w:rsidP="00972A1E">
            <w:pPr>
              <w:keepNext/>
              <w:keepLines/>
              <w:spacing w:line="276" w:lineRule="auto"/>
              <w:jc w:val="left"/>
              <w:rPr>
                <w:rFonts w:eastAsia="Times New Roman" w:cs="Calibri"/>
                <w:sz w:val="16"/>
                <w:szCs w:val="16"/>
              </w:rPr>
            </w:pPr>
            <w:r w:rsidRPr="00D96063">
              <w:rPr>
                <w:rFonts w:eastAsia="Times New Roman" w:cs="Calibri"/>
                <w:sz w:val="16"/>
                <w:szCs w:val="16"/>
              </w:rPr>
              <w:t>Rice</w:t>
            </w:r>
          </w:p>
        </w:tc>
        <w:tc>
          <w:tcPr>
            <w:tcW w:w="1808" w:type="pct"/>
            <w:tcBorders>
              <w:top w:val="nil"/>
            </w:tcBorders>
            <w:hideMark/>
          </w:tcPr>
          <w:p w14:paraId="30B16A0A" w14:textId="77777777" w:rsidR="00C15F2E" w:rsidRPr="00D96063" w:rsidRDefault="00C15F2E" w:rsidP="002C1DC3">
            <w:pPr>
              <w:keepNext/>
              <w:keepLines/>
              <w:spacing w:line="276" w:lineRule="auto"/>
              <w:ind w:right="1191"/>
              <w:jc w:val="right"/>
              <w:rPr>
                <w:rFonts w:eastAsia="Times New Roman" w:cs="Calibri"/>
                <w:sz w:val="16"/>
                <w:szCs w:val="16"/>
              </w:rPr>
            </w:pPr>
            <w:r w:rsidRPr="00D96063">
              <w:rPr>
                <w:rFonts w:eastAsia="Times New Roman" w:cs="Calibri"/>
                <w:sz w:val="16"/>
                <w:szCs w:val="16"/>
              </w:rPr>
              <w:t>32,000</w:t>
            </w:r>
          </w:p>
        </w:tc>
        <w:tc>
          <w:tcPr>
            <w:tcW w:w="1022" w:type="pct"/>
            <w:tcBorders>
              <w:top w:val="nil"/>
            </w:tcBorders>
            <w:noWrap/>
            <w:hideMark/>
          </w:tcPr>
          <w:p w14:paraId="213DD6D4" w14:textId="77777777" w:rsidR="00C15F2E" w:rsidRPr="00D96063" w:rsidRDefault="00C15F2E" w:rsidP="00972A1E">
            <w:pPr>
              <w:keepNext/>
              <w:keepLines/>
              <w:spacing w:line="276" w:lineRule="auto"/>
              <w:ind w:right="624"/>
              <w:jc w:val="right"/>
              <w:rPr>
                <w:rFonts w:eastAsia="Times New Roman" w:cs="Calibri"/>
                <w:sz w:val="16"/>
                <w:szCs w:val="16"/>
              </w:rPr>
            </w:pPr>
            <w:r w:rsidRPr="00D96063">
              <w:rPr>
                <w:rFonts w:eastAsia="Times New Roman" w:cs="Calibri"/>
                <w:sz w:val="16"/>
                <w:szCs w:val="16"/>
              </w:rPr>
              <w:t xml:space="preserve">200 </w:t>
            </w:r>
          </w:p>
        </w:tc>
        <w:tc>
          <w:tcPr>
            <w:tcW w:w="1072" w:type="pct"/>
            <w:tcBorders>
              <w:top w:val="nil"/>
            </w:tcBorders>
            <w:noWrap/>
            <w:hideMark/>
          </w:tcPr>
          <w:p w14:paraId="5C675626" w14:textId="77777777" w:rsidR="00C15F2E" w:rsidRPr="00D96063" w:rsidRDefault="00C15F2E" w:rsidP="002C1DC3">
            <w:pPr>
              <w:keepNext/>
              <w:keepLines/>
              <w:spacing w:line="276" w:lineRule="auto"/>
              <w:ind w:right="680"/>
              <w:jc w:val="right"/>
              <w:rPr>
                <w:rFonts w:eastAsia="Times New Roman" w:cs="Calibri"/>
                <w:sz w:val="16"/>
                <w:szCs w:val="16"/>
              </w:rPr>
            </w:pPr>
            <w:r w:rsidRPr="00D96063">
              <w:rPr>
                <w:rFonts w:eastAsia="Times New Roman" w:cs="Calibri"/>
                <w:sz w:val="16"/>
                <w:szCs w:val="16"/>
              </w:rPr>
              <w:t xml:space="preserve">200 </w:t>
            </w:r>
          </w:p>
        </w:tc>
      </w:tr>
      <w:tr w:rsidR="00C15F2E" w:rsidRPr="00D96063" w14:paraId="6AB3477E" w14:textId="77777777" w:rsidTr="00053198">
        <w:trPr>
          <w:trHeight w:val="274"/>
        </w:trPr>
        <w:tc>
          <w:tcPr>
            <w:tcW w:w="1098" w:type="pct"/>
            <w:noWrap/>
            <w:hideMark/>
          </w:tcPr>
          <w:p w14:paraId="33511EA6" w14:textId="77777777" w:rsidR="00C15F2E" w:rsidRPr="00D96063" w:rsidRDefault="00C15F2E" w:rsidP="00053198">
            <w:pPr>
              <w:spacing w:line="276" w:lineRule="auto"/>
              <w:jc w:val="left"/>
              <w:rPr>
                <w:rFonts w:eastAsia="Times New Roman" w:cs="Calibri"/>
                <w:sz w:val="16"/>
                <w:szCs w:val="16"/>
              </w:rPr>
            </w:pPr>
            <w:r w:rsidRPr="00D96063">
              <w:rPr>
                <w:rFonts w:eastAsia="Times New Roman" w:cs="Calibri"/>
                <w:sz w:val="16"/>
                <w:szCs w:val="16"/>
              </w:rPr>
              <w:t>Maize</w:t>
            </w:r>
          </w:p>
        </w:tc>
        <w:tc>
          <w:tcPr>
            <w:tcW w:w="1808" w:type="pct"/>
            <w:hideMark/>
          </w:tcPr>
          <w:p w14:paraId="4A1189AA" w14:textId="77777777" w:rsidR="00C15F2E" w:rsidRPr="00D96063" w:rsidRDefault="00C15F2E" w:rsidP="002C1DC3">
            <w:pPr>
              <w:ind w:right="1191"/>
              <w:jc w:val="right"/>
              <w:rPr>
                <w:sz w:val="16"/>
                <w:szCs w:val="16"/>
              </w:rPr>
            </w:pPr>
            <w:r w:rsidRPr="00D96063">
              <w:rPr>
                <w:sz w:val="16"/>
                <w:szCs w:val="16"/>
              </w:rPr>
              <w:t>24,368</w:t>
            </w:r>
          </w:p>
        </w:tc>
        <w:tc>
          <w:tcPr>
            <w:tcW w:w="1022" w:type="pct"/>
            <w:noWrap/>
            <w:hideMark/>
          </w:tcPr>
          <w:p w14:paraId="1DDB23EA" w14:textId="77777777" w:rsidR="00C15F2E" w:rsidRPr="00D96063" w:rsidRDefault="00C15F2E" w:rsidP="00053198">
            <w:pPr>
              <w:spacing w:line="276" w:lineRule="auto"/>
              <w:ind w:right="624"/>
              <w:jc w:val="right"/>
              <w:rPr>
                <w:rFonts w:eastAsia="Times New Roman" w:cs="Calibri"/>
                <w:sz w:val="16"/>
                <w:szCs w:val="16"/>
              </w:rPr>
            </w:pPr>
            <w:r w:rsidRPr="00D96063">
              <w:rPr>
                <w:rFonts w:eastAsia="Times New Roman" w:cs="Calibri"/>
                <w:sz w:val="16"/>
                <w:szCs w:val="16"/>
              </w:rPr>
              <w:t xml:space="preserve">72.5 </w:t>
            </w:r>
          </w:p>
        </w:tc>
        <w:tc>
          <w:tcPr>
            <w:tcW w:w="1072" w:type="pct"/>
            <w:noWrap/>
            <w:hideMark/>
          </w:tcPr>
          <w:p w14:paraId="7AFD83B9" w14:textId="77777777" w:rsidR="00C15F2E" w:rsidRPr="00D96063" w:rsidRDefault="00C15F2E" w:rsidP="002C1DC3">
            <w:pPr>
              <w:spacing w:line="276" w:lineRule="auto"/>
              <w:ind w:right="680"/>
              <w:jc w:val="right"/>
              <w:rPr>
                <w:rFonts w:eastAsia="Times New Roman" w:cs="Calibri"/>
                <w:sz w:val="16"/>
                <w:szCs w:val="16"/>
              </w:rPr>
            </w:pPr>
            <w:r w:rsidRPr="00D96063">
              <w:rPr>
                <w:rFonts w:eastAsia="Times New Roman" w:cs="Calibri"/>
                <w:sz w:val="16"/>
                <w:szCs w:val="16"/>
              </w:rPr>
              <w:t xml:space="preserve">73.0 </w:t>
            </w:r>
          </w:p>
        </w:tc>
      </w:tr>
      <w:tr w:rsidR="00C15F2E" w:rsidRPr="00D96063" w14:paraId="59CC3C20" w14:textId="77777777" w:rsidTr="00053198">
        <w:trPr>
          <w:cnfStyle w:val="000000010000" w:firstRow="0" w:lastRow="0" w:firstColumn="0" w:lastColumn="0" w:oddVBand="0" w:evenVBand="0" w:oddHBand="0" w:evenHBand="1" w:firstRowFirstColumn="0" w:firstRowLastColumn="0" w:lastRowFirstColumn="0" w:lastRowLastColumn="0"/>
          <w:trHeight w:val="274"/>
        </w:trPr>
        <w:tc>
          <w:tcPr>
            <w:tcW w:w="1098" w:type="pct"/>
            <w:noWrap/>
            <w:hideMark/>
          </w:tcPr>
          <w:p w14:paraId="7ACA8D34" w14:textId="77777777" w:rsidR="00C15F2E" w:rsidRPr="00D96063" w:rsidRDefault="00C15F2E" w:rsidP="00053198">
            <w:pPr>
              <w:spacing w:line="276" w:lineRule="auto"/>
              <w:jc w:val="left"/>
              <w:rPr>
                <w:rFonts w:eastAsia="Times New Roman" w:cs="Calibri"/>
                <w:sz w:val="16"/>
                <w:szCs w:val="16"/>
              </w:rPr>
            </w:pPr>
            <w:r w:rsidRPr="00D96063">
              <w:rPr>
                <w:rFonts w:eastAsia="Times New Roman" w:cs="Calibri"/>
                <w:sz w:val="16"/>
                <w:szCs w:val="16"/>
              </w:rPr>
              <w:t>Soya beans</w:t>
            </w:r>
          </w:p>
        </w:tc>
        <w:tc>
          <w:tcPr>
            <w:tcW w:w="1808" w:type="pct"/>
          </w:tcPr>
          <w:p w14:paraId="4797FB54" w14:textId="77777777" w:rsidR="00C15F2E" w:rsidRPr="00D96063" w:rsidRDefault="00C15F2E" w:rsidP="002C1DC3">
            <w:pPr>
              <w:spacing w:line="276" w:lineRule="auto"/>
              <w:ind w:right="1191"/>
              <w:jc w:val="right"/>
              <w:rPr>
                <w:rFonts w:eastAsia="Times New Roman" w:cs="Calibri"/>
                <w:sz w:val="16"/>
                <w:szCs w:val="16"/>
              </w:rPr>
            </w:pPr>
            <w:r w:rsidRPr="00D96063">
              <w:rPr>
                <w:rFonts w:eastAsia="Times New Roman" w:cs="Calibri"/>
                <w:sz w:val="16"/>
                <w:szCs w:val="16"/>
              </w:rPr>
              <w:t>0</w:t>
            </w:r>
          </w:p>
        </w:tc>
        <w:tc>
          <w:tcPr>
            <w:tcW w:w="1022" w:type="pct"/>
            <w:noWrap/>
            <w:hideMark/>
          </w:tcPr>
          <w:p w14:paraId="2C918DAC" w14:textId="77777777" w:rsidR="00C15F2E" w:rsidRPr="00D96063" w:rsidRDefault="00C15F2E" w:rsidP="00053198">
            <w:pPr>
              <w:spacing w:line="276" w:lineRule="auto"/>
              <w:ind w:right="624"/>
              <w:jc w:val="right"/>
              <w:rPr>
                <w:rFonts w:eastAsia="Times New Roman" w:cs="Calibri"/>
                <w:sz w:val="16"/>
                <w:szCs w:val="16"/>
              </w:rPr>
            </w:pPr>
            <w:r w:rsidRPr="00D96063">
              <w:rPr>
                <w:rFonts w:eastAsia="Times New Roman" w:cs="Calibri"/>
                <w:sz w:val="16"/>
                <w:szCs w:val="16"/>
              </w:rPr>
              <w:t xml:space="preserve">150 </w:t>
            </w:r>
          </w:p>
        </w:tc>
        <w:tc>
          <w:tcPr>
            <w:tcW w:w="1072" w:type="pct"/>
            <w:noWrap/>
            <w:hideMark/>
          </w:tcPr>
          <w:p w14:paraId="66F4D640" w14:textId="77777777" w:rsidR="00C15F2E" w:rsidRPr="00D96063" w:rsidRDefault="00C15F2E" w:rsidP="002C1DC3">
            <w:pPr>
              <w:spacing w:line="276" w:lineRule="auto"/>
              <w:ind w:right="680"/>
              <w:jc w:val="right"/>
              <w:rPr>
                <w:rFonts w:eastAsia="Times New Roman" w:cs="Calibri"/>
                <w:sz w:val="16"/>
                <w:szCs w:val="16"/>
              </w:rPr>
            </w:pPr>
            <w:r w:rsidRPr="00D96063">
              <w:rPr>
                <w:rFonts w:eastAsia="Times New Roman" w:cs="Calibri"/>
                <w:sz w:val="16"/>
                <w:szCs w:val="16"/>
              </w:rPr>
              <w:t xml:space="preserve">150 </w:t>
            </w:r>
          </w:p>
        </w:tc>
      </w:tr>
      <w:tr w:rsidR="00C15F2E" w:rsidRPr="00D96063" w14:paraId="001BEB06" w14:textId="77777777" w:rsidTr="00053198">
        <w:trPr>
          <w:trHeight w:val="274"/>
        </w:trPr>
        <w:tc>
          <w:tcPr>
            <w:tcW w:w="1098" w:type="pct"/>
            <w:noWrap/>
            <w:hideMark/>
          </w:tcPr>
          <w:p w14:paraId="0B2B8087" w14:textId="77777777" w:rsidR="00C15F2E" w:rsidRPr="00D96063" w:rsidRDefault="00C15F2E" w:rsidP="00053198">
            <w:pPr>
              <w:spacing w:line="276" w:lineRule="auto"/>
              <w:jc w:val="left"/>
              <w:rPr>
                <w:rFonts w:eastAsia="Times New Roman" w:cs="Calibri"/>
                <w:sz w:val="16"/>
                <w:szCs w:val="16"/>
              </w:rPr>
            </w:pPr>
            <w:r w:rsidRPr="00D96063">
              <w:rPr>
                <w:rFonts w:eastAsia="Times New Roman" w:cs="Calibri"/>
                <w:sz w:val="16"/>
                <w:szCs w:val="16"/>
              </w:rPr>
              <w:t>Millets</w:t>
            </w:r>
          </w:p>
        </w:tc>
        <w:tc>
          <w:tcPr>
            <w:tcW w:w="1808" w:type="pct"/>
            <w:hideMark/>
          </w:tcPr>
          <w:p w14:paraId="1EEE79E9" w14:textId="77777777" w:rsidR="00C15F2E" w:rsidRPr="00D96063" w:rsidRDefault="00C15F2E" w:rsidP="002C1DC3">
            <w:pPr>
              <w:ind w:right="1191"/>
              <w:jc w:val="right"/>
              <w:rPr>
                <w:rFonts w:eastAsia="Times New Roman" w:cs="Calibri"/>
                <w:sz w:val="16"/>
                <w:szCs w:val="16"/>
              </w:rPr>
            </w:pPr>
            <w:r w:rsidRPr="00D96063">
              <w:rPr>
                <w:rFonts w:eastAsia="Times New Roman" w:cs="Calibri"/>
                <w:sz w:val="16"/>
                <w:szCs w:val="16"/>
              </w:rPr>
              <w:t xml:space="preserve"> 4,</w:t>
            </w:r>
            <w:r w:rsidRPr="00D96063">
              <w:rPr>
                <w:sz w:val="16"/>
                <w:szCs w:val="16"/>
              </w:rPr>
              <w:t>000</w:t>
            </w:r>
          </w:p>
        </w:tc>
        <w:tc>
          <w:tcPr>
            <w:tcW w:w="1022" w:type="pct"/>
            <w:noWrap/>
            <w:hideMark/>
          </w:tcPr>
          <w:p w14:paraId="3DC7A255" w14:textId="77777777" w:rsidR="00C15F2E" w:rsidRPr="00D96063" w:rsidRDefault="00C15F2E" w:rsidP="00053198">
            <w:pPr>
              <w:spacing w:line="276" w:lineRule="auto"/>
              <w:ind w:right="624"/>
              <w:jc w:val="right"/>
              <w:rPr>
                <w:rFonts w:eastAsia="Times New Roman" w:cs="Calibri"/>
                <w:sz w:val="16"/>
                <w:szCs w:val="16"/>
              </w:rPr>
            </w:pPr>
            <w:r w:rsidRPr="00D96063">
              <w:rPr>
                <w:rFonts w:eastAsia="Times New Roman" w:cs="Calibri"/>
                <w:sz w:val="16"/>
                <w:szCs w:val="16"/>
              </w:rPr>
              <w:t xml:space="preserve">140 </w:t>
            </w:r>
          </w:p>
        </w:tc>
        <w:tc>
          <w:tcPr>
            <w:tcW w:w="1072" w:type="pct"/>
            <w:noWrap/>
            <w:hideMark/>
          </w:tcPr>
          <w:p w14:paraId="2EAB63AF" w14:textId="77777777" w:rsidR="00C15F2E" w:rsidRPr="00D96063" w:rsidRDefault="00C15F2E" w:rsidP="002C1DC3">
            <w:pPr>
              <w:spacing w:line="276" w:lineRule="auto"/>
              <w:ind w:right="680"/>
              <w:jc w:val="right"/>
              <w:rPr>
                <w:rFonts w:eastAsia="Times New Roman" w:cs="Calibri"/>
                <w:sz w:val="16"/>
                <w:szCs w:val="16"/>
              </w:rPr>
            </w:pPr>
            <w:r w:rsidRPr="00D96063">
              <w:rPr>
                <w:rFonts w:eastAsia="Times New Roman" w:cs="Calibri"/>
                <w:sz w:val="16"/>
                <w:szCs w:val="16"/>
              </w:rPr>
              <w:t>140</w:t>
            </w:r>
          </w:p>
        </w:tc>
      </w:tr>
      <w:tr w:rsidR="00C15F2E" w:rsidRPr="00D96063" w14:paraId="42763A38" w14:textId="77777777" w:rsidTr="00053198">
        <w:trPr>
          <w:cnfStyle w:val="000000010000" w:firstRow="0" w:lastRow="0" w:firstColumn="0" w:lastColumn="0" w:oddVBand="0" w:evenVBand="0" w:oddHBand="0" w:evenHBand="1" w:firstRowFirstColumn="0" w:firstRowLastColumn="0" w:lastRowFirstColumn="0" w:lastRowLastColumn="0"/>
          <w:trHeight w:val="274"/>
        </w:trPr>
        <w:tc>
          <w:tcPr>
            <w:tcW w:w="1098" w:type="pct"/>
            <w:noWrap/>
            <w:hideMark/>
          </w:tcPr>
          <w:p w14:paraId="4A13EC5E" w14:textId="77777777" w:rsidR="00C15F2E" w:rsidRPr="00D96063" w:rsidRDefault="00C15F2E" w:rsidP="00053198">
            <w:pPr>
              <w:spacing w:line="276" w:lineRule="auto"/>
              <w:jc w:val="left"/>
              <w:rPr>
                <w:rFonts w:eastAsia="Times New Roman" w:cs="Calibri"/>
                <w:sz w:val="16"/>
                <w:szCs w:val="16"/>
              </w:rPr>
            </w:pPr>
            <w:r w:rsidRPr="00D96063">
              <w:rPr>
                <w:rFonts w:eastAsia="Times New Roman" w:cs="Calibri"/>
                <w:sz w:val="16"/>
                <w:szCs w:val="16"/>
              </w:rPr>
              <w:t>Beans</w:t>
            </w:r>
          </w:p>
        </w:tc>
        <w:tc>
          <w:tcPr>
            <w:tcW w:w="1808" w:type="pct"/>
            <w:hideMark/>
          </w:tcPr>
          <w:p w14:paraId="795FABE9" w14:textId="77777777" w:rsidR="00C15F2E" w:rsidRPr="00D96063" w:rsidRDefault="00C15F2E" w:rsidP="002C1DC3">
            <w:pPr>
              <w:spacing w:line="276" w:lineRule="auto"/>
              <w:ind w:right="1191"/>
              <w:jc w:val="right"/>
              <w:rPr>
                <w:rFonts w:eastAsia="Times New Roman" w:cs="Calibri"/>
                <w:sz w:val="16"/>
                <w:szCs w:val="16"/>
              </w:rPr>
            </w:pPr>
            <w:r w:rsidRPr="00D96063">
              <w:rPr>
                <w:rFonts w:eastAsia="Times New Roman" w:cs="Calibri"/>
                <w:sz w:val="16"/>
                <w:szCs w:val="16"/>
              </w:rPr>
              <w:t>12,000</w:t>
            </w:r>
          </w:p>
        </w:tc>
        <w:tc>
          <w:tcPr>
            <w:tcW w:w="1022" w:type="pct"/>
            <w:noWrap/>
            <w:hideMark/>
          </w:tcPr>
          <w:p w14:paraId="66530918" w14:textId="77777777" w:rsidR="00C15F2E" w:rsidRPr="00D96063" w:rsidRDefault="00C15F2E" w:rsidP="00053198">
            <w:pPr>
              <w:spacing w:line="276" w:lineRule="auto"/>
              <w:ind w:right="624"/>
              <w:jc w:val="right"/>
              <w:rPr>
                <w:rFonts w:eastAsia="Times New Roman" w:cs="Calibri"/>
                <w:sz w:val="16"/>
                <w:szCs w:val="16"/>
              </w:rPr>
            </w:pPr>
            <w:r w:rsidRPr="00D96063">
              <w:rPr>
                <w:rFonts w:eastAsia="Times New Roman" w:cs="Calibri"/>
                <w:sz w:val="16"/>
                <w:szCs w:val="16"/>
              </w:rPr>
              <w:t xml:space="preserve">250 </w:t>
            </w:r>
          </w:p>
        </w:tc>
        <w:tc>
          <w:tcPr>
            <w:tcW w:w="1072" w:type="pct"/>
            <w:noWrap/>
            <w:hideMark/>
          </w:tcPr>
          <w:p w14:paraId="1A90DCE0" w14:textId="77777777" w:rsidR="00C15F2E" w:rsidRPr="00D96063" w:rsidRDefault="00C15F2E" w:rsidP="002C1DC3">
            <w:pPr>
              <w:spacing w:line="276" w:lineRule="auto"/>
              <w:ind w:right="680"/>
              <w:jc w:val="right"/>
              <w:rPr>
                <w:rFonts w:eastAsia="Times New Roman" w:cs="Calibri"/>
                <w:sz w:val="16"/>
                <w:szCs w:val="16"/>
              </w:rPr>
            </w:pPr>
            <w:r w:rsidRPr="00D96063">
              <w:rPr>
                <w:rFonts w:eastAsia="Times New Roman" w:cs="Calibri"/>
                <w:sz w:val="16"/>
                <w:szCs w:val="16"/>
              </w:rPr>
              <w:t xml:space="preserve"> 250 </w:t>
            </w:r>
          </w:p>
        </w:tc>
      </w:tr>
      <w:tr w:rsidR="00C15F2E" w:rsidRPr="00D96063" w14:paraId="18C1F222" w14:textId="77777777" w:rsidTr="00053198">
        <w:trPr>
          <w:trHeight w:val="80"/>
        </w:trPr>
        <w:tc>
          <w:tcPr>
            <w:tcW w:w="1098" w:type="pct"/>
            <w:noWrap/>
            <w:hideMark/>
          </w:tcPr>
          <w:p w14:paraId="4CA43CB3" w14:textId="14BA86D7" w:rsidR="00C15F2E" w:rsidRPr="00D96063" w:rsidRDefault="00C15F2E" w:rsidP="00053198">
            <w:pPr>
              <w:spacing w:line="276" w:lineRule="auto"/>
              <w:jc w:val="left"/>
              <w:rPr>
                <w:rFonts w:eastAsia="Times New Roman" w:cs="Calibri"/>
                <w:sz w:val="16"/>
                <w:szCs w:val="16"/>
              </w:rPr>
            </w:pPr>
            <w:r w:rsidRPr="00D96063">
              <w:rPr>
                <w:rFonts w:eastAsia="Times New Roman" w:cs="Calibri"/>
                <w:sz w:val="16"/>
                <w:szCs w:val="16"/>
              </w:rPr>
              <w:t>Peanut</w:t>
            </w:r>
            <w:r w:rsidR="002B2174">
              <w:rPr>
                <w:rFonts w:eastAsia="Times New Roman" w:cs="Calibri"/>
                <w:sz w:val="16"/>
                <w:szCs w:val="16"/>
              </w:rPr>
              <w:t>s</w:t>
            </w:r>
          </w:p>
        </w:tc>
        <w:tc>
          <w:tcPr>
            <w:tcW w:w="1808" w:type="pct"/>
            <w:hideMark/>
          </w:tcPr>
          <w:p w14:paraId="53B98E5F" w14:textId="77777777" w:rsidR="00C15F2E" w:rsidRPr="00D96063" w:rsidRDefault="00C15F2E" w:rsidP="002C1DC3">
            <w:pPr>
              <w:spacing w:line="276" w:lineRule="auto"/>
              <w:ind w:right="1191"/>
              <w:jc w:val="right"/>
              <w:rPr>
                <w:rFonts w:eastAsia="Times New Roman" w:cs="Calibri"/>
                <w:sz w:val="16"/>
                <w:szCs w:val="16"/>
              </w:rPr>
            </w:pPr>
            <w:r w:rsidRPr="00D96063">
              <w:rPr>
                <w:rFonts w:eastAsia="Times New Roman" w:cs="Calibri"/>
                <w:sz w:val="16"/>
                <w:szCs w:val="16"/>
              </w:rPr>
              <w:t>6,400</w:t>
            </w:r>
          </w:p>
        </w:tc>
        <w:tc>
          <w:tcPr>
            <w:tcW w:w="1022" w:type="pct"/>
            <w:noWrap/>
            <w:hideMark/>
          </w:tcPr>
          <w:p w14:paraId="1097A935" w14:textId="77777777" w:rsidR="00C15F2E" w:rsidRPr="00D96063" w:rsidRDefault="00C15F2E" w:rsidP="00053198">
            <w:pPr>
              <w:spacing w:line="276" w:lineRule="auto"/>
              <w:ind w:right="624"/>
              <w:jc w:val="right"/>
              <w:rPr>
                <w:rFonts w:eastAsia="Times New Roman" w:cs="Calibri"/>
                <w:sz w:val="16"/>
                <w:szCs w:val="16"/>
              </w:rPr>
            </w:pPr>
            <w:r w:rsidRPr="00D96063">
              <w:rPr>
                <w:rFonts w:eastAsia="Times New Roman" w:cs="Calibri"/>
                <w:sz w:val="16"/>
                <w:szCs w:val="16"/>
              </w:rPr>
              <w:t xml:space="preserve">210 </w:t>
            </w:r>
          </w:p>
        </w:tc>
        <w:tc>
          <w:tcPr>
            <w:tcW w:w="1072" w:type="pct"/>
            <w:noWrap/>
            <w:hideMark/>
          </w:tcPr>
          <w:p w14:paraId="25430FCD" w14:textId="77777777" w:rsidR="00C15F2E" w:rsidRPr="00D96063" w:rsidRDefault="00C15F2E" w:rsidP="002C1DC3">
            <w:pPr>
              <w:spacing w:line="276" w:lineRule="auto"/>
              <w:ind w:right="680"/>
              <w:jc w:val="right"/>
              <w:rPr>
                <w:rFonts w:eastAsia="Times New Roman" w:cs="Calibri"/>
                <w:sz w:val="16"/>
                <w:szCs w:val="16"/>
              </w:rPr>
            </w:pPr>
            <w:r w:rsidRPr="00D96063">
              <w:rPr>
                <w:rFonts w:eastAsia="Times New Roman" w:cs="Calibri"/>
                <w:sz w:val="16"/>
                <w:szCs w:val="16"/>
              </w:rPr>
              <w:t xml:space="preserve">255 </w:t>
            </w:r>
          </w:p>
        </w:tc>
      </w:tr>
      <w:tr w:rsidR="00C15F2E" w:rsidRPr="00D96063" w14:paraId="4AFEB805" w14:textId="77777777" w:rsidTr="00053198">
        <w:trPr>
          <w:cnfStyle w:val="000000010000" w:firstRow="0" w:lastRow="0" w:firstColumn="0" w:lastColumn="0" w:oddVBand="0" w:evenVBand="0" w:oddHBand="0" w:evenHBand="1" w:firstRowFirstColumn="0" w:firstRowLastColumn="0" w:lastRowFirstColumn="0" w:lastRowLastColumn="0"/>
          <w:trHeight w:val="274"/>
        </w:trPr>
        <w:tc>
          <w:tcPr>
            <w:tcW w:w="1098" w:type="pct"/>
            <w:noWrap/>
            <w:hideMark/>
          </w:tcPr>
          <w:p w14:paraId="6372C0D7" w14:textId="77777777" w:rsidR="00C15F2E" w:rsidRPr="00D96063" w:rsidRDefault="00C15F2E" w:rsidP="00053198">
            <w:pPr>
              <w:spacing w:line="276" w:lineRule="auto"/>
              <w:jc w:val="left"/>
              <w:rPr>
                <w:rFonts w:eastAsia="Times New Roman" w:cs="Calibri"/>
                <w:b/>
                <w:bCs/>
                <w:sz w:val="16"/>
                <w:szCs w:val="16"/>
              </w:rPr>
            </w:pPr>
            <w:r w:rsidRPr="00D96063">
              <w:rPr>
                <w:rFonts w:eastAsia="Times New Roman" w:cs="Calibri"/>
                <w:b/>
                <w:bCs/>
                <w:sz w:val="16"/>
                <w:szCs w:val="16"/>
              </w:rPr>
              <w:t>Total</w:t>
            </w:r>
          </w:p>
        </w:tc>
        <w:tc>
          <w:tcPr>
            <w:tcW w:w="1808" w:type="pct"/>
            <w:hideMark/>
          </w:tcPr>
          <w:p w14:paraId="445CE4AD" w14:textId="77777777" w:rsidR="00C15F2E" w:rsidRPr="00D96063" w:rsidRDefault="00C15F2E" w:rsidP="002C1DC3">
            <w:pPr>
              <w:spacing w:line="276" w:lineRule="auto"/>
              <w:ind w:right="1191"/>
              <w:jc w:val="right"/>
              <w:rPr>
                <w:rFonts w:eastAsia="Times New Roman" w:cs="Calibri"/>
                <w:b/>
                <w:bCs/>
                <w:sz w:val="16"/>
                <w:szCs w:val="16"/>
              </w:rPr>
            </w:pPr>
            <w:r w:rsidRPr="00D96063">
              <w:rPr>
                <w:rFonts w:eastAsia="Times New Roman" w:cs="Calibri"/>
                <w:b/>
                <w:bCs/>
                <w:sz w:val="16"/>
                <w:szCs w:val="16"/>
              </w:rPr>
              <w:t>78,768</w:t>
            </w:r>
          </w:p>
        </w:tc>
        <w:tc>
          <w:tcPr>
            <w:tcW w:w="1022" w:type="pct"/>
            <w:noWrap/>
            <w:hideMark/>
          </w:tcPr>
          <w:p w14:paraId="3ABDA241" w14:textId="63EED445" w:rsidR="00C15F2E" w:rsidRPr="00D96063" w:rsidRDefault="00C15F2E" w:rsidP="00053198">
            <w:pPr>
              <w:spacing w:line="276" w:lineRule="auto"/>
              <w:ind w:right="624"/>
              <w:jc w:val="right"/>
              <w:rPr>
                <w:rFonts w:eastAsia="Times New Roman" w:cs="Calibri"/>
                <w:sz w:val="16"/>
                <w:szCs w:val="16"/>
              </w:rPr>
            </w:pPr>
          </w:p>
        </w:tc>
        <w:tc>
          <w:tcPr>
            <w:tcW w:w="1072" w:type="pct"/>
            <w:noWrap/>
            <w:hideMark/>
          </w:tcPr>
          <w:p w14:paraId="1806768D" w14:textId="77777777" w:rsidR="00C15F2E" w:rsidRPr="00D96063" w:rsidRDefault="00C15F2E" w:rsidP="002C1DC3">
            <w:pPr>
              <w:spacing w:line="276" w:lineRule="auto"/>
              <w:ind w:right="680"/>
              <w:jc w:val="right"/>
              <w:rPr>
                <w:rFonts w:eastAsia="Times New Roman" w:cs="Calibri"/>
                <w:sz w:val="16"/>
                <w:szCs w:val="16"/>
              </w:rPr>
            </w:pPr>
          </w:p>
        </w:tc>
      </w:tr>
    </w:tbl>
    <w:p w14:paraId="28E66585" w14:textId="77777777" w:rsidR="00C15F2E" w:rsidRPr="00D96063" w:rsidRDefault="00C15F2E" w:rsidP="00D868BF">
      <w:pPr>
        <w:pStyle w:val="NoteText"/>
        <w:spacing w:before="120" w:after="240"/>
        <w:rPr>
          <w:sz w:val="18"/>
        </w:rPr>
      </w:pPr>
      <w:r w:rsidRPr="00D96063">
        <w:t>Source:</w:t>
      </w:r>
      <w:r w:rsidRPr="00D96063">
        <w:tab/>
        <w:t>Information provided by the authorities.</w:t>
      </w:r>
    </w:p>
    <w:p w14:paraId="29D160A8" w14:textId="77777777" w:rsidR="00C15F2E" w:rsidRPr="00D96063" w:rsidRDefault="00C15F2E" w:rsidP="00D868BF">
      <w:pPr>
        <w:pStyle w:val="BodyText"/>
      </w:pPr>
      <w:r w:rsidRPr="00D96063">
        <w:t>The livestock support programme (Rearing for Food and Jobs) was launched in June 2019. The instruments used include distribution of improved breeds to livestock farmers (sheep, goats, pigs, cockerels, and guinea fowls); distribution of improved breeding stock to livestock breeding stations; improvements in infrastructure; support to animal health (e.g. production and procurement of vaccines, disease control, construction of veterinary clinics and laboratories, and rehabilitation of quarantine stations).</w:t>
      </w:r>
    </w:p>
    <w:p w14:paraId="6075CF7E" w14:textId="77777777" w:rsidR="00C15F2E" w:rsidRPr="00D96063" w:rsidRDefault="00C15F2E" w:rsidP="00D868BF">
      <w:pPr>
        <w:pStyle w:val="BodyText"/>
      </w:pPr>
      <w:r w:rsidRPr="00D96063">
        <w:t>The Greenhouse Villages module is aimed at promoting horticulture and encouraging non</w:t>
      </w:r>
      <w:r w:rsidRPr="00D96063">
        <w:noBreakHyphen/>
        <w:t>traditional exports. It consists mainly of three training centres with attached commercial plots, where private investors are encouraged to invest.</w:t>
      </w:r>
    </w:p>
    <w:p w14:paraId="22A5F309" w14:textId="77777777" w:rsidR="00C15F2E" w:rsidRPr="00D96063" w:rsidRDefault="00C15F2E" w:rsidP="00D868BF">
      <w:pPr>
        <w:pStyle w:val="BodyText"/>
      </w:pPr>
      <w:r w:rsidRPr="00D96063">
        <w:t xml:space="preserve">In 2019, Ghana passed the </w:t>
      </w:r>
      <w:bookmarkStart w:id="193" w:name="_Hlk100216463"/>
      <w:r w:rsidRPr="00D96063">
        <w:t xml:space="preserve">Tree Crops Development Authority Act, 2019 (Act 1010) </w:t>
      </w:r>
      <w:bookmarkEnd w:id="193"/>
      <w:r w:rsidRPr="00D96063">
        <w:t>in an effort to increase export earning of cashews, shea, mango, coconut, rubber, and oil palms. In 2020, a total of 11.7 million seedlings were to be distributed free of charge for the establishment of about 89 ha of new plantations in 212 project districts.</w:t>
      </w:r>
      <w:r w:rsidRPr="00D96063">
        <w:rPr>
          <w:rStyle w:val="FootnoteReference"/>
        </w:rPr>
        <w:footnoteReference w:id="126"/>
      </w:r>
    </w:p>
    <w:p w14:paraId="53696713" w14:textId="77777777" w:rsidR="00C15F2E" w:rsidRPr="00D96063" w:rsidRDefault="00C15F2E" w:rsidP="003758E5">
      <w:pPr>
        <w:pStyle w:val="Heading4"/>
        <w:numPr>
          <w:ilvl w:val="3"/>
          <w:numId w:val="18"/>
        </w:numPr>
      </w:pPr>
      <w:bookmarkStart w:id="194" w:name="_Toc103607712"/>
      <w:r w:rsidRPr="00D96063">
        <w:t>Export subsidies</w:t>
      </w:r>
      <w:bookmarkEnd w:id="194"/>
    </w:p>
    <w:p w14:paraId="0DA436B2" w14:textId="77777777" w:rsidR="00C15F2E" w:rsidRPr="00D96063" w:rsidRDefault="00C15F2E" w:rsidP="00D868BF">
      <w:pPr>
        <w:pStyle w:val="BodyText"/>
      </w:pPr>
      <w:r w:rsidRPr="00D96063">
        <w:t>Ghana does not provide any export subsidies for agricultural products, according to the authorities.</w:t>
      </w:r>
    </w:p>
    <w:p w14:paraId="6FD308A1" w14:textId="77777777" w:rsidR="00C15F2E" w:rsidRPr="00D96063" w:rsidRDefault="00C15F2E" w:rsidP="003758E5">
      <w:pPr>
        <w:pStyle w:val="Heading3"/>
        <w:numPr>
          <w:ilvl w:val="2"/>
          <w:numId w:val="18"/>
        </w:numPr>
      </w:pPr>
      <w:bookmarkStart w:id="195" w:name="_Toc103607713"/>
      <w:r w:rsidRPr="00D96063">
        <w:t>Cocoa</w:t>
      </w:r>
      <w:bookmarkEnd w:id="195"/>
    </w:p>
    <w:p w14:paraId="0DFEEAA6" w14:textId="77777777" w:rsidR="00C15F2E" w:rsidRPr="00D96063" w:rsidRDefault="00C15F2E" w:rsidP="00D868BF">
      <w:pPr>
        <w:pStyle w:val="BodyText"/>
      </w:pPr>
      <w:r w:rsidRPr="00D96063">
        <w:t>Cocoa is by far Ghana's most important crop in terms of its contribution to GDP. Production peaked in 2010/11 at about 1 million tonnes and has since stabilized at around 800,000</w:t>
      </w:r>
      <w:r w:rsidRPr="00D96063">
        <w:noBreakHyphen/>
        <w:t>900,000 tonnes (Table 4.1). Ghana is the second-most important producer and exporter after Côte d'Ivoire, accounting for about 17% of world supplies in 2014-19 (Table 4.1). Ghana's cocoa beans trade at a premium on world markets. This quality premium is achieved through a combination of on-farm and downstream interventions. Improved agronomic practices and spraying campaigns have been key factors in boosting cocoa production. However, yields are</w:t>
      </w:r>
      <w:r w:rsidRPr="00D96063">
        <w:rPr>
          <w:rFonts w:eastAsia="Calibri" w:cs="Calibri"/>
        </w:rPr>
        <w:t xml:space="preserve"> low by international comparison.</w:t>
      </w:r>
      <w:r w:rsidRPr="00D96063">
        <w:rPr>
          <w:rStyle w:val="FootnoteReference"/>
          <w:rFonts w:eastAsia="Calibri" w:cs="Calibri"/>
        </w:rPr>
        <w:footnoteReference w:id="127"/>
      </w:r>
      <w:r w:rsidRPr="00D96063">
        <w:rPr>
          <w:rFonts w:eastAsia="Calibri" w:cs="Calibri"/>
        </w:rPr>
        <w:t xml:space="preserve"> </w:t>
      </w:r>
      <w:r w:rsidRPr="00D96063">
        <w:t xml:space="preserve">Fluctuations in cocoa production have mainly been caused by irregular rainfall and, in some cases, plant diseases, such as an outbreak of </w:t>
      </w:r>
      <w:r w:rsidRPr="00D96063">
        <w:rPr>
          <w:rFonts w:eastAsia="Calibri" w:cs="Calibri"/>
        </w:rPr>
        <w:t xml:space="preserve">Cocoa Swollen Shoot Virus Disease in 2018-19. </w:t>
      </w:r>
      <w:r w:rsidRPr="00D96063">
        <w:t>Also, cocoa has been one of the main crops driving the deforestation in the high forest zone and the loss in soil fertility when virgin forests are cultivated ("forest rent approach" to cocoa farming).</w:t>
      </w:r>
    </w:p>
    <w:p w14:paraId="077C93FC" w14:textId="77777777" w:rsidR="00C15F2E" w:rsidRPr="00D96063" w:rsidRDefault="00C15F2E" w:rsidP="00D868BF">
      <w:pPr>
        <w:pStyle w:val="BodyText"/>
      </w:pPr>
      <w:r w:rsidRPr="00D96063">
        <w:t>Cocoa marketing and pricing are regulated by the state-owned COCOBOD. Since 1984, COCOBOD has the mandate</w:t>
      </w:r>
      <w:r w:rsidRPr="00D96063">
        <w:rPr>
          <w:color w:val="FF0000"/>
        </w:rPr>
        <w:t xml:space="preserve"> </w:t>
      </w:r>
      <w:r w:rsidRPr="00D96063">
        <w:t xml:space="preserve">to: (i) purchase, market, and export all cocoa produced in Ghana; and (ii) establish or encourage the establishment of industrial facilities for the processing of cocoa and </w:t>
      </w:r>
      <w:r w:rsidRPr="00D96063">
        <w:lastRenderedPageBreak/>
        <w:t>cocoa waste into marketable cocoa products</w:t>
      </w:r>
      <w:r w:rsidRPr="00D96063">
        <w:rPr>
          <w:color w:val="000000" w:themeColor="text1"/>
        </w:rPr>
        <w:t>.</w:t>
      </w:r>
      <w:r w:rsidRPr="00D96063">
        <w:rPr>
          <w:rStyle w:val="FootnoteReference"/>
          <w:color w:val="000000" w:themeColor="text1"/>
        </w:rPr>
        <w:footnoteReference w:id="128"/>
      </w:r>
      <w:r w:rsidRPr="00D96063">
        <w:rPr>
          <w:color w:val="000000" w:themeColor="text1"/>
        </w:rPr>
        <w:t xml:space="preserve"> </w:t>
      </w:r>
      <w:r w:rsidRPr="00D96063">
        <w:t>COCOBOD has not yet been notified to the WTO as a state trading enterprise under Article XVII of the GATT 1994.</w:t>
      </w:r>
    </w:p>
    <w:p w14:paraId="5145EE6E" w14:textId="396ACB50" w:rsidR="00C15F2E" w:rsidRPr="00D96063" w:rsidRDefault="00C15F2E" w:rsidP="00D868BF">
      <w:pPr>
        <w:pStyle w:val="BodyText"/>
      </w:pPr>
      <w:r w:rsidRPr="00D96063">
        <w:t>COCOBOD is a semi-autonomous institution under the MOFA with some 8,000 staff; it consistently recorded an annual financial loss during the review period. Located in Accra with an office in London, the Cocoa Marketing Company (CMC) is a wholly owned subsidiary of COCOBOD with the sole responsibility to market cocoa beans to both local and foreign buyers. The CMC has monopoly rights over the export of all cocoa beans from Ghana. Cocoa exports revenue must be repatriated to Ghana (Section 3.2.2). There is no statutory tax on exports of cocoa beans.</w:t>
      </w:r>
    </w:p>
    <w:p w14:paraId="02D8E189" w14:textId="77777777" w:rsidR="00C15F2E" w:rsidRPr="00D96063" w:rsidRDefault="00C15F2E" w:rsidP="00D868BF">
      <w:pPr>
        <w:pStyle w:val="BodyText"/>
      </w:pPr>
      <w:r w:rsidRPr="00D96063">
        <w:t>The CMC generally sells the country's cocoa production forward on world markets. The minimum producer price of cocoa is set in Ghana cedis by the Producer Price Review Committee (PPRC) in October of each year and, in principle, for the entire season. Membership of the PPRC includes representatives of cocoa farmers, Licensed Buying Companies (LBCs), the CMC, COCOBOD, the BoG, the Ministry of Trade and Industry (MOTI), MOFA, and the Ministry of Finance. The minimum farmgate price is mandatory for buyers (LBCs) and applies to all cocoa farmers.</w:t>
      </w:r>
      <w:r w:rsidRPr="00D96063">
        <w:rPr>
          <w:b/>
          <w:bCs/>
        </w:rPr>
        <w:t xml:space="preserve"> </w:t>
      </w:r>
      <w:r w:rsidRPr="00D96063">
        <w:t>If the prices are lower than expected, and the Government revenues are below expectations, the Government takes the loss. According to the authorities, the current arrangements for determining producer prices ensure in principle that cocoa farmers receive at least 70% of the net f.o.b. price as determined by the PPRC. The remaining 30% is spent on support services to farmers or on general budgetary expenditure.</w:t>
      </w:r>
    </w:p>
    <w:p w14:paraId="5550E3A4" w14:textId="4B553646" w:rsidR="00C15F2E" w:rsidRPr="00D96063" w:rsidRDefault="00C15F2E" w:rsidP="00D868BF">
      <w:pPr>
        <w:pStyle w:val="BodyText"/>
        <w:rPr>
          <w:color w:val="000000" w:themeColor="text1"/>
        </w:rPr>
      </w:pPr>
      <w:r w:rsidRPr="00D96063">
        <w:t>Cocoa prices may contain an element of government support, as has been the case in recent years. It is government policy "to reward farmers with remunerative producer prices to ensure that farmlands are not diverted from cocoa".</w:t>
      </w:r>
      <w:r w:rsidRPr="00D96063">
        <w:rPr>
          <w:vertAlign w:val="superscript"/>
        </w:rPr>
        <w:footnoteReference w:id="129"/>
      </w:r>
      <w:r w:rsidRPr="00D96063">
        <w:t xml:space="preserve"> In the 2017/18 crop year, world market prices for cocoa beans dropped by about 30% and producer prices would have fallen accordingly without government intervention. The Government decided to maintain the farmgate price unchanged at GHS 7,600 per tonne for the season (Table 4.4) and to provide support of GHS 1,627 mi</w:t>
      </w:r>
      <w:r w:rsidR="00D43CFF" w:rsidRPr="00D96063">
        <w:t>llion (about USD 360 million)</w:t>
      </w:r>
      <w:r w:rsidRPr="00D96063">
        <w:t xml:space="preserve"> to compensate for the reduction in </w:t>
      </w:r>
      <w:r w:rsidRPr="00D96063">
        <w:rPr>
          <w:color w:val="000000" w:themeColor="text1"/>
        </w:rPr>
        <w:t>cocoa revenues.</w:t>
      </w:r>
      <w:r w:rsidRPr="00D96063">
        <w:rPr>
          <w:color w:val="000000" w:themeColor="text1"/>
          <w:vertAlign w:val="superscript"/>
        </w:rPr>
        <w:footnoteReference w:id="130"/>
      </w:r>
      <w:r w:rsidRPr="00D96063">
        <w:rPr>
          <w:color w:val="000000" w:themeColor="text1"/>
        </w:rPr>
        <w:t xml:space="preserve"> In the 2019/20 season, the farmgate price was fixed by the PPRC at GHS 10,560 per tonne (Table 4.4).</w:t>
      </w:r>
    </w:p>
    <w:p w14:paraId="1B39DE21" w14:textId="07F34C65" w:rsidR="00C15F2E" w:rsidRPr="00D96063" w:rsidRDefault="00C15F2E" w:rsidP="00D868BF">
      <w:pPr>
        <w:pStyle w:val="BodyText"/>
      </w:pPr>
      <w:r w:rsidRPr="00D96063">
        <w:t>In the 2020/21 crop season, the two leading cocoa producers Ghana and Côte</w:t>
      </w:r>
      <w:r w:rsidR="00DF07C6">
        <w:t> </w:t>
      </w:r>
      <w:r w:rsidRPr="00D96063">
        <w:t xml:space="preserve">d'Ivoire jointly introduced the so-called </w:t>
      </w:r>
      <w:r w:rsidR="00242C10">
        <w:t>l</w:t>
      </w:r>
      <w:r w:rsidRPr="00D96063">
        <w:t xml:space="preserve">iving </w:t>
      </w:r>
      <w:r w:rsidR="00242C10">
        <w:t>i</w:t>
      </w:r>
      <w:r w:rsidRPr="00D96063">
        <w:t xml:space="preserve">ncome </w:t>
      </w:r>
      <w:r w:rsidR="00242C10">
        <w:t>d</w:t>
      </w:r>
      <w:r w:rsidRPr="00D96063">
        <w:t>ifferential (LID). The LID is a premium of USD 400 per tonne charged to buyers on top of the (terminal) market price of cocoa beans; it applies to all cocoa contracts irrespective of the (terminal) market price. According to the authorities, the rationale of the LID is to close the gap between the global value of cocoa received by the chocolate industry and what is received by cocoa farmers; and to increase the income of cocoa farmers, contributing to improved living standards of cocoa farmers and their households. The authorities have stated that the full amount of the LID is paid directly to farmers. The implementation of the LID is to help Ghana and Côte</w:t>
      </w:r>
      <w:r w:rsidR="00DF07C6">
        <w:t> </w:t>
      </w:r>
      <w:r w:rsidRPr="00D96063">
        <w:t>d'Ivoire achieve a minimum fob price of USD 2,600 per tonne which reflects farmers' average cost of production. In 2020/21, COCOBOD realized a fob price of USD 2,589 per tonne, and Ghana's farmgate price was 71% of that fob price, or GHS 10,560 per tonne (an increase of 28% compared with 2018/19, Table 4.4). The LID mechanism includes the establishment of a stabilization fund, to which contributions will be paid when fob prices exceed USD 2,900 per tonne. The stabilization fund will be drawn to augment producer price when the terminal price achieved is below the critical level of USD 2,200 per tonne.</w:t>
      </w:r>
      <w:r w:rsidRPr="00D96063">
        <w:rPr>
          <w:rStyle w:val="FootnoteReference"/>
          <w:color w:val="000000" w:themeColor="text1"/>
        </w:rPr>
        <w:footnoteReference w:id="131"/>
      </w:r>
      <w:bookmarkStart w:id="196" w:name="_Hlk95395580"/>
    </w:p>
    <w:p w14:paraId="160B506A" w14:textId="65CC4F64" w:rsidR="00C15F2E" w:rsidRPr="00D96063" w:rsidRDefault="00C15F2E" w:rsidP="00D868BF">
      <w:pPr>
        <w:pStyle w:val="Caption"/>
        <w:rPr>
          <w:b w:val="0"/>
          <w:bCs w:val="0"/>
          <w:sz w:val="16"/>
          <w:szCs w:val="16"/>
        </w:rPr>
      </w:pPr>
      <w:bookmarkStart w:id="197" w:name="_Toc103607900"/>
      <w:r w:rsidRPr="00D96063">
        <w:lastRenderedPageBreak/>
        <w:t xml:space="preserve">Table </w:t>
      </w:r>
      <w:fldSimple w:instr=" STYLEREF 1 \s ">
        <w:r w:rsidR="004B63B1">
          <w:rPr>
            <w:noProof/>
          </w:rPr>
          <w:t>4</w:t>
        </w:r>
      </w:fldSimple>
      <w:r w:rsidR="00BF3184">
        <w:t>.</w:t>
      </w:r>
      <w:fldSimple w:instr=" SEQ Table \* ARABIC \s 1 ">
        <w:r w:rsidR="004B63B1">
          <w:rPr>
            <w:noProof/>
          </w:rPr>
          <w:t>4</w:t>
        </w:r>
      </w:fldSimple>
      <w:r w:rsidRPr="00D96063">
        <w:t xml:space="preserve"> Production and exports of cocoa beans, 2014-21</w:t>
      </w:r>
      <w:bookmarkEnd w:id="197"/>
    </w:p>
    <w:p w14:paraId="4B189D5E" w14:textId="77777777" w:rsidR="00C15F2E" w:rsidRPr="00D96063" w:rsidRDefault="00C15F2E" w:rsidP="00D868BF">
      <w:pPr>
        <w:keepNext/>
        <w:keepLines/>
        <w:tabs>
          <w:tab w:val="left" w:pos="851"/>
        </w:tabs>
        <w:jc w:val="left"/>
        <w:rPr>
          <w:rFonts w:eastAsia="Calibri" w:cs="Times New Roman"/>
          <w:sz w:val="16"/>
        </w:rPr>
      </w:pPr>
      <w:r w:rsidRPr="00D96063">
        <w:rPr>
          <w:rFonts w:eastAsia="Calibri" w:cs="Times New Roman"/>
          <w:sz w:val="16"/>
        </w:rPr>
        <w:t>(Tonnes, unless otherwise specified)</w:t>
      </w:r>
    </w:p>
    <w:tbl>
      <w:tblPr>
        <w:tblStyle w:val="WTOTable1"/>
        <w:tblW w:w="5000" w:type="pct"/>
        <w:tblLook w:val="01E0" w:firstRow="1" w:lastRow="1" w:firstColumn="1" w:lastColumn="1" w:noHBand="0" w:noVBand="0"/>
      </w:tblPr>
      <w:tblGrid>
        <w:gridCol w:w="1085"/>
        <w:gridCol w:w="1252"/>
        <w:gridCol w:w="1409"/>
        <w:gridCol w:w="1102"/>
        <w:gridCol w:w="1408"/>
        <w:gridCol w:w="1096"/>
        <w:gridCol w:w="1664"/>
      </w:tblGrid>
      <w:tr w:rsidR="00242C10" w:rsidRPr="00D96063" w14:paraId="3B788D29" w14:textId="77777777" w:rsidTr="00053198">
        <w:trPr>
          <w:cnfStyle w:val="100000000000" w:firstRow="1" w:lastRow="0" w:firstColumn="0" w:lastColumn="0" w:oddVBand="0" w:evenVBand="0" w:oddHBand="0" w:evenHBand="0" w:firstRowFirstColumn="0" w:firstRowLastColumn="0" w:lastRowFirstColumn="0" w:lastRowLastColumn="0"/>
        </w:trPr>
        <w:tc>
          <w:tcPr>
            <w:tcW w:w="601" w:type="pct"/>
          </w:tcPr>
          <w:p w14:paraId="0A59F518" w14:textId="77777777" w:rsidR="00C15F2E" w:rsidRPr="00D96063" w:rsidRDefault="00C15F2E" w:rsidP="00053198">
            <w:pPr>
              <w:keepNext/>
              <w:keepLines/>
              <w:spacing w:before="60" w:after="60"/>
              <w:jc w:val="left"/>
              <w:rPr>
                <w:b w:val="0"/>
                <w:sz w:val="16"/>
                <w:szCs w:val="16"/>
              </w:rPr>
            </w:pPr>
          </w:p>
        </w:tc>
        <w:tc>
          <w:tcPr>
            <w:tcW w:w="694" w:type="pct"/>
            <w:hideMark/>
          </w:tcPr>
          <w:p w14:paraId="381C5A4F" w14:textId="77777777" w:rsidR="00C15F2E" w:rsidRPr="00D96063" w:rsidRDefault="00C15F2E" w:rsidP="00053198">
            <w:pPr>
              <w:keepNext/>
              <w:keepLines/>
              <w:spacing w:before="60" w:after="60"/>
              <w:jc w:val="center"/>
              <w:rPr>
                <w:bCs/>
                <w:sz w:val="16"/>
                <w:szCs w:val="16"/>
              </w:rPr>
            </w:pPr>
            <w:r w:rsidRPr="00D96063">
              <w:rPr>
                <w:bCs/>
                <w:sz w:val="16"/>
                <w:szCs w:val="16"/>
              </w:rPr>
              <w:t>Production</w:t>
            </w:r>
          </w:p>
        </w:tc>
        <w:tc>
          <w:tcPr>
            <w:tcW w:w="781" w:type="pct"/>
            <w:hideMark/>
          </w:tcPr>
          <w:p w14:paraId="32C15234" w14:textId="77777777" w:rsidR="00C15F2E" w:rsidRPr="00D96063" w:rsidRDefault="00C15F2E" w:rsidP="004C2148">
            <w:pPr>
              <w:keepNext/>
              <w:keepLines/>
              <w:spacing w:before="60" w:after="60"/>
              <w:jc w:val="center"/>
              <w:rPr>
                <w:bCs/>
                <w:sz w:val="16"/>
                <w:szCs w:val="16"/>
              </w:rPr>
            </w:pPr>
            <w:r w:rsidRPr="00D96063">
              <w:rPr>
                <w:bCs/>
                <w:sz w:val="16"/>
                <w:szCs w:val="16"/>
              </w:rPr>
              <w:t>Exports</w:t>
            </w:r>
          </w:p>
        </w:tc>
        <w:tc>
          <w:tcPr>
            <w:tcW w:w="611" w:type="pct"/>
            <w:hideMark/>
          </w:tcPr>
          <w:p w14:paraId="3D7B7600" w14:textId="77777777" w:rsidR="00C15F2E" w:rsidRPr="00D96063" w:rsidRDefault="00C15F2E" w:rsidP="00053198">
            <w:pPr>
              <w:keepNext/>
              <w:keepLines/>
              <w:spacing w:before="60" w:after="60"/>
              <w:jc w:val="center"/>
              <w:rPr>
                <w:bCs/>
                <w:sz w:val="16"/>
                <w:szCs w:val="16"/>
              </w:rPr>
            </w:pPr>
            <w:r w:rsidRPr="00D96063">
              <w:rPr>
                <w:bCs/>
                <w:sz w:val="16"/>
                <w:szCs w:val="16"/>
              </w:rPr>
              <w:t>Farmgate price (GHS)</w:t>
            </w:r>
          </w:p>
        </w:tc>
        <w:tc>
          <w:tcPr>
            <w:tcW w:w="781" w:type="pct"/>
            <w:hideMark/>
          </w:tcPr>
          <w:p w14:paraId="446AA110" w14:textId="77777777" w:rsidR="00C15F2E" w:rsidRPr="00D96063" w:rsidRDefault="00C15F2E" w:rsidP="00053198">
            <w:pPr>
              <w:keepNext/>
              <w:keepLines/>
              <w:spacing w:before="60" w:after="60"/>
              <w:jc w:val="center"/>
              <w:rPr>
                <w:bCs/>
                <w:sz w:val="16"/>
                <w:szCs w:val="16"/>
              </w:rPr>
            </w:pPr>
            <w:r w:rsidRPr="00D96063">
              <w:rPr>
                <w:bCs/>
                <w:sz w:val="16"/>
                <w:szCs w:val="16"/>
              </w:rPr>
              <w:t>Farmgate price in % of average sales price</w:t>
            </w:r>
          </w:p>
        </w:tc>
        <w:tc>
          <w:tcPr>
            <w:tcW w:w="608" w:type="pct"/>
            <w:hideMark/>
          </w:tcPr>
          <w:p w14:paraId="49B1AC18" w14:textId="77777777" w:rsidR="00C15F2E" w:rsidRPr="00D96063" w:rsidRDefault="00C15F2E" w:rsidP="00053198">
            <w:pPr>
              <w:keepNext/>
              <w:keepLines/>
              <w:spacing w:before="60" w:after="60"/>
              <w:jc w:val="center"/>
              <w:rPr>
                <w:bCs/>
                <w:sz w:val="16"/>
                <w:szCs w:val="16"/>
              </w:rPr>
            </w:pPr>
            <w:r w:rsidRPr="00D96063">
              <w:rPr>
                <w:bCs/>
                <w:sz w:val="16"/>
                <w:szCs w:val="16"/>
              </w:rPr>
              <w:t>Average sales price (USD)</w:t>
            </w:r>
          </w:p>
        </w:tc>
        <w:tc>
          <w:tcPr>
            <w:tcW w:w="923" w:type="pct"/>
            <w:hideMark/>
          </w:tcPr>
          <w:p w14:paraId="4023E0EC" w14:textId="2F927D8D" w:rsidR="00C15F2E" w:rsidRPr="00D96063" w:rsidRDefault="00C15F2E" w:rsidP="00053198">
            <w:pPr>
              <w:keepNext/>
              <w:keepLines/>
              <w:spacing w:before="60" w:after="60"/>
              <w:jc w:val="center"/>
              <w:rPr>
                <w:bCs/>
                <w:sz w:val="16"/>
                <w:szCs w:val="16"/>
              </w:rPr>
            </w:pPr>
            <w:r w:rsidRPr="00D96063">
              <w:rPr>
                <w:bCs/>
                <w:sz w:val="16"/>
                <w:szCs w:val="16"/>
              </w:rPr>
              <w:t>F.o.b. export value</w:t>
            </w:r>
            <w:r w:rsidRPr="00D96063">
              <w:rPr>
                <w:bCs/>
                <w:sz w:val="16"/>
                <w:szCs w:val="16"/>
              </w:rPr>
              <w:br/>
              <w:t>(</w:t>
            </w:r>
            <w:r w:rsidR="00E66257">
              <w:rPr>
                <w:bCs/>
                <w:sz w:val="16"/>
                <w:szCs w:val="16"/>
              </w:rPr>
              <w:t xml:space="preserve">USD </w:t>
            </w:r>
            <w:r w:rsidR="00242C10">
              <w:rPr>
                <w:bCs/>
                <w:sz w:val="16"/>
                <w:szCs w:val="16"/>
              </w:rPr>
              <w:t>'000</w:t>
            </w:r>
            <w:r w:rsidRPr="00D96063">
              <w:rPr>
                <w:bCs/>
                <w:sz w:val="16"/>
                <w:szCs w:val="16"/>
              </w:rPr>
              <w:t>)</w:t>
            </w:r>
          </w:p>
        </w:tc>
      </w:tr>
      <w:tr w:rsidR="00242C10" w:rsidRPr="00D96063" w14:paraId="597059F9" w14:textId="77777777" w:rsidTr="00053198">
        <w:tc>
          <w:tcPr>
            <w:tcW w:w="601" w:type="pct"/>
            <w:hideMark/>
          </w:tcPr>
          <w:p w14:paraId="1ACC260E" w14:textId="77777777" w:rsidR="00C15F2E" w:rsidRPr="00D96063" w:rsidRDefault="00C15F2E" w:rsidP="00053198">
            <w:pPr>
              <w:spacing w:before="30" w:after="30"/>
              <w:jc w:val="left"/>
              <w:rPr>
                <w:sz w:val="16"/>
                <w:szCs w:val="16"/>
              </w:rPr>
            </w:pPr>
            <w:r w:rsidRPr="00D96063">
              <w:rPr>
                <w:sz w:val="16"/>
                <w:szCs w:val="16"/>
              </w:rPr>
              <w:t>2014/15</w:t>
            </w:r>
          </w:p>
        </w:tc>
        <w:tc>
          <w:tcPr>
            <w:tcW w:w="694" w:type="pct"/>
          </w:tcPr>
          <w:p w14:paraId="24DC977E" w14:textId="77777777" w:rsidR="00C15F2E" w:rsidRPr="00D96063" w:rsidRDefault="00C15F2E" w:rsidP="00053198">
            <w:pPr>
              <w:spacing w:before="30" w:after="30"/>
              <w:ind w:right="57"/>
              <w:jc w:val="right"/>
              <w:rPr>
                <w:sz w:val="16"/>
                <w:szCs w:val="16"/>
              </w:rPr>
            </w:pPr>
            <w:r w:rsidRPr="00D96063">
              <w:rPr>
                <w:sz w:val="16"/>
                <w:szCs w:val="16"/>
              </w:rPr>
              <w:t>740,254</w:t>
            </w:r>
          </w:p>
        </w:tc>
        <w:tc>
          <w:tcPr>
            <w:tcW w:w="781" w:type="pct"/>
          </w:tcPr>
          <w:p w14:paraId="3DAC7D4A" w14:textId="77777777" w:rsidR="00C15F2E" w:rsidRPr="00D96063" w:rsidRDefault="00C15F2E" w:rsidP="00053198">
            <w:pPr>
              <w:spacing w:before="30" w:after="30"/>
              <w:ind w:right="57"/>
              <w:jc w:val="right"/>
              <w:rPr>
                <w:sz w:val="16"/>
                <w:szCs w:val="16"/>
              </w:rPr>
            </w:pPr>
            <w:r w:rsidRPr="00D96063">
              <w:rPr>
                <w:sz w:val="16"/>
                <w:szCs w:val="16"/>
              </w:rPr>
              <w:t>644,000</w:t>
            </w:r>
          </w:p>
        </w:tc>
        <w:tc>
          <w:tcPr>
            <w:tcW w:w="611" w:type="pct"/>
          </w:tcPr>
          <w:p w14:paraId="1D4F426C" w14:textId="77777777" w:rsidR="00C15F2E" w:rsidRPr="00D96063" w:rsidRDefault="00C15F2E" w:rsidP="00053198">
            <w:pPr>
              <w:spacing w:before="30" w:after="30"/>
              <w:ind w:right="57"/>
              <w:jc w:val="right"/>
              <w:rPr>
                <w:sz w:val="16"/>
                <w:szCs w:val="16"/>
              </w:rPr>
            </w:pPr>
            <w:r w:rsidRPr="00D96063">
              <w:rPr>
                <w:sz w:val="16"/>
                <w:szCs w:val="16"/>
              </w:rPr>
              <w:t>5,600</w:t>
            </w:r>
          </w:p>
        </w:tc>
        <w:tc>
          <w:tcPr>
            <w:tcW w:w="781" w:type="pct"/>
          </w:tcPr>
          <w:p w14:paraId="04B3E81A" w14:textId="77777777" w:rsidR="00C15F2E" w:rsidRPr="00D96063" w:rsidRDefault="00C15F2E" w:rsidP="002C1DC3">
            <w:pPr>
              <w:spacing w:before="30" w:after="30"/>
              <w:ind w:right="340"/>
              <w:jc w:val="right"/>
              <w:rPr>
                <w:sz w:val="16"/>
                <w:szCs w:val="16"/>
              </w:rPr>
            </w:pPr>
            <w:r w:rsidRPr="00D96063">
              <w:rPr>
                <w:sz w:val="16"/>
                <w:szCs w:val="16"/>
              </w:rPr>
              <w:t xml:space="preserve"> 63.4 </w:t>
            </w:r>
          </w:p>
        </w:tc>
        <w:tc>
          <w:tcPr>
            <w:tcW w:w="608" w:type="pct"/>
          </w:tcPr>
          <w:p w14:paraId="04DBF023" w14:textId="77777777" w:rsidR="00C15F2E" w:rsidRPr="00D96063" w:rsidRDefault="00C15F2E" w:rsidP="002C1DC3">
            <w:pPr>
              <w:spacing w:before="30" w:after="30"/>
              <w:ind w:right="170"/>
              <w:jc w:val="right"/>
              <w:rPr>
                <w:sz w:val="16"/>
                <w:szCs w:val="16"/>
              </w:rPr>
            </w:pPr>
            <w:r w:rsidRPr="00D96063">
              <w:rPr>
                <w:sz w:val="16"/>
                <w:szCs w:val="16"/>
              </w:rPr>
              <w:t>2,760</w:t>
            </w:r>
          </w:p>
        </w:tc>
        <w:tc>
          <w:tcPr>
            <w:tcW w:w="923" w:type="pct"/>
          </w:tcPr>
          <w:p w14:paraId="04981528" w14:textId="77777777" w:rsidR="00C15F2E" w:rsidRPr="00D96063" w:rsidRDefault="00C15F2E" w:rsidP="002C1DC3">
            <w:pPr>
              <w:spacing w:before="30" w:after="30"/>
              <w:ind w:right="284"/>
              <w:jc w:val="right"/>
              <w:rPr>
                <w:sz w:val="16"/>
                <w:szCs w:val="16"/>
              </w:rPr>
            </w:pPr>
            <w:r w:rsidRPr="00D96063">
              <w:rPr>
                <w:sz w:val="16"/>
                <w:szCs w:val="16"/>
              </w:rPr>
              <w:t>1,777,440</w:t>
            </w:r>
          </w:p>
        </w:tc>
      </w:tr>
      <w:tr w:rsidR="00242C10" w:rsidRPr="00D96063" w14:paraId="672A23E1" w14:textId="77777777" w:rsidTr="00053198">
        <w:trPr>
          <w:cnfStyle w:val="000000010000" w:firstRow="0" w:lastRow="0" w:firstColumn="0" w:lastColumn="0" w:oddVBand="0" w:evenVBand="0" w:oddHBand="0" w:evenHBand="1" w:firstRowFirstColumn="0" w:firstRowLastColumn="0" w:lastRowFirstColumn="0" w:lastRowLastColumn="0"/>
          <w:trHeight w:val="60"/>
        </w:trPr>
        <w:tc>
          <w:tcPr>
            <w:tcW w:w="601" w:type="pct"/>
            <w:hideMark/>
          </w:tcPr>
          <w:p w14:paraId="4638995F" w14:textId="77777777" w:rsidR="00C15F2E" w:rsidRPr="00D96063" w:rsidRDefault="00C15F2E" w:rsidP="00053198">
            <w:pPr>
              <w:spacing w:before="30" w:after="30"/>
              <w:jc w:val="left"/>
              <w:rPr>
                <w:sz w:val="16"/>
                <w:szCs w:val="16"/>
              </w:rPr>
            </w:pPr>
            <w:r w:rsidRPr="00D96063">
              <w:rPr>
                <w:sz w:val="16"/>
                <w:szCs w:val="16"/>
              </w:rPr>
              <w:t>2015/16</w:t>
            </w:r>
          </w:p>
        </w:tc>
        <w:tc>
          <w:tcPr>
            <w:tcW w:w="694" w:type="pct"/>
          </w:tcPr>
          <w:p w14:paraId="0460AB48" w14:textId="77777777" w:rsidR="00C15F2E" w:rsidRPr="00D96063" w:rsidRDefault="00C15F2E" w:rsidP="00053198">
            <w:pPr>
              <w:spacing w:before="30" w:after="30"/>
              <w:ind w:right="57"/>
              <w:jc w:val="right"/>
              <w:rPr>
                <w:sz w:val="16"/>
                <w:szCs w:val="16"/>
              </w:rPr>
            </w:pPr>
            <w:r w:rsidRPr="00D96063">
              <w:rPr>
                <w:sz w:val="16"/>
                <w:szCs w:val="16"/>
              </w:rPr>
              <w:t>778,043</w:t>
            </w:r>
          </w:p>
        </w:tc>
        <w:tc>
          <w:tcPr>
            <w:tcW w:w="781" w:type="pct"/>
          </w:tcPr>
          <w:p w14:paraId="0B978D80" w14:textId="77777777" w:rsidR="00C15F2E" w:rsidRPr="00D96063" w:rsidRDefault="00C15F2E" w:rsidP="00053198">
            <w:pPr>
              <w:spacing w:before="30" w:after="30"/>
              <w:ind w:right="57"/>
              <w:jc w:val="right"/>
              <w:rPr>
                <w:sz w:val="16"/>
                <w:szCs w:val="16"/>
              </w:rPr>
            </w:pPr>
            <w:r w:rsidRPr="00D96063">
              <w:rPr>
                <w:sz w:val="16"/>
                <w:szCs w:val="16"/>
              </w:rPr>
              <w:t>625,000</w:t>
            </w:r>
          </w:p>
        </w:tc>
        <w:tc>
          <w:tcPr>
            <w:tcW w:w="611" w:type="pct"/>
          </w:tcPr>
          <w:p w14:paraId="501C1EA6" w14:textId="77777777" w:rsidR="00C15F2E" w:rsidRPr="00D96063" w:rsidRDefault="00C15F2E" w:rsidP="00053198">
            <w:pPr>
              <w:spacing w:before="30" w:after="30"/>
              <w:ind w:right="57"/>
              <w:jc w:val="right"/>
              <w:rPr>
                <w:sz w:val="16"/>
                <w:szCs w:val="16"/>
              </w:rPr>
            </w:pPr>
            <w:r w:rsidRPr="00D96063">
              <w:rPr>
                <w:sz w:val="16"/>
                <w:szCs w:val="16"/>
              </w:rPr>
              <w:t>6,800</w:t>
            </w:r>
          </w:p>
        </w:tc>
        <w:tc>
          <w:tcPr>
            <w:tcW w:w="781" w:type="pct"/>
          </w:tcPr>
          <w:p w14:paraId="61D09427" w14:textId="77777777" w:rsidR="00C15F2E" w:rsidRPr="00D96063" w:rsidRDefault="00C15F2E" w:rsidP="002C1DC3">
            <w:pPr>
              <w:spacing w:before="30" w:after="30"/>
              <w:ind w:right="340"/>
              <w:jc w:val="right"/>
              <w:rPr>
                <w:sz w:val="16"/>
                <w:szCs w:val="16"/>
              </w:rPr>
            </w:pPr>
            <w:r w:rsidRPr="00D96063">
              <w:rPr>
                <w:sz w:val="16"/>
                <w:szCs w:val="16"/>
              </w:rPr>
              <w:t xml:space="preserve"> 61.7 </w:t>
            </w:r>
          </w:p>
        </w:tc>
        <w:tc>
          <w:tcPr>
            <w:tcW w:w="608" w:type="pct"/>
          </w:tcPr>
          <w:p w14:paraId="19D091CF" w14:textId="77777777" w:rsidR="00C15F2E" w:rsidRPr="00D96063" w:rsidRDefault="00C15F2E" w:rsidP="002C1DC3">
            <w:pPr>
              <w:spacing w:before="30" w:after="30"/>
              <w:ind w:right="170"/>
              <w:jc w:val="right"/>
              <w:rPr>
                <w:sz w:val="16"/>
                <w:szCs w:val="16"/>
              </w:rPr>
            </w:pPr>
            <w:r w:rsidRPr="00D96063">
              <w:rPr>
                <w:sz w:val="16"/>
                <w:szCs w:val="16"/>
              </w:rPr>
              <w:t>2,900</w:t>
            </w:r>
          </w:p>
        </w:tc>
        <w:tc>
          <w:tcPr>
            <w:tcW w:w="923" w:type="pct"/>
          </w:tcPr>
          <w:p w14:paraId="71766C6A" w14:textId="77777777" w:rsidR="00C15F2E" w:rsidRPr="00D96063" w:rsidRDefault="00C15F2E" w:rsidP="002C1DC3">
            <w:pPr>
              <w:spacing w:before="30" w:after="30"/>
              <w:ind w:right="284"/>
              <w:jc w:val="right"/>
              <w:rPr>
                <w:sz w:val="16"/>
                <w:szCs w:val="16"/>
              </w:rPr>
            </w:pPr>
            <w:r w:rsidRPr="00D96063">
              <w:rPr>
                <w:sz w:val="16"/>
                <w:szCs w:val="16"/>
              </w:rPr>
              <w:t xml:space="preserve">1,812,500 </w:t>
            </w:r>
          </w:p>
        </w:tc>
      </w:tr>
      <w:tr w:rsidR="00242C10" w:rsidRPr="00D96063" w14:paraId="21C194F0" w14:textId="77777777" w:rsidTr="00053198">
        <w:tc>
          <w:tcPr>
            <w:tcW w:w="601" w:type="pct"/>
            <w:hideMark/>
          </w:tcPr>
          <w:p w14:paraId="56AF54DD" w14:textId="77777777" w:rsidR="00C15F2E" w:rsidRPr="00D96063" w:rsidRDefault="00C15F2E" w:rsidP="00053198">
            <w:pPr>
              <w:spacing w:before="30" w:after="30"/>
              <w:jc w:val="left"/>
              <w:rPr>
                <w:sz w:val="16"/>
                <w:szCs w:val="16"/>
              </w:rPr>
            </w:pPr>
            <w:r w:rsidRPr="00D96063">
              <w:rPr>
                <w:sz w:val="16"/>
                <w:szCs w:val="16"/>
              </w:rPr>
              <w:t>2016/17</w:t>
            </w:r>
          </w:p>
        </w:tc>
        <w:tc>
          <w:tcPr>
            <w:tcW w:w="694" w:type="pct"/>
            <w:hideMark/>
          </w:tcPr>
          <w:p w14:paraId="1F57923B" w14:textId="77777777" w:rsidR="00C15F2E" w:rsidRPr="00D96063" w:rsidRDefault="00C15F2E" w:rsidP="00053198">
            <w:pPr>
              <w:spacing w:before="30" w:after="30"/>
              <w:ind w:right="57"/>
              <w:jc w:val="right"/>
              <w:rPr>
                <w:sz w:val="16"/>
                <w:szCs w:val="16"/>
              </w:rPr>
            </w:pPr>
            <w:r w:rsidRPr="00D96063">
              <w:rPr>
                <w:sz w:val="16"/>
                <w:szCs w:val="16"/>
              </w:rPr>
              <w:t>969,511</w:t>
            </w:r>
          </w:p>
        </w:tc>
        <w:tc>
          <w:tcPr>
            <w:tcW w:w="781" w:type="pct"/>
          </w:tcPr>
          <w:p w14:paraId="7D91A324" w14:textId="77777777" w:rsidR="00C15F2E" w:rsidRPr="00D96063" w:rsidRDefault="00C15F2E" w:rsidP="00053198">
            <w:pPr>
              <w:spacing w:before="30" w:after="30"/>
              <w:ind w:right="57"/>
              <w:jc w:val="right"/>
              <w:rPr>
                <w:sz w:val="16"/>
                <w:szCs w:val="16"/>
              </w:rPr>
            </w:pPr>
            <w:r w:rsidRPr="00D96063">
              <w:rPr>
                <w:sz w:val="16"/>
                <w:szCs w:val="16"/>
              </w:rPr>
              <w:t xml:space="preserve">721,000 </w:t>
            </w:r>
          </w:p>
        </w:tc>
        <w:tc>
          <w:tcPr>
            <w:tcW w:w="611" w:type="pct"/>
            <w:hideMark/>
          </w:tcPr>
          <w:p w14:paraId="572CA7BE" w14:textId="77777777" w:rsidR="00C15F2E" w:rsidRPr="00D96063" w:rsidRDefault="00C15F2E" w:rsidP="00053198">
            <w:pPr>
              <w:spacing w:before="30" w:after="30"/>
              <w:ind w:right="57"/>
              <w:jc w:val="right"/>
              <w:rPr>
                <w:sz w:val="16"/>
                <w:szCs w:val="16"/>
              </w:rPr>
            </w:pPr>
            <w:r w:rsidRPr="00D96063">
              <w:rPr>
                <w:sz w:val="16"/>
                <w:szCs w:val="16"/>
              </w:rPr>
              <w:t>7,600</w:t>
            </w:r>
          </w:p>
        </w:tc>
        <w:tc>
          <w:tcPr>
            <w:tcW w:w="781" w:type="pct"/>
          </w:tcPr>
          <w:p w14:paraId="672C140A" w14:textId="77777777" w:rsidR="00C15F2E" w:rsidRPr="00D96063" w:rsidRDefault="00C15F2E" w:rsidP="002C1DC3">
            <w:pPr>
              <w:spacing w:before="30" w:after="30"/>
              <w:ind w:right="340"/>
              <w:jc w:val="right"/>
              <w:rPr>
                <w:sz w:val="16"/>
                <w:szCs w:val="16"/>
              </w:rPr>
            </w:pPr>
            <w:r w:rsidRPr="00D96063">
              <w:rPr>
                <w:sz w:val="16"/>
                <w:szCs w:val="16"/>
              </w:rPr>
              <w:t xml:space="preserve"> 71.8 </w:t>
            </w:r>
          </w:p>
        </w:tc>
        <w:tc>
          <w:tcPr>
            <w:tcW w:w="608" w:type="pct"/>
            <w:hideMark/>
          </w:tcPr>
          <w:p w14:paraId="2109B2AE" w14:textId="77777777" w:rsidR="00C15F2E" w:rsidRPr="00D96063" w:rsidRDefault="00C15F2E" w:rsidP="002C1DC3">
            <w:pPr>
              <w:spacing w:before="30" w:after="30"/>
              <w:ind w:right="170"/>
              <w:jc w:val="right"/>
              <w:rPr>
                <w:sz w:val="16"/>
                <w:szCs w:val="16"/>
              </w:rPr>
            </w:pPr>
            <w:r w:rsidRPr="00D96063">
              <w:rPr>
                <w:sz w:val="16"/>
                <w:szCs w:val="16"/>
              </w:rPr>
              <w:t>2,678</w:t>
            </w:r>
          </w:p>
        </w:tc>
        <w:tc>
          <w:tcPr>
            <w:tcW w:w="923" w:type="pct"/>
          </w:tcPr>
          <w:p w14:paraId="0C187808" w14:textId="77777777" w:rsidR="00C15F2E" w:rsidRPr="00D96063" w:rsidRDefault="00C15F2E" w:rsidP="002C1DC3">
            <w:pPr>
              <w:spacing w:before="30" w:after="30"/>
              <w:ind w:right="284"/>
              <w:jc w:val="right"/>
              <w:rPr>
                <w:sz w:val="16"/>
                <w:szCs w:val="16"/>
              </w:rPr>
            </w:pPr>
            <w:r w:rsidRPr="00D96063">
              <w:rPr>
                <w:sz w:val="16"/>
                <w:szCs w:val="16"/>
              </w:rPr>
              <w:t xml:space="preserve">1,930,838 </w:t>
            </w:r>
          </w:p>
        </w:tc>
      </w:tr>
      <w:tr w:rsidR="00242C10" w:rsidRPr="00D96063" w14:paraId="60635D5A" w14:textId="77777777" w:rsidTr="00053198">
        <w:trPr>
          <w:cnfStyle w:val="000000010000" w:firstRow="0" w:lastRow="0" w:firstColumn="0" w:lastColumn="0" w:oddVBand="0" w:evenVBand="0" w:oddHBand="0" w:evenHBand="1" w:firstRowFirstColumn="0" w:firstRowLastColumn="0" w:lastRowFirstColumn="0" w:lastRowLastColumn="0"/>
        </w:trPr>
        <w:tc>
          <w:tcPr>
            <w:tcW w:w="601" w:type="pct"/>
            <w:hideMark/>
          </w:tcPr>
          <w:p w14:paraId="1A7B8059" w14:textId="77777777" w:rsidR="00C15F2E" w:rsidRPr="00D96063" w:rsidRDefault="00C15F2E" w:rsidP="00053198">
            <w:pPr>
              <w:spacing w:before="30" w:after="30"/>
              <w:jc w:val="left"/>
              <w:rPr>
                <w:sz w:val="16"/>
                <w:szCs w:val="16"/>
              </w:rPr>
            </w:pPr>
            <w:r w:rsidRPr="00D96063">
              <w:rPr>
                <w:sz w:val="16"/>
                <w:szCs w:val="16"/>
              </w:rPr>
              <w:t>2017/18</w:t>
            </w:r>
          </w:p>
        </w:tc>
        <w:tc>
          <w:tcPr>
            <w:tcW w:w="694" w:type="pct"/>
            <w:hideMark/>
          </w:tcPr>
          <w:p w14:paraId="0EF7A2E9" w14:textId="77777777" w:rsidR="00C15F2E" w:rsidRPr="00D96063" w:rsidRDefault="00C15F2E" w:rsidP="00053198">
            <w:pPr>
              <w:spacing w:before="30" w:after="30"/>
              <w:ind w:right="57"/>
              <w:jc w:val="right"/>
              <w:rPr>
                <w:sz w:val="16"/>
                <w:szCs w:val="16"/>
              </w:rPr>
            </w:pPr>
            <w:r w:rsidRPr="00D96063">
              <w:rPr>
                <w:sz w:val="16"/>
                <w:szCs w:val="16"/>
              </w:rPr>
              <w:t>904,740</w:t>
            </w:r>
          </w:p>
        </w:tc>
        <w:tc>
          <w:tcPr>
            <w:tcW w:w="781" w:type="pct"/>
            <w:hideMark/>
          </w:tcPr>
          <w:p w14:paraId="4D31908C" w14:textId="77777777" w:rsidR="00C15F2E" w:rsidRPr="00D96063" w:rsidRDefault="00C15F2E" w:rsidP="00053198">
            <w:pPr>
              <w:spacing w:before="30" w:after="30"/>
              <w:ind w:right="57"/>
              <w:jc w:val="right"/>
              <w:rPr>
                <w:sz w:val="16"/>
                <w:szCs w:val="16"/>
              </w:rPr>
            </w:pPr>
            <w:r w:rsidRPr="00D96063">
              <w:rPr>
                <w:sz w:val="16"/>
                <w:szCs w:val="16"/>
              </w:rPr>
              <w:t xml:space="preserve">829,771 </w:t>
            </w:r>
          </w:p>
        </w:tc>
        <w:tc>
          <w:tcPr>
            <w:tcW w:w="611" w:type="pct"/>
            <w:hideMark/>
          </w:tcPr>
          <w:p w14:paraId="018324C7" w14:textId="77777777" w:rsidR="00C15F2E" w:rsidRPr="00D96063" w:rsidRDefault="00C15F2E" w:rsidP="00053198">
            <w:pPr>
              <w:spacing w:before="30" w:after="30"/>
              <w:ind w:right="57"/>
              <w:jc w:val="right"/>
              <w:rPr>
                <w:sz w:val="16"/>
                <w:szCs w:val="16"/>
              </w:rPr>
            </w:pPr>
            <w:r w:rsidRPr="00D96063">
              <w:rPr>
                <w:sz w:val="16"/>
                <w:szCs w:val="16"/>
              </w:rPr>
              <w:t>7,600</w:t>
            </w:r>
          </w:p>
        </w:tc>
        <w:tc>
          <w:tcPr>
            <w:tcW w:w="781" w:type="pct"/>
          </w:tcPr>
          <w:p w14:paraId="1F269892" w14:textId="77777777" w:rsidR="00C15F2E" w:rsidRPr="00D96063" w:rsidRDefault="00C15F2E" w:rsidP="002C1DC3">
            <w:pPr>
              <w:spacing w:before="30" w:after="30"/>
              <w:ind w:right="340"/>
              <w:jc w:val="right"/>
              <w:rPr>
                <w:sz w:val="16"/>
                <w:szCs w:val="16"/>
              </w:rPr>
            </w:pPr>
            <w:r w:rsidRPr="00D96063">
              <w:rPr>
                <w:sz w:val="16"/>
                <w:szCs w:val="16"/>
              </w:rPr>
              <w:t xml:space="preserve"> 80.3 </w:t>
            </w:r>
          </w:p>
        </w:tc>
        <w:tc>
          <w:tcPr>
            <w:tcW w:w="608" w:type="pct"/>
            <w:hideMark/>
          </w:tcPr>
          <w:p w14:paraId="26B7EE4F" w14:textId="77777777" w:rsidR="00C15F2E" w:rsidRPr="00D96063" w:rsidRDefault="00C15F2E" w:rsidP="002C1DC3">
            <w:pPr>
              <w:spacing w:before="30" w:after="30"/>
              <w:ind w:right="170"/>
              <w:jc w:val="right"/>
              <w:rPr>
                <w:sz w:val="16"/>
                <w:szCs w:val="16"/>
              </w:rPr>
            </w:pPr>
            <w:r w:rsidRPr="00D96063">
              <w:rPr>
                <w:sz w:val="16"/>
                <w:szCs w:val="16"/>
              </w:rPr>
              <w:t>2,152</w:t>
            </w:r>
          </w:p>
        </w:tc>
        <w:tc>
          <w:tcPr>
            <w:tcW w:w="923" w:type="pct"/>
            <w:hideMark/>
          </w:tcPr>
          <w:p w14:paraId="793E26CC" w14:textId="77777777" w:rsidR="00C15F2E" w:rsidRPr="00D96063" w:rsidRDefault="00C15F2E" w:rsidP="002C1DC3">
            <w:pPr>
              <w:spacing w:before="30" w:after="30"/>
              <w:ind w:right="284"/>
              <w:jc w:val="right"/>
              <w:rPr>
                <w:sz w:val="16"/>
                <w:szCs w:val="16"/>
              </w:rPr>
            </w:pPr>
            <w:r w:rsidRPr="00D96063">
              <w:rPr>
                <w:sz w:val="16"/>
                <w:szCs w:val="16"/>
              </w:rPr>
              <w:t xml:space="preserve">1,785,667 </w:t>
            </w:r>
          </w:p>
        </w:tc>
      </w:tr>
      <w:tr w:rsidR="00242C10" w:rsidRPr="00D96063" w14:paraId="3B68D897" w14:textId="77777777" w:rsidTr="00053198">
        <w:tc>
          <w:tcPr>
            <w:tcW w:w="601" w:type="pct"/>
            <w:hideMark/>
          </w:tcPr>
          <w:p w14:paraId="5F0123E1" w14:textId="77777777" w:rsidR="00C15F2E" w:rsidRPr="00D96063" w:rsidRDefault="00C15F2E" w:rsidP="00053198">
            <w:pPr>
              <w:spacing w:before="30" w:after="30"/>
              <w:jc w:val="left"/>
              <w:rPr>
                <w:sz w:val="16"/>
                <w:szCs w:val="16"/>
              </w:rPr>
            </w:pPr>
            <w:r w:rsidRPr="00D96063">
              <w:rPr>
                <w:sz w:val="16"/>
                <w:szCs w:val="16"/>
              </w:rPr>
              <w:t>2018/19</w:t>
            </w:r>
          </w:p>
        </w:tc>
        <w:tc>
          <w:tcPr>
            <w:tcW w:w="694" w:type="pct"/>
            <w:hideMark/>
          </w:tcPr>
          <w:p w14:paraId="49CA54F1" w14:textId="77777777" w:rsidR="00C15F2E" w:rsidRPr="00D96063" w:rsidRDefault="00C15F2E" w:rsidP="00053198">
            <w:pPr>
              <w:spacing w:before="30" w:after="30"/>
              <w:ind w:right="57"/>
              <w:jc w:val="right"/>
              <w:rPr>
                <w:sz w:val="16"/>
                <w:szCs w:val="16"/>
              </w:rPr>
            </w:pPr>
            <w:r w:rsidRPr="00D96063">
              <w:rPr>
                <w:sz w:val="16"/>
                <w:szCs w:val="16"/>
              </w:rPr>
              <w:t>811,747</w:t>
            </w:r>
          </w:p>
        </w:tc>
        <w:tc>
          <w:tcPr>
            <w:tcW w:w="781" w:type="pct"/>
          </w:tcPr>
          <w:p w14:paraId="72297219" w14:textId="77777777" w:rsidR="00C15F2E" w:rsidRPr="00D96063" w:rsidRDefault="00C15F2E" w:rsidP="00053198">
            <w:pPr>
              <w:spacing w:before="30" w:after="30"/>
              <w:ind w:right="57"/>
              <w:jc w:val="right"/>
              <w:rPr>
                <w:sz w:val="16"/>
                <w:szCs w:val="16"/>
              </w:rPr>
            </w:pPr>
            <w:r w:rsidRPr="00D96063">
              <w:rPr>
                <w:sz w:val="16"/>
                <w:szCs w:val="16"/>
              </w:rPr>
              <w:t xml:space="preserve">678,957 </w:t>
            </w:r>
          </w:p>
        </w:tc>
        <w:tc>
          <w:tcPr>
            <w:tcW w:w="611" w:type="pct"/>
            <w:hideMark/>
          </w:tcPr>
          <w:p w14:paraId="3B0B0D09" w14:textId="77777777" w:rsidR="00C15F2E" w:rsidRPr="00D96063" w:rsidRDefault="00C15F2E" w:rsidP="00053198">
            <w:pPr>
              <w:spacing w:before="30" w:after="30"/>
              <w:ind w:right="57"/>
              <w:jc w:val="right"/>
              <w:rPr>
                <w:sz w:val="16"/>
                <w:szCs w:val="16"/>
              </w:rPr>
            </w:pPr>
            <w:r w:rsidRPr="00D96063">
              <w:rPr>
                <w:sz w:val="16"/>
                <w:szCs w:val="16"/>
              </w:rPr>
              <w:t>8,240</w:t>
            </w:r>
          </w:p>
        </w:tc>
        <w:tc>
          <w:tcPr>
            <w:tcW w:w="781" w:type="pct"/>
          </w:tcPr>
          <w:p w14:paraId="31FFF819" w14:textId="77777777" w:rsidR="00C15F2E" w:rsidRPr="00D96063" w:rsidRDefault="00C15F2E" w:rsidP="002C1DC3">
            <w:pPr>
              <w:spacing w:before="30" w:after="30"/>
              <w:ind w:right="340"/>
              <w:jc w:val="right"/>
              <w:rPr>
                <w:sz w:val="16"/>
                <w:szCs w:val="16"/>
              </w:rPr>
            </w:pPr>
            <w:r w:rsidRPr="00D96063">
              <w:rPr>
                <w:sz w:val="16"/>
                <w:szCs w:val="16"/>
              </w:rPr>
              <w:t xml:space="preserve"> 72.8 </w:t>
            </w:r>
          </w:p>
        </w:tc>
        <w:tc>
          <w:tcPr>
            <w:tcW w:w="608" w:type="pct"/>
            <w:hideMark/>
          </w:tcPr>
          <w:p w14:paraId="43DDAB27" w14:textId="77777777" w:rsidR="00C15F2E" w:rsidRPr="00D96063" w:rsidRDefault="00C15F2E" w:rsidP="002C1DC3">
            <w:pPr>
              <w:spacing w:before="30" w:after="30"/>
              <w:ind w:right="170"/>
              <w:jc w:val="right"/>
              <w:rPr>
                <w:sz w:val="16"/>
                <w:szCs w:val="16"/>
              </w:rPr>
            </w:pPr>
            <w:r w:rsidRPr="00D96063">
              <w:rPr>
                <w:sz w:val="16"/>
                <w:szCs w:val="16"/>
              </w:rPr>
              <w:t>2,265</w:t>
            </w:r>
          </w:p>
        </w:tc>
        <w:tc>
          <w:tcPr>
            <w:tcW w:w="923" w:type="pct"/>
          </w:tcPr>
          <w:p w14:paraId="29FBC95E" w14:textId="77777777" w:rsidR="00C15F2E" w:rsidRPr="00D96063" w:rsidRDefault="00C15F2E" w:rsidP="002C1DC3">
            <w:pPr>
              <w:spacing w:before="30" w:after="30"/>
              <w:ind w:right="284"/>
              <w:jc w:val="right"/>
              <w:rPr>
                <w:sz w:val="16"/>
                <w:szCs w:val="16"/>
              </w:rPr>
            </w:pPr>
            <w:r w:rsidRPr="00D96063">
              <w:rPr>
                <w:sz w:val="16"/>
                <w:szCs w:val="16"/>
              </w:rPr>
              <w:t>1,537,838</w:t>
            </w:r>
          </w:p>
        </w:tc>
      </w:tr>
      <w:tr w:rsidR="00242C10" w:rsidRPr="00D96063" w14:paraId="1DD00889" w14:textId="77777777" w:rsidTr="00053198">
        <w:trPr>
          <w:cnfStyle w:val="000000010000" w:firstRow="0" w:lastRow="0" w:firstColumn="0" w:lastColumn="0" w:oddVBand="0" w:evenVBand="0" w:oddHBand="0" w:evenHBand="1" w:firstRowFirstColumn="0" w:firstRowLastColumn="0" w:lastRowFirstColumn="0" w:lastRowLastColumn="0"/>
        </w:trPr>
        <w:tc>
          <w:tcPr>
            <w:tcW w:w="601" w:type="pct"/>
            <w:hideMark/>
          </w:tcPr>
          <w:p w14:paraId="4049F099" w14:textId="77777777" w:rsidR="00C15F2E" w:rsidRPr="00D96063" w:rsidRDefault="00C15F2E" w:rsidP="00053198">
            <w:pPr>
              <w:spacing w:before="30" w:after="30"/>
              <w:jc w:val="left"/>
              <w:rPr>
                <w:sz w:val="16"/>
                <w:szCs w:val="16"/>
              </w:rPr>
            </w:pPr>
            <w:r w:rsidRPr="00D96063">
              <w:rPr>
                <w:sz w:val="16"/>
                <w:szCs w:val="16"/>
              </w:rPr>
              <w:t>2019/20</w:t>
            </w:r>
          </w:p>
        </w:tc>
        <w:tc>
          <w:tcPr>
            <w:tcW w:w="694" w:type="pct"/>
          </w:tcPr>
          <w:p w14:paraId="6F9FEBF4" w14:textId="77777777" w:rsidR="00C15F2E" w:rsidRPr="00D96063" w:rsidRDefault="00C15F2E" w:rsidP="00053198">
            <w:pPr>
              <w:spacing w:before="30" w:after="30"/>
              <w:ind w:right="57"/>
              <w:jc w:val="right"/>
              <w:rPr>
                <w:sz w:val="16"/>
                <w:szCs w:val="16"/>
              </w:rPr>
            </w:pPr>
            <w:r w:rsidRPr="00D96063">
              <w:rPr>
                <w:sz w:val="16"/>
                <w:szCs w:val="16"/>
              </w:rPr>
              <w:t>770,694</w:t>
            </w:r>
          </w:p>
        </w:tc>
        <w:tc>
          <w:tcPr>
            <w:tcW w:w="781" w:type="pct"/>
          </w:tcPr>
          <w:p w14:paraId="652BEFB1" w14:textId="77777777" w:rsidR="00C15F2E" w:rsidRPr="00D96063" w:rsidRDefault="00C15F2E" w:rsidP="00053198">
            <w:pPr>
              <w:spacing w:before="30" w:after="30"/>
              <w:ind w:right="57"/>
              <w:jc w:val="right"/>
              <w:rPr>
                <w:sz w:val="16"/>
                <w:szCs w:val="16"/>
              </w:rPr>
            </w:pPr>
            <w:r w:rsidRPr="00D96063">
              <w:rPr>
                <w:sz w:val="16"/>
                <w:szCs w:val="16"/>
              </w:rPr>
              <w:t xml:space="preserve">668,647 </w:t>
            </w:r>
          </w:p>
        </w:tc>
        <w:tc>
          <w:tcPr>
            <w:tcW w:w="611" w:type="pct"/>
          </w:tcPr>
          <w:p w14:paraId="61974379" w14:textId="77777777" w:rsidR="00C15F2E" w:rsidRPr="00D96063" w:rsidRDefault="00C15F2E" w:rsidP="00053198">
            <w:pPr>
              <w:spacing w:before="30" w:after="30"/>
              <w:ind w:right="57"/>
              <w:jc w:val="right"/>
              <w:rPr>
                <w:sz w:val="16"/>
                <w:szCs w:val="16"/>
              </w:rPr>
            </w:pPr>
            <w:r w:rsidRPr="00D96063">
              <w:rPr>
                <w:sz w:val="16"/>
                <w:szCs w:val="16"/>
              </w:rPr>
              <w:t>10,560</w:t>
            </w:r>
          </w:p>
        </w:tc>
        <w:tc>
          <w:tcPr>
            <w:tcW w:w="781" w:type="pct"/>
          </w:tcPr>
          <w:p w14:paraId="03046190" w14:textId="77777777" w:rsidR="00C15F2E" w:rsidRPr="00D96063" w:rsidRDefault="00C15F2E" w:rsidP="002C1DC3">
            <w:pPr>
              <w:spacing w:before="30" w:after="30"/>
              <w:ind w:right="340"/>
              <w:jc w:val="right"/>
              <w:rPr>
                <w:sz w:val="16"/>
                <w:szCs w:val="16"/>
              </w:rPr>
            </w:pPr>
            <w:r w:rsidRPr="00D96063">
              <w:rPr>
                <w:sz w:val="16"/>
                <w:szCs w:val="16"/>
              </w:rPr>
              <w:t xml:space="preserve"> 78.9 </w:t>
            </w:r>
          </w:p>
        </w:tc>
        <w:tc>
          <w:tcPr>
            <w:tcW w:w="608" w:type="pct"/>
          </w:tcPr>
          <w:p w14:paraId="5A1F744E" w14:textId="77777777" w:rsidR="00C15F2E" w:rsidRPr="00D96063" w:rsidRDefault="00C15F2E" w:rsidP="002C1DC3">
            <w:pPr>
              <w:spacing w:before="30" w:after="30"/>
              <w:ind w:right="170"/>
              <w:jc w:val="right"/>
              <w:rPr>
                <w:sz w:val="16"/>
                <w:szCs w:val="16"/>
              </w:rPr>
            </w:pPr>
            <w:r w:rsidRPr="00D96063">
              <w:rPr>
                <w:sz w:val="16"/>
                <w:szCs w:val="16"/>
              </w:rPr>
              <w:t>2,445</w:t>
            </w:r>
          </w:p>
        </w:tc>
        <w:tc>
          <w:tcPr>
            <w:tcW w:w="923" w:type="pct"/>
          </w:tcPr>
          <w:p w14:paraId="03BDA783" w14:textId="77777777" w:rsidR="00C15F2E" w:rsidRPr="00D96063" w:rsidRDefault="00C15F2E" w:rsidP="002C1DC3">
            <w:pPr>
              <w:spacing w:before="30" w:after="30"/>
              <w:ind w:right="284"/>
              <w:jc w:val="right"/>
              <w:rPr>
                <w:sz w:val="16"/>
                <w:szCs w:val="16"/>
              </w:rPr>
            </w:pPr>
            <w:r w:rsidRPr="00D96063">
              <w:rPr>
                <w:sz w:val="16"/>
                <w:szCs w:val="16"/>
              </w:rPr>
              <w:t>1,634,842</w:t>
            </w:r>
          </w:p>
        </w:tc>
      </w:tr>
      <w:tr w:rsidR="00242C10" w:rsidRPr="00D96063" w14:paraId="03D39659" w14:textId="77777777" w:rsidTr="00053198">
        <w:tc>
          <w:tcPr>
            <w:tcW w:w="601" w:type="pct"/>
          </w:tcPr>
          <w:p w14:paraId="50E42F3C" w14:textId="77777777" w:rsidR="00C15F2E" w:rsidRPr="00D96063" w:rsidRDefault="00C15F2E" w:rsidP="00053198">
            <w:pPr>
              <w:spacing w:before="30" w:after="30"/>
              <w:jc w:val="left"/>
              <w:rPr>
                <w:sz w:val="16"/>
                <w:szCs w:val="16"/>
              </w:rPr>
            </w:pPr>
            <w:r w:rsidRPr="00D96063">
              <w:rPr>
                <w:sz w:val="16"/>
                <w:szCs w:val="16"/>
              </w:rPr>
              <w:t>2020/21</w:t>
            </w:r>
          </w:p>
        </w:tc>
        <w:tc>
          <w:tcPr>
            <w:tcW w:w="694" w:type="pct"/>
          </w:tcPr>
          <w:p w14:paraId="5CF4E4DD" w14:textId="77777777" w:rsidR="00C15F2E" w:rsidRPr="00D96063" w:rsidRDefault="00C15F2E" w:rsidP="00053198">
            <w:pPr>
              <w:spacing w:before="30" w:after="30"/>
              <w:ind w:right="57"/>
              <w:jc w:val="right"/>
              <w:rPr>
                <w:sz w:val="16"/>
                <w:szCs w:val="16"/>
              </w:rPr>
            </w:pPr>
            <w:r w:rsidRPr="00D96063">
              <w:rPr>
                <w:sz w:val="16"/>
                <w:szCs w:val="16"/>
              </w:rPr>
              <w:t>1,047,385</w:t>
            </w:r>
          </w:p>
        </w:tc>
        <w:tc>
          <w:tcPr>
            <w:tcW w:w="781" w:type="pct"/>
          </w:tcPr>
          <w:p w14:paraId="39FCEAD8" w14:textId="77777777" w:rsidR="00C15F2E" w:rsidRPr="00D96063" w:rsidRDefault="00C15F2E" w:rsidP="00053198">
            <w:pPr>
              <w:spacing w:before="30" w:after="30"/>
              <w:ind w:right="57"/>
              <w:jc w:val="right"/>
              <w:rPr>
                <w:sz w:val="16"/>
                <w:szCs w:val="16"/>
              </w:rPr>
            </w:pPr>
            <w:r w:rsidRPr="00D96063">
              <w:rPr>
                <w:sz w:val="16"/>
                <w:szCs w:val="16"/>
              </w:rPr>
              <w:t xml:space="preserve">738,803 </w:t>
            </w:r>
          </w:p>
        </w:tc>
        <w:tc>
          <w:tcPr>
            <w:tcW w:w="611" w:type="pct"/>
          </w:tcPr>
          <w:p w14:paraId="36CA4446" w14:textId="77777777" w:rsidR="00C15F2E" w:rsidRPr="00D96063" w:rsidRDefault="00C15F2E" w:rsidP="00053198">
            <w:pPr>
              <w:spacing w:before="30" w:after="30"/>
              <w:ind w:right="57"/>
              <w:jc w:val="right"/>
              <w:rPr>
                <w:sz w:val="16"/>
                <w:szCs w:val="16"/>
              </w:rPr>
            </w:pPr>
            <w:r w:rsidRPr="00D96063">
              <w:rPr>
                <w:sz w:val="16"/>
                <w:szCs w:val="16"/>
              </w:rPr>
              <w:t>10,560</w:t>
            </w:r>
          </w:p>
        </w:tc>
        <w:tc>
          <w:tcPr>
            <w:tcW w:w="781" w:type="pct"/>
          </w:tcPr>
          <w:p w14:paraId="08AA092D" w14:textId="77777777" w:rsidR="00C15F2E" w:rsidRPr="00D96063" w:rsidRDefault="00C15F2E" w:rsidP="002C1DC3">
            <w:pPr>
              <w:spacing w:before="30" w:after="30"/>
              <w:ind w:right="340"/>
              <w:jc w:val="right"/>
              <w:rPr>
                <w:sz w:val="16"/>
                <w:szCs w:val="16"/>
              </w:rPr>
            </w:pPr>
            <w:r w:rsidRPr="00D96063">
              <w:rPr>
                <w:sz w:val="16"/>
                <w:szCs w:val="16"/>
              </w:rPr>
              <w:t xml:space="preserve"> 71.0 </w:t>
            </w:r>
          </w:p>
        </w:tc>
        <w:tc>
          <w:tcPr>
            <w:tcW w:w="608" w:type="pct"/>
          </w:tcPr>
          <w:p w14:paraId="7E2EAB5B" w14:textId="77777777" w:rsidR="00C15F2E" w:rsidRPr="00D96063" w:rsidRDefault="00C15F2E" w:rsidP="002C1DC3">
            <w:pPr>
              <w:spacing w:before="30" w:after="30"/>
              <w:ind w:right="170"/>
              <w:jc w:val="right"/>
              <w:rPr>
                <w:sz w:val="16"/>
                <w:szCs w:val="16"/>
              </w:rPr>
            </w:pPr>
            <w:r w:rsidRPr="00D96063">
              <w:rPr>
                <w:sz w:val="16"/>
                <w:szCs w:val="16"/>
              </w:rPr>
              <w:t>2,589</w:t>
            </w:r>
          </w:p>
        </w:tc>
        <w:tc>
          <w:tcPr>
            <w:tcW w:w="923" w:type="pct"/>
          </w:tcPr>
          <w:p w14:paraId="5F70C21C" w14:textId="77777777" w:rsidR="00C15F2E" w:rsidRPr="00D96063" w:rsidRDefault="00C15F2E" w:rsidP="002C1DC3">
            <w:pPr>
              <w:spacing w:before="30" w:after="30"/>
              <w:ind w:right="284"/>
              <w:jc w:val="right"/>
              <w:rPr>
                <w:sz w:val="16"/>
                <w:szCs w:val="16"/>
              </w:rPr>
            </w:pPr>
            <w:r w:rsidRPr="00D96063">
              <w:rPr>
                <w:sz w:val="16"/>
                <w:szCs w:val="16"/>
              </w:rPr>
              <w:t xml:space="preserve">1,912,761 </w:t>
            </w:r>
          </w:p>
        </w:tc>
      </w:tr>
    </w:tbl>
    <w:p w14:paraId="673B9691" w14:textId="77777777" w:rsidR="00C15F2E" w:rsidRPr="00D96063" w:rsidRDefault="00C15F2E" w:rsidP="00D868BF">
      <w:pPr>
        <w:pStyle w:val="NoteText"/>
        <w:spacing w:before="120" w:after="240"/>
        <w:rPr>
          <w:szCs w:val="18"/>
        </w:rPr>
      </w:pPr>
      <w:r w:rsidRPr="00D96063">
        <w:rPr>
          <w:szCs w:val="18"/>
        </w:rPr>
        <w:t>Source:</w:t>
      </w:r>
      <w:r w:rsidRPr="00D96063">
        <w:rPr>
          <w:szCs w:val="18"/>
        </w:rPr>
        <w:tab/>
        <w:t>Information provided by COCOBOD.</w:t>
      </w:r>
    </w:p>
    <w:bookmarkEnd w:id="196"/>
    <w:p w14:paraId="740C2864" w14:textId="77777777" w:rsidR="00C15F2E" w:rsidRPr="00D96063" w:rsidRDefault="00C15F2E" w:rsidP="00D868BF">
      <w:pPr>
        <w:pStyle w:val="BodyText"/>
      </w:pPr>
      <w:r w:rsidRPr="00D96063">
        <w:t>COCOBOD licenses private companies to engage in domestic trade. The licences are renewed annually and are subject to a nominal fee. There were 45 active LBCs in 2021-22. They purchase cocoa directly from farmers on behalf of COCOBOD and bag it for delivery at designated take-over centres, by private hauliers, on a commission basis. The CMC takes over the cocoa for export or further processing.</w:t>
      </w:r>
    </w:p>
    <w:p w14:paraId="11767DDD" w14:textId="77777777" w:rsidR="00C15F2E" w:rsidRPr="00D96063" w:rsidRDefault="00C15F2E" w:rsidP="00D868BF">
      <w:pPr>
        <w:pStyle w:val="BodyText"/>
      </w:pPr>
      <w:r w:rsidRPr="00D96063">
        <w:t>Processing companies (10 at present) are required to purchase their cocoa beans from COCOBOD, at a negotiated price based on the market price.</w:t>
      </w:r>
      <w:r w:rsidRPr="00D96063">
        <w:rPr>
          <w:b/>
          <w:bCs/>
        </w:rPr>
        <w:t xml:space="preserve"> </w:t>
      </w:r>
      <w:r w:rsidRPr="00D96063">
        <w:rPr>
          <w:color w:val="000000" w:themeColor="text1"/>
        </w:rPr>
        <w:t>The share of domestic processing of cocoa production is currently about 31% (with a three-year average of about 38%). The negotiated prices of cocoa beans include the LID and are paid by the buyers.</w:t>
      </w:r>
      <w:r w:rsidRPr="00D96063">
        <w:rPr>
          <w:b/>
          <w:bCs/>
          <w:color w:val="000000" w:themeColor="text1"/>
        </w:rPr>
        <w:t xml:space="preserve"> </w:t>
      </w:r>
      <w:r w:rsidRPr="00D96063">
        <w:t>The processing companies, including the state-owned Cocoa Processing Company Limited (CPC), process cocoa beans for both export and the national market. Cocoa is processed into butter, liquor, cake, and powder. Most processing companies are located in the free zones or under free zone provisions (Section 3.2.6.5). The Government's medium-term objective is to process 50% of the cocoa output locally. The European Union is the leading destination for Ghana's exports of cocoa products.</w:t>
      </w:r>
    </w:p>
    <w:p w14:paraId="09C752BE" w14:textId="77777777" w:rsidR="00C15F2E" w:rsidRPr="00D96063" w:rsidRDefault="00C15F2E" w:rsidP="00D868BF">
      <w:pPr>
        <w:pStyle w:val="BodyText"/>
      </w:pPr>
      <w:bookmarkStart w:id="198" w:name="_Hlk99174109"/>
      <w:r w:rsidRPr="00D96063">
        <w:t xml:space="preserve">Ghana imposes import tariffs ranging from 5% (cocoa beans) and 10% (cocoa paste, cocoa butter) to 35% (cocoa powder, chocolate, and other confectionery). </w:t>
      </w:r>
      <w:bookmarkEnd w:id="198"/>
      <w:r w:rsidRPr="00D96063">
        <w:rPr>
          <w:lang w:eastAsia="en-GB"/>
        </w:rPr>
        <w:t xml:space="preserve">Because of concerns over smuggling, COCOBOD only permits the import of </w:t>
      </w:r>
      <w:r w:rsidRPr="00D96063">
        <w:t>beans</w:t>
      </w:r>
      <w:r w:rsidRPr="00D96063">
        <w:rPr>
          <w:lang w:eastAsia="en-GB"/>
        </w:rPr>
        <w:t xml:space="preserve"> by ship. </w:t>
      </w:r>
      <w:r w:rsidRPr="00D96063">
        <w:t>There are nevertheless unrecorded flows of cocoa traded across Ghana's borders, mainly between Ghana and Côte d'Ivoire.</w:t>
      </w:r>
    </w:p>
    <w:p w14:paraId="3EBDF321" w14:textId="77777777" w:rsidR="00C15F2E" w:rsidRPr="00D96063" w:rsidRDefault="00C15F2E" w:rsidP="00D868BF">
      <w:pPr>
        <w:pStyle w:val="BodyText"/>
      </w:pPr>
      <w:r w:rsidRPr="00D96063">
        <w:t>Support and benefits provided by COCOBOD include the following:</w:t>
      </w:r>
    </w:p>
    <w:p w14:paraId="182503FF" w14:textId="77777777" w:rsidR="00C15F2E" w:rsidRPr="00D96063" w:rsidRDefault="00C15F2E" w:rsidP="003758E5">
      <w:pPr>
        <w:pStyle w:val="ListBullet3"/>
        <w:numPr>
          <w:ilvl w:val="2"/>
          <w:numId w:val="28"/>
        </w:numPr>
        <w:rPr>
          <w:lang w:eastAsia="fr-CH"/>
        </w:rPr>
      </w:pPr>
      <w:r w:rsidRPr="00D96063">
        <w:rPr>
          <w:lang w:eastAsia="fr-CH"/>
        </w:rPr>
        <w:t xml:space="preserve">Provision of inputs (fertilizer, pesticides, and seedlings) free of </w:t>
      </w:r>
      <w:r w:rsidRPr="00D96063">
        <w:t>charge</w:t>
      </w:r>
      <w:r w:rsidRPr="00D96063">
        <w:rPr>
          <w:lang w:eastAsia="fr-CH"/>
        </w:rPr>
        <w:t xml:space="preserve"> to cocoa farmers – their cost is reflected as "industry costs" in the farmgate price determined by the PPRC.</w:t>
      </w:r>
    </w:p>
    <w:p w14:paraId="5F16FA4B" w14:textId="77777777" w:rsidR="00C15F2E" w:rsidRPr="00D96063" w:rsidRDefault="00C15F2E" w:rsidP="003758E5">
      <w:pPr>
        <w:pStyle w:val="ListBullet3"/>
        <w:numPr>
          <w:ilvl w:val="2"/>
          <w:numId w:val="28"/>
        </w:numPr>
        <w:rPr>
          <w:lang w:eastAsia="fr-CH"/>
        </w:rPr>
      </w:pPr>
      <w:r w:rsidRPr="00D96063">
        <w:t>Productivity</w:t>
      </w:r>
      <w:r w:rsidRPr="00D96063">
        <w:rPr>
          <w:lang w:eastAsia="fr-CH"/>
        </w:rPr>
        <w:t xml:space="preserve"> Enhancement Programmes (PEPs) involving mass </w:t>
      </w:r>
      <w:r w:rsidRPr="00D96063">
        <w:t>pruning</w:t>
      </w:r>
      <w:r w:rsidRPr="00D96063">
        <w:rPr>
          <w:lang w:eastAsia="fr-CH"/>
        </w:rPr>
        <w:t xml:space="preserve">, hand pollination, and pilot irrigation. COCOBOD also launched two rehabilitation </w:t>
      </w:r>
      <w:r w:rsidRPr="00D96063">
        <w:t>programmes</w:t>
      </w:r>
      <w:r w:rsidRPr="00D96063">
        <w:rPr>
          <w:lang w:eastAsia="fr-CH"/>
        </w:rPr>
        <w:t>, namely for the control of Cocoa Swollen Shoot Virus Disease and for moribund cocoa farms. This latter involves uprooting and replanting overaged cocoa farms and replanting with high-yielding, disease-resistant, and drought-tolerant varieties.</w:t>
      </w:r>
    </w:p>
    <w:p w14:paraId="0F8CF2FB" w14:textId="77777777" w:rsidR="00C15F2E" w:rsidRPr="00D96063" w:rsidRDefault="00C15F2E" w:rsidP="003758E5">
      <w:pPr>
        <w:pStyle w:val="ListBullet3"/>
        <w:numPr>
          <w:ilvl w:val="2"/>
          <w:numId w:val="28"/>
        </w:numPr>
        <w:rPr>
          <w:lang w:eastAsia="fr-CH"/>
        </w:rPr>
      </w:pPr>
      <w:r w:rsidRPr="00D96063">
        <w:rPr>
          <w:lang w:eastAsia="fr-CH"/>
        </w:rPr>
        <w:t xml:space="preserve">A cocoa farmers' </w:t>
      </w:r>
      <w:r w:rsidRPr="00D96063">
        <w:t>pension</w:t>
      </w:r>
      <w:r w:rsidRPr="00D96063">
        <w:rPr>
          <w:lang w:eastAsia="fr-CH"/>
        </w:rPr>
        <w:t xml:space="preserve"> scheme has been launched and implementation modalities are under preparation.</w:t>
      </w:r>
    </w:p>
    <w:p w14:paraId="2D523198" w14:textId="77777777" w:rsidR="00C15F2E" w:rsidRPr="00D96063" w:rsidRDefault="00C15F2E" w:rsidP="00D868BF">
      <w:pPr>
        <w:pStyle w:val="BodyText"/>
        <w:rPr>
          <w:lang w:eastAsia="fr-CH"/>
        </w:rPr>
      </w:pPr>
      <w:r w:rsidRPr="00D96063">
        <w:rPr>
          <w:lang w:eastAsia="fr-CH"/>
        </w:rPr>
        <w:t xml:space="preserve">In 2017, COCOBOD entered into a service </w:t>
      </w:r>
      <w:r w:rsidRPr="00D96063">
        <w:t>concession</w:t>
      </w:r>
      <w:r w:rsidRPr="00D96063">
        <w:rPr>
          <w:lang w:eastAsia="fr-CH"/>
        </w:rPr>
        <w:t xml:space="preserve"> agreement with the Ministry of </w:t>
      </w:r>
      <w:r w:rsidRPr="00D96063">
        <w:t>Roads</w:t>
      </w:r>
      <w:r w:rsidRPr="00D96063">
        <w:rPr>
          <w:lang w:eastAsia="fr-CH"/>
        </w:rPr>
        <w:t xml:space="preserve"> and Highways to construct and/or rehabilitate certain roads in cocoa-growing communities in Ghana (cocoa roads).</w:t>
      </w:r>
    </w:p>
    <w:p w14:paraId="454566B7" w14:textId="77777777" w:rsidR="00C15F2E" w:rsidRPr="00D96063" w:rsidRDefault="00C15F2E" w:rsidP="003758E5">
      <w:pPr>
        <w:pStyle w:val="Heading3"/>
        <w:numPr>
          <w:ilvl w:val="2"/>
          <w:numId w:val="18"/>
        </w:numPr>
      </w:pPr>
      <w:bookmarkStart w:id="199" w:name="_Toc103607714"/>
      <w:r w:rsidRPr="00D96063">
        <w:lastRenderedPageBreak/>
        <w:t>Forestry</w:t>
      </w:r>
      <w:bookmarkEnd w:id="199"/>
    </w:p>
    <w:p w14:paraId="128253CC" w14:textId="77777777" w:rsidR="00C15F2E" w:rsidRPr="00D96063" w:rsidRDefault="00C15F2E" w:rsidP="00D868BF">
      <w:pPr>
        <w:pStyle w:val="BodyText"/>
      </w:pPr>
      <w:r w:rsidRPr="00D96063">
        <w:t>The forestry (and logging) sector contributed 1.1% to GDP in 2020 (Table 1.1). Exports have been on the decline and consist mainly of secondary wood products (lumber, boules, plywood, and veneer), followed by primary products (billets and poles) and tertiary (processed) wood products (Table 4.5).</w:t>
      </w:r>
      <w:r w:rsidRPr="00D96063">
        <w:rPr>
          <w:rStyle w:val="FootnoteReference"/>
        </w:rPr>
        <w:footnoteReference w:id="132"/>
      </w:r>
      <w:r w:rsidRPr="00D96063">
        <w:t xml:space="preserve"> The top export destinations in 2019 were India, China, Germany, the United States, and Qatar, with the top five exported products being lumber (air-dried and kiln-dried), billet, plywood, and rotary veneer.</w:t>
      </w:r>
    </w:p>
    <w:p w14:paraId="2CD5805E" w14:textId="77777777" w:rsidR="00C15F2E" w:rsidRPr="00D96063" w:rsidRDefault="00C15F2E" w:rsidP="00D868BF">
      <w:pPr>
        <w:pStyle w:val="BodyText"/>
      </w:pPr>
      <w:r w:rsidRPr="00D96063">
        <w:t>Ghana had a forest cover of about 6 million ha to 8 million ha in 2020 (approximately one quarter of the land area), composed of naturally regenerating forests (96%) and plantation forests (4%). Ghana has two predominant ecological zones: the high forest zone mainly in the southwestern part of the country and the savannah zone occupying the other areas. The country has experienced high levels of deforestation, among the highest in the world, mostly attributed to forest clearing for cocoa farming.</w:t>
      </w:r>
      <w:r w:rsidRPr="00D96063">
        <w:rPr>
          <w:rStyle w:val="FootnoteReference"/>
        </w:rPr>
        <w:footnoteReference w:id="133"/>
      </w:r>
    </w:p>
    <w:p w14:paraId="15AA6606" w14:textId="5348CB00" w:rsidR="00C15F2E" w:rsidRPr="00D96063" w:rsidRDefault="00C15F2E" w:rsidP="00D868BF">
      <w:pPr>
        <w:pStyle w:val="Caption"/>
      </w:pPr>
      <w:bookmarkStart w:id="200" w:name="_Toc103607901"/>
      <w:r w:rsidRPr="00D96063">
        <w:t xml:space="preserve">Table </w:t>
      </w:r>
      <w:fldSimple w:instr=" STYLEREF 1 \s ">
        <w:r w:rsidR="004B63B1">
          <w:rPr>
            <w:noProof/>
          </w:rPr>
          <w:t>4</w:t>
        </w:r>
      </w:fldSimple>
      <w:r w:rsidR="00BF3184">
        <w:t>.</w:t>
      </w:r>
      <w:fldSimple w:instr=" SEQ Table \* ARABIC \s 1 ">
        <w:r w:rsidR="004B63B1">
          <w:rPr>
            <w:noProof/>
          </w:rPr>
          <w:t>5</w:t>
        </w:r>
      </w:fldSimple>
      <w:r w:rsidRPr="00D96063">
        <w:t xml:space="preserve"> Timber production and trade, 2014-20</w:t>
      </w:r>
      <w:bookmarkEnd w:id="200"/>
    </w:p>
    <w:tbl>
      <w:tblPr>
        <w:tblStyle w:val="WTOTable1"/>
        <w:tblW w:w="9067" w:type="dxa"/>
        <w:tblLook w:val="04A0" w:firstRow="1" w:lastRow="0" w:firstColumn="1" w:lastColumn="0" w:noHBand="0" w:noVBand="1"/>
      </w:tblPr>
      <w:tblGrid>
        <w:gridCol w:w="634"/>
        <w:gridCol w:w="1211"/>
        <w:gridCol w:w="1736"/>
        <w:gridCol w:w="1155"/>
        <w:gridCol w:w="1300"/>
        <w:gridCol w:w="1155"/>
        <w:gridCol w:w="1876"/>
      </w:tblGrid>
      <w:tr w:rsidR="00C15F2E" w:rsidRPr="00D96063" w14:paraId="466A476D" w14:textId="77777777" w:rsidTr="00AC650D">
        <w:trPr>
          <w:cnfStyle w:val="100000000000" w:firstRow="1" w:lastRow="0" w:firstColumn="0" w:lastColumn="0" w:oddVBand="0" w:evenVBand="0" w:oddHBand="0" w:evenHBand="0" w:firstRowFirstColumn="0" w:firstRowLastColumn="0" w:lastRowFirstColumn="0" w:lastRowLastColumn="0"/>
          <w:trHeight w:val="758"/>
        </w:trPr>
        <w:tc>
          <w:tcPr>
            <w:tcW w:w="634" w:type="dxa"/>
            <w:tcBorders>
              <w:bottom w:val="nil"/>
            </w:tcBorders>
            <w:noWrap/>
            <w:hideMark/>
          </w:tcPr>
          <w:p w14:paraId="4518BFC8" w14:textId="77777777" w:rsidR="00C15F2E" w:rsidRPr="00D96063" w:rsidRDefault="00C15F2E" w:rsidP="00AC650D">
            <w:pPr>
              <w:rPr>
                <w:color w:val="FFFFFF" w:themeColor="background1"/>
                <w:sz w:val="16"/>
                <w:szCs w:val="16"/>
              </w:rPr>
            </w:pPr>
          </w:p>
        </w:tc>
        <w:tc>
          <w:tcPr>
            <w:tcW w:w="1211" w:type="dxa"/>
            <w:tcBorders>
              <w:bottom w:val="nil"/>
            </w:tcBorders>
            <w:vAlign w:val="center"/>
            <w:hideMark/>
          </w:tcPr>
          <w:p w14:paraId="6182400F" w14:textId="7C64DBF9" w:rsidR="00C15F2E" w:rsidRPr="00D96063" w:rsidRDefault="00C15F2E" w:rsidP="00AC650D">
            <w:pPr>
              <w:jc w:val="center"/>
              <w:rPr>
                <w:rFonts w:eastAsia="Times New Roman" w:cs="Arial"/>
                <w:color w:val="FFFFFF" w:themeColor="background1"/>
                <w:sz w:val="16"/>
                <w:szCs w:val="16"/>
              </w:rPr>
            </w:pPr>
            <w:r w:rsidRPr="00D96063">
              <w:rPr>
                <w:rFonts w:eastAsia="Times New Roman" w:cs="Arial"/>
                <w:color w:val="FFFFFF" w:themeColor="background1"/>
                <w:sz w:val="16"/>
                <w:szCs w:val="16"/>
              </w:rPr>
              <w:t>Log production</w:t>
            </w:r>
            <w:r w:rsidR="00AC650D">
              <w:rPr>
                <w:rFonts w:eastAsia="Times New Roman" w:cs="Arial"/>
                <w:color w:val="FFFFFF" w:themeColor="background1"/>
                <w:sz w:val="16"/>
                <w:szCs w:val="16"/>
              </w:rPr>
              <w:t xml:space="preserve"> </w:t>
            </w:r>
            <w:r w:rsidR="00AC650D" w:rsidRPr="00D96063">
              <w:rPr>
                <w:rFonts w:eastAsia="Times New Roman" w:cs="Arial"/>
                <w:bCs/>
                <w:color w:val="FFFFFF" w:themeColor="background1"/>
                <w:sz w:val="16"/>
                <w:szCs w:val="16"/>
              </w:rPr>
              <w:t>('000</w:t>
            </w:r>
            <w:r w:rsidR="00AC650D">
              <w:rPr>
                <w:rFonts w:eastAsia="Times New Roman" w:cs="Arial"/>
                <w:bCs/>
                <w:color w:val="FFFFFF" w:themeColor="background1"/>
                <w:sz w:val="16"/>
                <w:szCs w:val="16"/>
              </w:rPr>
              <w:t> </w:t>
            </w:r>
            <w:r w:rsidR="00AC650D" w:rsidRPr="00D96063">
              <w:rPr>
                <w:rFonts w:eastAsia="Times New Roman" w:cs="Arial"/>
                <w:bCs/>
                <w:color w:val="FFFFFF" w:themeColor="background1"/>
                <w:sz w:val="16"/>
                <w:szCs w:val="16"/>
              </w:rPr>
              <w:t>m³)</w:t>
            </w:r>
          </w:p>
        </w:tc>
        <w:tc>
          <w:tcPr>
            <w:tcW w:w="1736" w:type="dxa"/>
            <w:tcBorders>
              <w:bottom w:val="nil"/>
            </w:tcBorders>
            <w:vAlign w:val="center"/>
            <w:hideMark/>
          </w:tcPr>
          <w:p w14:paraId="5CE06892" w14:textId="0BCAAC33" w:rsidR="00C15F2E" w:rsidRPr="00D96063" w:rsidRDefault="00C15F2E" w:rsidP="00AC650D">
            <w:pPr>
              <w:jc w:val="center"/>
              <w:rPr>
                <w:rFonts w:eastAsia="Times New Roman" w:cs="Arial"/>
                <w:color w:val="FFFFFF" w:themeColor="background1"/>
                <w:sz w:val="16"/>
                <w:szCs w:val="16"/>
              </w:rPr>
            </w:pPr>
            <w:r w:rsidRPr="00D96063">
              <w:rPr>
                <w:rFonts w:eastAsia="Times New Roman" w:cs="Arial"/>
                <w:color w:val="FFFFFF" w:themeColor="background1"/>
                <w:sz w:val="16"/>
                <w:szCs w:val="16"/>
              </w:rPr>
              <w:t xml:space="preserve">Exports </w:t>
            </w:r>
            <w:r w:rsidR="00AC650D" w:rsidRPr="00D96063">
              <w:rPr>
                <w:rFonts w:eastAsia="Times New Roman" w:cs="Arial"/>
                <w:bCs/>
                <w:color w:val="FFFFFF" w:themeColor="background1"/>
                <w:sz w:val="16"/>
                <w:szCs w:val="16"/>
              </w:rPr>
              <w:t>('000</w:t>
            </w:r>
            <w:r w:rsidR="00AC650D">
              <w:rPr>
                <w:rFonts w:eastAsia="Times New Roman" w:cs="Arial"/>
                <w:bCs/>
                <w:color w:val="FFFFFF" w:themeColor="background1"/>
                <w:sz w:val="16"/>
                <w:szCs w:val="16"/>
              </w:rPr>
              <w:t> </w:t>
            </w:r>
            <w:r w:rsidR="00AC650D" w:rsidRPr="00D96063">
              <w:rPr>
                <w:rFonts w:eastAsia="Times New Roman" w:cs="Arial"/>
                <w:bCs/>
                <w:color w:val="FFFFFF" w:themeColor="background1"/>
                <w:sz w:val="16"/>
                <w:szCs w:val="16"/>
              </w:rPr>
              <w:t>m³)</w:t>
            </w:r>
          </w:p>
        </w:tc>
        <w:tc>
          <w:tcPr>
            <w:tcW w:w="1155" w:type="dxa"/>
            <w:tcBorders>
              <w:bottom w:val="nil"/>
            </w:tcBorders>
            <w:noWrap/>
            <w:vAlign w:val="center"/>
            <w:hideMark/>
          </w:tcPr>
          <w:p w14:paraId="2818A32D" w14:textId="2BE1A3B3" w:rsidR="00C15F2E" w:rsidRPr="00D96063" w:rsidRDefault="00C15F2E" w:rsidP="00AC650D">
            <w:pPr>
              <w:jc w:val="center"/>
              <w:rPr>
                <w:rFonts w:eastAsia="Times New Roman" w:cs="Arial"/>
                <w:color w:val="FFFFFF" w:themeColor="background1"/>
                <w:sz w:val="16"/>
                <w:szCs w:val="16"/>
              </w:rPr>
            </w:pPr>
            <w:r w:rsidRPr="00D96063">
              <w:rPr>
                <w:rFonts w:eastAsia="Times New Roman" w:cs="Arial"/>
                <w:color w:val="FFFFFF" w:themeColor="background1"/>
                <w:sz w:val="16"/>
                <w:szCs w:val="16"/>
              </w:rPr>
              <w:t>Primary</w:t>
            </w:r>
            <w:r w:rsidR="00AC650D">
              <w:rPr>
                <w:rFonts w:eastAsia="Times New Roman" w:cs="Arial"/>
                <w:color w:val="FFFFFF" w:themeColor="background1"/>
                <w:sz w:val="16"/>
                <w:szCs w:val="16"/>
              </w:rPr>
              <w:t xml:space="preserve"> </w:t>
            </w:r>
            <w:r w:rsidR="00AC650D" w:rsidRPr="00D96063">
              <w:rPr>
                <w:rFonts w:eastAsia="Times New Roman" w:cs="Arial"/>
                <w:bCs/>
                <w:color w:val="FFFFFF" w:themeColor="background1"/>
                <w:sz w:val="16"/>
                <w:szCs w:val="16"/>
              </w:rPr>
              <w:t>(%)</w:t>
            </w:r>
          </w:p>
        </w:tc>
        <w:tc>
          <w:tcPr>
            <w:tcW w:w="1300" w:type="dxa"/>
            <w:tcBorders>
              <w:bottom w:val="nil"/>
            </w:tcBorders>
            <w:noWrap/>
            <w:vAlign w:val="center"/>
            <w:hideMark/>
          </w:tcPr>
          <w:p w14:paraId="5438ABAB" w14:textId="7D32E915" w:rsidR="00C15F2E" w:rsidRPr="00D96063" w:rsidRDefault="00C15F2E" w:rsidP="00AC650D">
            <w:pPr>
              <w:jc w:val="center"/>
              <w:rPr>
                <w:rFonts w:eastAsia="Times New Roman" w:cs="Arial"/>
                <w:color w:val="FFFFFF" w:themeColor="background1"/>
                <w:sz w:val="16"/>
                <w:szCs w:val="16"/>
              </w:rPr>
            </w:pPr>
            <w:r w:rsidRPr="00D96063">
              <w:rPr>
                <w:rFonts w:eastAsia="Times New Roman" w:cs="Arial"/>
                <w:color w:val="FFFFFF" w:themeColor="background1"/>
                <w:sz w:val="16"/>
                <w:szCs w:val="16"/>
              </w:rPr>
              <w:t>Secondary</w:t>
            </w:r>
            <w:r w:rsidR="00AC650D">
              <w:rPr>
                <w:rFonts w:eastAsia="Times New Roman" w:cs="Arial"/>
                <w:color w:val="FFFFFF" w:themeColor="background1"/>
                <w:sz w:val="16"/>
                <w:szCs w:val="16"/>
              </w:rPr>
              <w:t xml:space="preserve"> </w:t>
            </w:r>
            <w:r w:rsidR="00AC650D" w:rsidRPr="00D96063">
              <w:rPr>
                <w:rFonts w:eastAsia="Times New Roman" w:cs="Arial"/>
                <w:bCs/>
                <w:color w:val="FFFFFF" w:themeColor="background1"/>
                <w:sz w:val="16"/>
                <w:szCs w:val="16"/>
              </w:rPr>
              <w:t>(%)</w:t>
            </w:r>
          </w:p>
        </w:tc>
        <w:tc>
          <w:tcPr>
            <w:tcW w:w="1155" w:type="dxa"/>
            <w:tcBorders>
              <w:bottom w:val="nil"/>
            </w:tcBorders>
            <w:noWrap/>
            <w:vAlign w:val="center"/>
            <w:hideMark/>
          </w:tcPr>
          <w:p w14:paraId="1D1EB36A" w14:textId="0383CCD1" w:rsidR="00C15F2E" w:rsidRPr="00D96063" w:rsidRDefault="00C15F2E" w:rsidP="00AC650D">
            <w:pPr>
              <w:jc w:val="center"/>
              <w:rPr>
                <w:rFonts w:eastAsia="Times New Roman" w:cs="Arial"/>
                <w:color w:val="FFFFFF" w:themeColor="background1"/>
                <w:sz w:val="16"/>
                <w:szCs w:val="16"/>
              </w:rPr>
            </w:pPr>
            <w:r w:rsidRPr="00D96063">
              <w:rPr>
                <w:rFonts w:eastAsia="Times New Roman" w:cs="Arial"/>
                <w:color w:val="FFFFFF" w:themeColor="background1"/>
                <w:sz w:val="16"/>
                <w:szCs w:val="16"/>
              </w:rPr>
              <w:t>Tertiary</w:t>
            </w:r>
            <w:r w:rsidR="00AC650D">
              <w:rPr>
                <w:rFonts w:eastAsia="Times New Roman" w:cs="Arial"/>
                <w:color w:val="FFFFFF" w:themeColor="background1"/>
                <w:sz w:val="16"/>
                <w:szCs w:val="16"/>
              </w:rPr>
              <w:t xml:space="preserve"> </w:t>
            </w:r>
            <w:r w:rsidR="00AC650D" w:rsidRPr="00D96063">
              <w:rPr>
                <w:rFonts w:eastAsia="Times New Roman" w:cs="Arial"/>
                <w:bCs/>
                <w:color w:val="FFFFFF" w:themeColor="background1"/>
                <w:sz w:val="16"/>
                <w:szCs w:val="16"/>
              </w:rPr>
              <w:t>(%)</w:t>
            </w:r>
          </w:p>
        </w:tc>
        <w:tc>
          <w:tcPr>
            <w:tcW w:w="1876" w:type="dxa"/>
            <w:tcBorders>
              <w:bottom w:val="nil"/>
            </w:tcBorders>
            <w:noWrap/>
            <w:vAlign w:val="center"/>
            <w:hideMark/>
          </w:tcPr>
          <w:p w14:paraId="3DD59963" w14:textId="639A4A3C" w:rsidR="00C15F2E" w:rsidRPr="00D96063" w:rsidRDefault="00C15F2E" w:rsidP="00AC650D">
            <w:pPr>
              <w:jc w:val="center"/>
              <w:rPr>
                <w:rFonts w:eastAsia="Times New Roman" w:cs="Arial"/>
                <w:color w:val="FFFFFF" w:themeColor="background1"/>
                <w:sz w:val="16"/>
                <w:szCs w:val="16"/>
              </w:rPr>
            </w:pPr>
            <w:r w:rsidRPr="00D96063">
              <w:rPr>
                <w:rFonts w:eastAsia="Times New Roman" w:cs="Arial"/>
                <w:color w:val="FFFFFF" w:themeColor="background1"/>
                <w:sz w:val="16"/>
                <w:szCs w:val="16"/>
              </w:rPr>
              <w:t>Export value</w:t>
            </w:r>
            <w:r w:rsidR="00AC650D">
              <w:rPr>
                <w:rFonts w:eastAsia="Times New Roman" w:cs="Arial"/>
                <w:color w:val="FFFFFF" w:themeColor="background1"/>
                <w:sz w:val="16"/>
                <w:szCs w:val="16"/>
              </w:rPr>
              <w:t xml:space="preserve"> </w:t>
            </w:r>
            <w:r w:rsidR="00AC650D" w:rsidRPr="00D96063">
              <w:rPr>
                <w:rFonts w:eastAsia="Times New Roman" w:cs="Arial"/>
                <w:bCs/>
                <w:color w:val="FFFFFF" w:themeColor="background1"/>
                <w:sz w:val="16"/>
                <w:szCs w:val="16"/>
              </w:rPr>
              <w:t>(USD)</w:t>
            </w:r>
          </w:p>
        </w:tc>
      </w:tr>
      <w:tr w:rsidR="00C15F2E" w:rsidRPr="00D96063" w14:paraId="473F6FE8" w14:textId="77777777" w:rsidTr="00AC650D">
        <w:trPr>
          <w:trHeight w:val="288"/>
        </w:trPr>
        <w:tc>
          <w:tcPr>
            <w:tcW w:w="634" w:type="dxa"/>
            <w:tcBorders>
              <w:top w:val="nil"/>
            </w:tcBorders>
            <w:noWrap/>
            <w:hideMark/>
          </w:tcPr>
          <w:p w14:paraId="7D4331E6" w14:textId="77777777" w:rsidR="00C15F2E" w:rsidRPr="00D96063" w:rsidRDefault="00C15F2E" w:rsidP="00AC650D">
            <w:pPr>
              <w:jc w:val="left"/>
              <w:rPr>
                <w:rFonts w:eastAsia="Times New Roman" w:cs="Arial"/>
                <w:color w:val="000000"/>
                <w:sz w:val="16"/>
                <w:szCs w:val="16"/>
              </w:rPr>
            </w:pPr>
            <w:r w:rsidRPr="00D96063">
              <w:rPr>
                <w:rFonts w:eastAsia="Times New Roman" w:cs="Arial"/>
                <w:color w:val="000000"/>
                <w:sz w:val="16"/>
                <w:szCs w:val="16"/>
              </w:rPr>
              <w:t>2014</w:t>
            </w:r>
          </w:p>
        </w:tc>
        <w:tc>
          <w:tcPr>
            <w:tcW w:w="1211" w:type="dxa"/>
            <w:tcBorders>
              <w:top w:val="nil"/>
            </w:tcBorders>
            <w:hideMark/>
          </w:tcPr>
          <w:p w14:paraId="15DE388C"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1,442</w:t>
            </w:r>
          </w:p>
        </w:tc>
        <w:tc>
          <w:tcPr>
            <w:tcW w:w="1736" w:type="dxa"/>
            <w:tcBorders>
              <w:top w:val="nil"/>
            </w:tcBorders>
            <w:noWrap/>
            <w:hideMark/>
          </w:tcPr>
          <w:p w14:paraId="092C0D3B" w14:textId="77777777" w:rsidR="00C15F2E" w:rsidRPr="00D96063" w:rsidRDefault="00C15F2E" w:rsidP="00AC650D">
            <w:pPr>
              <w:ind w:right="454"/>
              <w:jc w:val="right"/>
              <w:rPr>
                <w:rFonts w:eastAsia="Times New Roman" w:cs="Calibri"/>
                <w:color w:val="000000"/>
                <w:sz w:val="16"/>
                <w:szCs w:val="16"/>
              </w:rPr>
            </w:pPr>
            <w:r w:rsidRPr="00D96063">
              <w:rPr>
                <w:rFonts w:eastAsia="Times New Roman" w:cs="Calibri"/>
                <w:color w:val="000000"/>
                <w:sz w:val="16"/>
                <w:szCs w:val="16"/>
              </w:rPr>
              <w:t>356.0</w:t>
            </w:r>
          </w:p>
        </w:tc>
        <w:tc>
          <w:tcPr>
            <w:tcW w:w="1155" w:type="dxa"/>
            <w:tcBorders>
              <w:top w:val="nil"/>
            </w:tcBorders>
            <w:noWrap/>
            <w:hideMark/>
          </w:tcPr>
          <w:p w14:paraId="7A045703"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16.7</w:t>
            </w:r>
          </w:p>
        </w:tc>
        <w:tc>
          <w:tcPr>
            <w:tcW w:w="1300" w:type="dxa"/>
            <w:tcBorders>
              <w:top w:val="nil"/>
            </w:tcBorders>
            <w:noWrap/>
            <w:hideMark/>
          </w:tcPr>
          <w:p w14:paraId="138B1257"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80.1</w:t>
            </w:r>
          </w:p>
        </w:tc>
        <w:tc>
          <w:tcPr>
            <w:tcW w:w="1155" w:type="dxa"/>
            <w:tcBorders>
              <w:top w:val="nil"/>
            </w:tcBorders>
            <w:noWrap/>
            <w:hideMark/>
          </w:tcPr>
          <w:p w14:paraId="594B5E02"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3.3</w:t>
            </w:r>
          </w:p>
        </w:tc>
        <w:tc>
          <w:tcPr>
            <w:tcW w:w="1876" w:type="dxa"/>
            <w:tcBorders>
              <w:top w:val="nil"/>
            </w:tcBorders>
            <w:noWrap/>
            <w:hideMark/>
          </w:tcPr>
          <w:p w14:paraId="3B625ABA" w14:textId="77777777" w:rsidR="00C15F2E" w:rsidRPr="00D96063" w:rsidRDefault="00C15F2E" w:rsidP="00AC650D">
            <w:pPr>
              <w:ind w:right="284"/>
              <w:jc w:val="right"/>
              <w:rPr>
                <w:rFonts w:eastAsia="Times New Roman" w:cs="Calibri"/>
                <w:color w:val="000000"/>
                <w:sz w:val="16"/>
                <w:szCs w:val="16"/>
              </w:rPr>
            </w:pPr>
            <w:r w:rsidRPr="00D96063">
              <w:rPr>
                <w:rFonts w:eastAsia="Times New Roman" w:cs="Calibri"/>
                <w:color w:val="000000"/>
                <w:sz w:val="16"/>
                <w:szCs w:val="16"/>
              </w:rPr>
              <w:t>168,623,054</w:t>
            </w:r>
          </w:p>
        </w:tc>
      </w:tr>
      <w:tr w:rsidR="00C15F2E" w:rsidRPr="00D96063" w14:paraId="0721159C" w14:textId="77777777" w:rsidTr="00AC650D">
        <w:trPr>
          <w:cnfStyle w:val="000000010000" w:firstRow="0" w:lastRow="0" w:firstColumn="0" w:lastColumn="0" w:oddVBand="0" w:evenVBand="0" w:oddHBand="0" w:evenHBand="1" w:firstRowFirstColumn="0" w:firstRowLastColumn="0" w:lastRowFirstColumn="0" w:lastRowLastColumn="0"/>
          <w:trHeight w:val="288"/>
        </w:trPr>
        <w:tc>
          <w:tcPr>
            <w:tcW w:w="634" w:type="dxa"/>
            <w:noWrap/>
            <w:hideMark/>
          </w:tcPr>
          <w:p w14:paraId="67B4E50E" w14:textId="77777777" w:rsidR="00C15F2E" w:rsidRPr="00D96063" w:rsidRDefault="00C15F2E" w:rsidP="00AC650D">
            <w:pPr>
              <w:jc w:val="left"/>
              <w:rPr>
                <w:rFonts w:eastAsia="Times New Roman" w:cs="Arial"/>
                <w:color w:val="000000"/>
                <w:sz w:val="16"/>
                <w:szCs w:val="16"/>
              </w:rPr>
            </w:pPr>
            <w:r w:rsidRPr="00D96063">
              <w:rPr>
                <w:rFonts w:eastAsia="Times New Roman" w:cs="Arial"/>
                <w:color w:val="000000"/>
                <w:sz w:val="16"/>
                <w:szCs w:val="16"/>
              </w:rPr>
              <w:t>2015</w:t>
            </w:r>
          </w:p>
        </w:tc>
        <w:tc>
          <w:tcPr>
            <w:tcW w:w="1211" w:type="dxa"/>
            <w:hideMark/>
          </w:tcPr>
          <w:p w14:paraId="21C438C2"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1,860</w:t>
            </w:r>
          </w:p>
        </w:tc>
        <w:tc>
          <w:tcPr>
            <w:tcW w:w="1736" w:type="dxa"/>
            <w:noWrap/>
            <w:hideMark/>
          </w:tcPr>
          <w:p w14:paraId="7FC228D0" w14:textId="77777777" w:rsidR="00C15F2E" w:rsidRPr="00D96063" w:rsidRDefault="00C15F2E" w:rsidP="00AC650D">
            <w:pPr>
              <w:ind w:right="454"/>
              <w:jc w:val="right"/>
              <w:rPr>
                <w:rFonts w:eastAsia="Times New Roman" w:cs="Calibri"/>
                <w:color w:val="000000"/>
                <w:sz w:val="16"/>
                <w:szCs w:val="16"/>
              </w:rPr>
            </w:pPr>
            <w:r w:rsidRPr="00D96063">
              <w:rPr>
                <w:rFonts w:eastAsia="Times New Roman" w:cs="Calibri"/>
                <w:color w:val="000000"/>
                <w:sz w:val="16"/>
                <w:szCs w:val="16"/>
              </w:rPr>
              <w:t>367.0</w:t>
            </w:r>
          </w:p>
        </w:tc>
        <w:tc>
          <w:tcPr>
            <w:tcW w:w="1155" w:type="dxa"/>
            <w:noWrap/>
            <w:hideMark/>
          </w:tcPr>
          <w:p w14:paraId="56A4B88F"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15.1</w:t>
            </w:r>
          </w:p>
        </w:tc>
        <w:tc>
          <w:tcPr>
            <w:tcW w:w="1300" w:type="dxa"/>
            <w:noWrap/>
            <w:hideMark/>
          </w:tcPr>
          <w:p w14:paraId="08492FAD"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80.8</w:t>
            </w:r>
          </w:p>
        </w:tc>
        <w:tc>
          <w:tcPr>
            <w:tcW w:w="1155" w:type="dxa"/>
            <w:noWrap/>
            <w:hideMark/>
          </w:tcPr>
          <w:p w14:paraId="7AB6BEA2"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4.0</w:t>
            </w:r>
          </w:p>
        </w:tc>
        <w:tc>
          <w:tcPr>
            <w:tcW w:w="1876" w:type="dxa"/>
            <w:noWrap/>
            <w:hideMark/>
          </w:tcPr>
          <w:p w14:paraId="4FBC554C" w14:textId="77777777" w:rsidR="00C15F2E" w:rsidRPr="00D96063" w:rsidRDefault="00C15F2E" w:rsidP="00AC650D">
            <w:pPr>
              <w:ind w:right="284"/>
              <w:jc w:val="right"/>
              <w:rPr>
                <w:rFonts w:eastAsia="Times New Roman" w:cs="Calibri"/>
                <w:color w:val="000000"/>
                <w:sz w:val="16"/>
                <w:szCs w:val="16"/>
              </w:rPr>
            </w:pPr>
            <w:r w:rsidRPr="00D96063">
              <w:rPr>
                <w:rFonts w:eastAsia="Times New Roman" w:cs="Calibri"/>
                <w:color w:val="000000"/>
                <w:sz w:val="16"/>
                <w:szCs w:val="16"/>
              </w:rPr>
              <w:t>206,387,107</w:t>
            </w:r>
          </w:p>
        </w:tc>
      </w:tr>
      <w:tr w:rsidR="00C15F2E" w:rsidRPr="00D96063" w14:paraId="23B9069C" w14:textId="77777777" w:rsidTr="00AC650D">
        <w:trPr>
          <w:trHeight w:val="288"/>
        </w:trPr>
        <w:tc>
          <w:tcPr>
            <w:tcW w:w="634" w:type="dxa"/>
            <w:noWrap/>
            <w:hideMark/>
          </w:tcPr>
          <w:p w14:paraId="1B46C2B6" w14:textId="77777777" w:rsidR="00C15F2E" w:rsidRPr="00D96063" w:rsidRDefault="00C15F2E" w:rsidP="00AC650D">
            <w:pPr>
              <w:jc w:val="left"/>
              <w:rPr>
                <w:rFonts w:eastAsia="Times New Roman" w:cs="Arial"/>
                <w:color w:val="000000"/>
                <w:sz w:val="16"/>
                <w:szCs w:val="16"/>
              </w:rPr>
            </w:pPr>
            <w:r w:rsidRPr="00D96063">
              <w:rPr>
                <w:rFonts w:eastAsia="Times New Roman" w:cs="Arial"/>
                <w:color w:val="000000"/>
                <w:sz w:val="16"/>
                <w:szCs w:val="16"/>
              </w:rPr>
              <w:t>2016</w:t>
            </w:r>
          </w:p>
        </w:tc>
        <w:tc>
          <w:tcPr>
            <w:tcW w:w="1211" w:type="dxa"/>
            <w:hideMark/>
          </w:tcPr>
          <w:p w14:paraId="04A88D13"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1,590</w:t>
            </w:r>
          </w:p>
        </w:tc>
        <w:tc>
          <w:tcPr>
            <w:tcW w:w="1736" w:type="dxa"/>
            <w:noWrap/>
            <w:hideMark/>
          </w:tcPr>
          <w:p w14:paraId="5138B3EB" w14:textId="77777777" w:rsidR="00C15F2E" w:rsidRPr="00D96063" w:rsidRDefault="00C15F2E" w:rsidP="00AC650D">
            <w:pPr>
              <w:ind w:right="454"/>
              <w:jc w:val="right"/>
              <w:rPr>
                <w:rFonts w:eastAsia="Times New Roman" w:cs="Calibri"/>
                <w:color w:val="000000"/>
                <w:sz w:val="16"/>
                <w:szCs w:val="16"/>
              </w:rPr>
            </w:pPr>
            <w:r w:rsidRPr="00D96063">
              <w:rPr>
                <w:rFonts w:eastAsia="Times New Roman" w:cs="Calibri"/>
                <w:color w:val="000000"/>
                <w:sz w:val="16"/>
                <w:szCs w:val="16"/>
              </w:rPr>
              <w:t>397.0</w:t>
            </w:r>
          </w:p>
        </w:tc>
        <w:tc>
          <w:tcPr>
            <w:tcW w:w="1155" w:type="dxa"/>
            <w:noWrap/>
            <w:hideMark/>
          </w:tcPr>
          <w:p w14:paraId="075B2A0C"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8.9</w:t>
            </w:r>
          </w:p>
        </w:tc>
        <w:tc>
          <w:tcPr>
            <w:tcW w:w="1300" w:type="dxa"/>
            <w:noWrap/>
            <w:hideMark/>
          </w:tcPr>
          <w:p w14:paraId="4F68C282"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88.8</w:t>
            </w:r>
          </w:p>
        </w:tc>
        <w:tc>
          <w:tcPr>
            <w:tcW w:w="1155" w:type="dxa"/>
            <w:noWrap/>
            <w:hideMark/>
          </w:tcPr>
          <w:p w14:paraId="00FADF41"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2.3</w:t>
            </w:r>
          </w:p>
        </w:tc>
        <w:tc>
          <w:tcPr>
            <w:tcW w:w="1876" w:type="dxa"/>
            <w:noWrap/>
            <w:hideMark/>
          </w:tcPr>
          <w:p w14:paraId="335374EA" w14:textId="77777777" w:rsidR="00C15F2E" w:rsidRPr="00D96063" w:rsidRDefault="00C15F2E" w:rsidP="00AC650D">
            <w:pPr>
              <w:ind w:right="284"/>
              <w:jc w:val="right"/>
              <w:rPr>
                <w:rFonts w:eastAsia="Times New Roman" w:cs="Calibri"/>
                <w:color w:val="000000"/>
                <w:sz w:val="16"/>
                <w:szCs w:val="16"/>
              </w:rPr>
            </w:pPr>
            <w:r w:rsidRPr="00D96063">
              <w:rPr>
                <w:rFonts w:eastAsia="Times New Roman" w:cs="Calibri"/>
                <w:color w:val="000000"/>
                <w:sz w:val="16"/>
                <w:szCs w:val="16"/>
              </w:rPr>
              <w:t>236,206,127</w:t>
            </w:r>
          </w:p>
        </w:tc>
      </w:tr>
      <w:tr w:rsidR="00C15F2E" w:rsidRPr="00D96063" w14:paraId="47B11084" w14:textId="77777777" w:rsidTr="00AC650D">
        <w:trPr>
          <w:cnfStyle w:val="000000010000" w:firstRow="0" w:lastRow="0" w:firstColumn="0" w:lastColumn="0" w:oddVBand="0" w:evenVBand="0" w:oddHBand="0" w:evenHBand="1" w:firstRowFirstColumn="0" w:firstRowLastColumn="0" w:lastRowFirstColumn="0" w:lastRowLastColumn="0"/>
          <w:trHeight w:val="300"/>
        </w:trPr>
        <w:tc>
          <w:tcPr>
            <w:tcW w:w="634" w:type="dxa"/>
            <w:noWrap/>
            <w:hideMark/>
          </w:tcPr>
          <w:p w14:paraId="0C3F463C" w14:textId="77777777" w:rsidR="00C15F2E" w:rsidRPr="00D96063" w:rsidRDefault="00C15F2E" w:rsidP="00AC650D">
            <w:pPr>
              <w:jc w:val="left"/>
              <w:rPr>
                <w:rFonts w:eastAsia="Times New Roman" w:cs="Arial"/>
                <w:color w:val="000000"/>
                <w:sz w:val="16"/>
                <w:szCs w:val="16"/>
              </w:rPr>
            </w:pPr>
            <w:r w:rsidRPr="00D96063">
              <w:rPr>
                <w:rFonts w:eastAsia="Times New Roman" w:cs="Arial"/>
                <w:color w:val="000000"/>
                <w:sz w:val="16"/>
                <w:szCs w:val="16"/>
              </w:rPr>
              <w:t>2017</w:t>
            </w:r>
          </w:p>
        </w:tc>
        <w:tc>
          <w:tcPr>
            <w:tcW w:w="1211" w:type="dxa"/>
            <w:hideMark/>
          </w:tcPr>
          <w:p w14:paraId="7276266D"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1,640</w:t>
            </w:r>
          </w:p>
        </w:tc>
        <w:tc>
          <w:tcPr>
            <w:tcW w:w="1736" w:type="dxa"/>
            <w:noWrap/>
            <w:hideMark/>
          </w:tcPr>
          <w:p w14:paraId="39AD15C0" w14:textId="77777777" w:rsidR="00C15F2E" w:rsidRPr="00D96063" w:rsidRDefault="00C15F2E" w:rsidP="00AC650D">
            <w:pPr>
              <w:ind w:right="454"/>
              <w:jc w:val="right"/>
              <w:rPr>
                <w:rFonts w:eastAsia="Times New Roman" w:cs="Calibri"/>
                <w:color w:val="000000"/>
                <w:sz w:val="16"/>
                <w:szCs w:val="16"/>
              </w:rPr>
            </w:pPr>
            <w:r w:rsidRPr="00D96063">
              <w:rPr>
                <w:rFonts w:eastAsia="Times New Roman" w:cs="Calibri"/>
                <w:color w:val="000000"/>
                <w:sz w:val="16"/>
                <w:szCs w:val="16"/>
              </w:rPr>
              <w:t>339.2</w:t>
            </w:r>
          </w:p>
        </w:tc>
        <w:tc>
          <w:tcPr>
            <w:tcW w:w="1155" w:type="dxa"/>
            <w:noWrap/>
            <w:hideMark/>
          </w:tcPr>
          <w:p w14:paraId="4028496E"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10.1</w:t>
            </w:r>
          </w:p>
        </w:tc>
        <w:tc>
          <w:tcPr>
            <w:tcW w:w="1300" w:type="dxa"/>
            <w:noWrap/>
            <w:hideMark/>
          </w:tcPr>
          <w:p w14:paraId="6495E344"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86.7</w:t>
            </w:r>
          </w:p>
        </w:tc>
        <w:tc>
          <w:tcPr>
            <w:tcW w:w="1155" w:type="dxa"/>
            <w:noWrap/>
            <w:hideMark/>
          </w:tcPr>
          <w:p w14:paraId="653C8D87"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3.2</w:t>
            </w:r>
          </w:p>
        </w:tc>
        <w:tc>
          <w:tcPr>
            <w:tcW w:w="1876" w:type="dxa"/>
            <w:noWrap/>
            <w:hideMark/>
          </w:tcPr>
          <w:p w14:paraId="5F0E6E79" w14:textId="77777777" w:rsidR="00C15F2E" w:rsidRPr="00D96063" w:rsidRDefault="00C15F2E" w:rsidP="00AC650D">
            <w:pPr>
              <w:ind w:right="284"/>
              <w:jc w:val="right"/>
              <w:rPr>
                <w:rFonts w:eastAsia="Times New Roman" w:cs="Calibri"/>
                <w:color w:val="000000"/>
                <w:sz w:val="16"/>
                <w:szCs w:val="16"/>
              </w:rPr>
            </w:pPr>
            <w:r w:rsidRPr="00D96063">
              <w:rPr>
                <w:rFonts w:eastAsia="Times New Roman" w:cs="Calibri"/>
                <w:color w:val="000000"/>
                <w:sz w:val="16"/>
                <w:szCs w:val="16"/>
              </w:rPr>
              <w:t>224,072,912</w:t>
            </w:r>
          </w:p>
        </w:tc>
      </w:tr>
      <w:tr w:rsidR="00C15F2E" w:rsidRPr="00D96063" w14:paraId="617141BC" w14:textId="77777777" w:rsidTr="00AC650D">
        <w:trPr>
          <w:trHeight w:val="288"/>
        </w:trPr>
        <w:tc>
          <w:tcPr>
            <w:tcW w:w="634" w:type="dxa"/>
            <w:noWrap/>
            <w:hideMark/>
          </w:tcPr>
          <w:p w14:paraId="6ED37BC1" w14:textId="77777777" w:rsidR="00C15F2E" w:rsidRPr="00D96063" w:rsidRDefault="00C15F2E" w:rsidP="00AC650D">
            <w:pPr>
              <w:jc w:val="left"/>
              <w:rPr>
                <w:rFonts w:eastAsia="Times New Roman" w:cs="Arial"/>
                <w:color w:val="000000"/>
                <w:sz w:val="16"/>
                <w:szCs w:val="16"/>
              </w:rPr>
            </w:pPr>
            <w:r w:rsidRPr="00D96063">
              <w:rPr>
                <w:rFonts w:eastAsia="Times New Roman" w:cs="Arial"/>
                <w:color w:val="000000"/>
                <w:sz w:val="16"/>
                <w:szCs w:val="16"/>
              </w:rPr>
              <w:t>2018</w:t>
            </w:r>
          </w:p>
        </w:tc>
        <w:tc>
          <w:tcPr>
            <w:tcW w:w="1211" w:type="dxa"/>
            <w:noWrap/>
            <w:hideMark/>
          </w:tcPr>
          <w:p w14:paraId="423F9938"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863</w:t>
            </w:r>
          </w:p>
        </w:tc>
        <w:tc>
          <w:tcPr>
            <w:tcW w:w="1736" w:type="dxa"/>
            <w:noWrap/>
            <w:hideMark/>
          </w:tcPr>
          <w:p w14:paraId="1CE5C7CC" w14:textId="77777777" w:rsidR="00C15F2E" w:rsidRPr="00D96063" w:rsidRDefault="00C15F2E" w:rsidP="00AC650D">
            <w:pPr>
              <w:ind w:right="454"/>
              <w:jc w:val="right"/>
              <w:rPr>
                <w:rFonts w:eastAsia="Times New Roman" w:cs="Calibri"/>
                <w:color w:val="000000"/>
                <w:sz w:val="16"/>
                <w:szCs w:val="16"/>
              </w:rPr>
            </w:pPr>
            <w:r w:rsidRPr="00D96063">
              <w:rPr>
                <w:rFonts w:eastAsia="Times New Roman" w:cs="Calibri"/>
                <w:color w:val="000000"/>
                <w:sz w:val="16"/>
                <w:szCs w:val="16"/>
              </w:rPr>
              <w:t>333.0</w:t>
            </w:r>
          </w:p>
        </w:tc>
        <w:tc>
          <w:tcPr>
            <w:tcW w:w="1155" w:type="dxa"/>
            <w:noWrap/>
            <w:hideMark/>
          </w:tcPr>
          <w:p w14:paraId="362E9768"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8.8</w:t>
            </w:r>
          </w:p>
        </w:tc>
        <w:tc>
          <w:tcPr>
            <w:tcW w:w="1300" w:type="dxa"/>
            <w:noWrap/>
            <w:hideMark/>
          </w:tcPr>
          <w:p w14:paraId="34733065"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88.7</w:t>
            </w:r>
          </w:p>
        </w:tc>
        <w:tc>
          <w:tcPr>
            <w:tcW w:w="1155" w:type="dxa"/>
            <w:noWrap/>
            <w:hideMark/>
          </w:tcPr>
          <w:p w14:paraId="421474B3"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2.5</w:t>
            </w:r>
          </w:p>
        </w:tc>
        <w:tc>
          <w:tcPr>
            <w:tcW w:w="1876" w:type="dxa"/>
            <w:noWrap/>
            <w:hideMark/>
          </w:tcPr>
          <w:p w14:paraId="25CDC0FC" w14:textId="77777777" w:rsidR="00C15F2E" w:rsidRPr="00D96063" w:rsidRDefault="00C15F2E" w:rsidP="00AC650D">
            <w:pPr>
              <w:ind w:right="284"/>
              <w:jc w:val="right"/>
              <w:rPr>
                <w:rFonts w:eastAsia="Times New Roman" w:cs="Calibri"/>
                <w:color w:val="000000"/>
                <w:sz w:val="16"/>
                <w:szCs w:val="16"/>
              </w:rPr>
            </w:pPr>
            <w:r w:rsidRPr="00D96063">
              <w:rPr>
                <w:rFonts w:eastAsia="Times New Roman" w:cs="Calibri"/>
                <w:color w:val="000000"/>
                <w:sz w:val="16"/>
                <w:szCs w:val="16"/>
              </w:rPr>
              <w:t>214,170,940</w:t>
            </w:r>
          </w:p>
        </w:tc>
      </w:tr>
      <w:tr w:rsidR="00C15F2E" w:rsidRPr="00D96063" w14:paraId="33A5CC4A" w14:textId="77777777" w:rsidTr="00AC650D">
        <w:trPr>
          <w:cnfStyle w:val="000000010000" w:firstRow="0" w:lastRow="0" w:firstColumn="0" w:lastColumn="0" w:oddVBand="0" w:evenVBand="0" w:oddHBand="0" w:evenHBand="1" w:firstRowFirstColumn="0" w:firstRowLastColumn="0" w:lastRowFirstColumn="0" w:lastRowLastColumn="0"/>
          <w:trHeight w:val="288"/>
        </w:trPr>
        <w:tc>
          <w:tcPr>
            <w:tcW w:w="634" w:type="dxa"/>
            <w:noWrap/>
            <w:hideMark/>
          </w:tcPr>
          <w:p w14:paraId="50F3C05B" w14:textId="77777777" w:rsidR="00C15F2E" w:rsidRPr="00D96063" w:rsidRDefault="00C15F2E" w:rsidP="00AC650D">
            <w:pPr>
              <w:jc w:val="left"/>
              <w:rPr>
                <w:rFonts w:eastAsia="Times New Roman" w:cs="Arial"/>
                <w:color w:val="000000"/>
                <w:sz w:val="16"/>
                <w:szCs w:val="16"/>
              </w:rPr>
            </w:pPr>
            <w:r w:rsidRPr="00D96063">
              <w:rPr>
                <w:rFonts w:eastAsia="Times New Roman" w:cs="Arial"/>
                <w:color w:val="000000"/>
                <w:sz w:val="16"/>
                <w:szCs w:val="16"/>
              </w:rPr>
              <w:t>2019</w:t>
            </w:r>
          </w:p>
        </w:tc>
        <w:tc>
          <w:tcPr>
            <w:tcW w:w="1211" w:type="dxa"/>
            <w:noWrap/>
            <w:hideMark/>
          </w:tcPr>
          <w:p w14:paraId="322754F3"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1,100</w:t>
            </w:r>
          </w:p>
        </w:tc>
        <w:tc>
          <w:tcPr>
            <w:tcW w:w="1736" w:type="dxa"/>
            <w:noWrap/>
            <w:hideMark/>
          </w:tcPr>
          <w:p w14:paraId="29F2CBB7" w14:textId="77777777" w:rsidR="00C15F2E" w:rsidRPr="00D96063" w:rsidRDefault="00C15F2E" w:rsidP="00AC650D">
            <w:pPr>
              <w:ind w:right="454"/>
              <w:jc w:val="right"/>
              <w:rPr>
                <w:rFonts w:eastAsia="Times New Roman" w:cs="Calibri"/>
                <w:color w:val="000000"/>
                <w:sz w:val="16"/>
                <w:szCs w:val="16"/>
              </w:rPr>
            </w:pPr>
            <w:r w:rsidRPr="00D96063">
              <w:rPr>
                <w:rFonts w:eastAsia="Times New Roman" w:cs="Calibri"/>
                <w:color w:val="000000"/>
                <w:sz w:val="16"/>
                <w:szCs w:val="16"/>
              </w:rPr>
              <w:t>300.4</w:t>
            </w:r>
          </w:p>
        </w:tc>
        <w:tc>
          <w:tcPr>
            <w:tcW w:w="1155" w:type="dxa"/>
            <w:noWrap/>
            <w:hideMark/>
          </w:tcPr>
          <w:p w14:paraId="627DF25C"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8.2</w:t>
            </w:r>
          </w:p>
        </w:tc>
        <w:tc>
          <w:tcPr>
            <w:tcW w:w="1300" w:type="dxa"/>
            <w:noWrap/>
            <w:hideMark/>
          </w:tcPr>
          <w:p w14:paraId="14C7AD2F"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88.6</w:t>
            </w:r>
          </w:p>
        </w:tc>
        <w:tc>
          <w:tcPr>
            <w:tcW w:w="1155" w:type="dxa"/>
            <w:noWrap/>
            <w:hideMark/>
          </w:tcPr>
          <w:p w14:paraId="4B4B9DEB"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3.2</w:t>
            </w:r>
          </w:p>
        </w:tc>
        <w:tc>
          <w:tcPr>
            <w:tcW w:w="1876" w:type="dxa"/>
            <w:noWrap/>
            <w:hideMark/>
          </w:tcPr>
          <w:p w14:paraId="2EF622E7" w14:textId="77777777" w:rsidR="00C15F2E" w:rsidRPr="00D96063" w:rsidRDefault="00C15F2E" w:rsidP="00AC650D">
            <w:pPr>
              <w:ind w:right="284"/>
              <w:jc w:val="right"/>
              <w:rPr>
                <w:rFonts w:eastAsia="Times New Roman" w:cs="Calibri"/>
                <w:color w:val="000000"/>
                <w:sz w:val="16"/>
                <w:szCs w:val="16"/>
              </w:rPr>
            </w:pPr>
            <w:r w:rsidRPr="00D96063">
              <w:rPr>
                <w:rFonts w:eastAsia="Times New Roman" w:cs="Calibri"/>
                <w:color w:val="000000"/>
                <w:sz w:val="16"/>
                <w:szCs w:val="16"/>
              </w:rPr>
              <w:t>167,201,136</w:t>
            </w:r>
          </w:p>
        </w:tc>
      </w:tr>
      <w:tr w:rsidR="00C15F2E" w:rsidRPr="00D96063" w14:paraId="50DC7898" w14:textId="77777777" w:rsidTr="00AC650D">
        <w:trPr>
          <w:trHeight w:val="288"/>
        </w:trPr>
        <w:tc>
          <w:tcPr>
            <w:tcW w:w="634" w:type="dxa"/>
            <w:noWrap/>
            <w:hideMark/>
          </w:tcPr>
          <w:p w14:paraId="7A9AFA96" w14:textId="77777777" w:rsidR="00C15F2E" w:rsidRPr="00D96063" w:rsidRDefault="00C15F2E" w:rsidP="00AC650D">
            <w:pPr>
              <w:jc w:val="left"/>
              <w:rPr>
                <w:rFonts w:eastAsia="Times New Roman" w:cs="Arial"/>
                <w:color w:val="000000"/>
                <w:sz w:val="16"/>
                <w:szCs w:val="16"/>
              </w:rPr>
            </w:pPr>
            <w:r w:rsidRPr="00D96063">
              <w:rPr>
                <w:rFonts w:eastAsia="Times New Roman" w:cs="Arial"/>
                <w:color w:val="000000"/>
                <w:sz w:val="16"/>
                <w:szCs w:val="16"/>
              </w:rPr>
              <w:t>2020</w:t>
            </w:r>
          </w:p>
        </w:tc>
        <w:tc>
          <w:tcPr>
            <w:tcW w:w="1211" w:type="dxa"/>
            <w:noWrap/>
            <w:hideMark/>
          </w:tcPr>
          <w:p w14:paraId="268C462D"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1,095</w:t>
            </w:r>
          </w:p>
        </w:tc>
        <w:tc>
          <w:tcPr>
            <w:tcW w:w="1736" w:type="dxa"/>
            <w:noWrap/>
            <w:hideMark/>
          </w:tcPr>
          <w:p w14:paraId="6E6D0596" w14:textId="77777777" w:rsidR="00C15F2E" w:rsidRPr="00D96063" w:rsidRDefault="00C15F2E" w:rsidP="00AC650D">
            <w:pPr>
              <w:ind w:right="454"/>
              <w:jc w:val="right"/>
              <w:rPr>
                <w:rFonts w:eastAsia="Times New Roman" w:cs="Calibri"/>
                <w:color w:val="000000"/>
                <w:sz w:val="16"/>
                <w:szCs w:val="16"/>
              </w:rPr>
            </w:pPr>
            <w:r w:rsidRPr="00D96063">
              <w:rPr>
                <w:rFonts w:eastAsia="Times New Roman" w:cs="Calibri"/>
                <w:color w:val="000000"/>
                <w:sz w:val="16"/>
                <w:szCs w:val="16"/>
              </w:rPr>
              <w:t>226.1</w:t>
            </w:r>
          </w:p>
        </w:tc>
        <w:tc>
          <w:tcPr>
            <w:tcW w:w="1155" w:type="dxa"/>
            <w:noWrap/>
            <w:hideMark/>
          </w:tcPr>
          <w:p w14:paraId="677C3224" w14:textId="77777777" w:rsidR="00C15F2E" w:rsidRPr="00D96063" w:rsidRDefault="00C15F2E" w:rsidP="00AC650D">
            <w:pPr>
              <w:ind w:right="227"/>
              <w:jc w:val="right"/>
              <w:rPr>
                <w:rFonts w:eastAsia="Times New Roman" w:cs="Calibri"/>
                <w:color w:val="000000"/>
                <w:sz w:val="16"/>
                <w:szCs w:val="16"/>
              </w:rPr>
            </w:pPr>
            <w:r w:rsidRPr="00D96063">
              <w:rPr>
                <w:rFonts w:eastAsia="Times New Roman" w:cs="Calibri"/>
                <w:color w:val="000000"/>
                <w:sz w:val="16"/>
                <w:szCs w:val="16"/>
              </w:rPr>
              <w:t>11.4</w:t>
            </w:r>
          </w:p>
        </w:tc>
        <w:tc>
          <w:tcPr>
            <w:tcW w:w="1300" w:type="dxa"/>
            <w:noWrap/>
            <w:hideMark/>
          </w:tcPr>
          <w:p w14:paraId="229C8997"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83.9</w:t>
            </w:r>
          </w:p>
        </w:tc>
        <w:tc>
          <w:tcPr>
            <w:tcW w:w="1155" w:type="dxa"/>
            <w:noWrap/>
            <w:hideMark/>
          </w:tcPr>
          <w:p w14:paraId="6A5718A8" w14:textId="77777777" w:rsidR="00C15F2E" w:rsidRPr="00D96063" w:rsidRDefault="00C15F2E" w:rsidP="00AC650D">
            <w:pPr>
              <w:ind w:right="340"/>
              <w:jc w:val="right"/>
              <w:rPr>
                <w:rFonts w:eastAsia="Times New Roman" w:cs="Calibri"/>
                <w:color w:val="000000"/>
                <w:sz w:val="16"/>
                <w:szCs w:val="16"/>
              </w:rPr>
            </w:pPr>
            <w:r w:rsidRPr="00D96063">
              <w:rPr>
                <w:rFonts w:eastAsia="Times New Roman" w:cs="Calibri"/>
                <w:color w:val="000000"/>
                <w:sz w:val="16"/>
                <w:szCs w:val="16"/>
              </w:rPr>
              <w:t>4.6</w:t>
            </w:r>
          </w:p>
        </w:tc>
        <w:tc>
          <w:tcPr>
            <w:tcW w:w="1876" w:type="dxa"/>
            <w:noWrap/>
            <w:hideMark/>
          </w:tcPr>
          <w:p w14:paraId="2A59C4B7" w14:textId="77777777" w:rsidR="00C15F2E" w:rsidRPr="00D96063" w:rsidRDefault="00C15F2E" w:rsidP="00AC650D">
            <w:pPr>
              <w:ind w:right="284"/>
              <w:jc w:val="right"/>
              <w:rPr>
                <w:rFonts w:eastAsia="Times New Roman" w:cs="Calibri"/>
                <w:color w:val="000000"/>
                <w:sz w:val="16"/>
                <w:szCs w:val="16"/>
              </w:rPr>
            </w:pPr>
            <w:r w:rsidRPr="00D96063">
              <w:rPr>
                <w:rFonts w:eastAsia="Times New Roman" w:cs="Calibri"/>
                <w:color w:val="000000"/>
                <w:sz w:val="16"/>
                <w:szCs w:val="16"/>
              </w:rPr>
              <w:t>137,057,366</w:t>
            </w:r>
          </w:p>
        </w:tc>
      </w:tr>
    </w:tbl>
    <w:p w14:paraId="350B5070" w14:textId="77777777" w:rsidR="00C15F2E" w:rsidRPr="00D96063" w:rsidRDefault="00C15F2E" w:rsidP="00D868BF">
      <w:pPr>
        <w:pStyle w:val="NoteText"/>
        <w:spacing w:before="120" w:after="240"/>
      </w:pPr>
      <w:r w:rsidRPr="00D96063">
        <w:t>Source:</w:t>
      </w:r>
      <w:r w:rsidRPr="00D96063">
        <w:tab/>
        <w:t>Information provided by authorities.</w:t>
      </w:r>
    </w:p>
    <w:p w14:paraId="0E199DC6" w14:textId="77777777" w:rsidR="00C15F2E" w:rsidRPr="00D96063" w:rsidRDefault="00C15F2E" w:rsidP="003758E5">
      <w:pPr>
        <w:numPr>
          <w:ilvl w:val="6"/>
          <w:numId w:val="18"/>
        </w:numPr>
        <w:spacing w:after="240"/>
      </w:pPr>
      <w:r w:rsidRPr="00D96063">
        <w:t>Pursuant to the 1992 Constitution, the Government claims state ownership of all naturally occurring trees, including land privately held under customary title. Most of the forest land in Ghana is vested in local communities and open to traditional activities, including the collection of non-timber forest products, hunting, and fuel wood collection, which partly explains the deforestation problem. The ownership of planted trees is, however, distinct from that of naturally occurring trees. Tree tenure rights in Ghana are complex, and reforms are planned. However, changing the current tree tenure regime requires revisions at many levels, including the Constitution.</w:t>
      </w:r>
    </w:p>
    <w:p w14:paraId="07C67A8B" w14:textId="77777777" w:rsidR="00C15F2E" w:rsidRPr="00D96063" w:rsidRDefault="00C15F2E" w:rsidP="00D868BF">
      <w:pPr>
        <w:pStyle w:val="BodyText"/>
      </w:pPr>
      <w:r w:rsidRPr="00D96063">
        <w:t>The forestry sector is overseen by the MLNR, and the Forestry Commission of Ghana is responsible for its regulation.</w:t>
      </w:r>
      <w:r w:rsidRPr="00D96063">
        <w:rPr>
          <w:rStyle w:val="FootnoteReference"/>
          <w:szCs w:val="18"/>
        </w:rPr>
        <w:footnoteReference w:id="134"/>
      </w:r>
      <w:r w:rsidRPr="00D96063">
        <w:t xml:space="preserve"> The Ghana </w:t>
      </w:r>
      <w:r w:rsidRPr="00D96063">
        <w:rPr>
          <w:rFonts w:cs="Arial"/>
          <w:color w:val="000000"/>
          <w:shd w:val="clear" w:color="auto" w:fill="FFFFFF"/>
        </w:rPr>
        <w:t>Forest</w:t>
      </w:r>
      <w:r w:rsidRPr="00D96063">
        <w:t xml:space="preserve"> and Wildlife Policy 2012</w:t>
      </w:r>
      <w:r w:rsidRPr="00D96063">
        <w:rPr>
          <w:rStyle w:val="FootnoteReference"/>
        </w:rPr>
        <w:footnoteReference w:id="135"/>
      </w:r>
      <w:r w:rsidRPr="00D96063">
        <w:t xml:space="preserve"> is the main policy document guiding the sector, supplemented by the Ghana Forestry Development Master Plan, 2016</w:t>
      </w:r>
      <w:r w:rsidRPr="00D96063">
        <w:noBreakHyphen/>
        <w:t>2036</w:t>
      </w:r>
      <w:r w:rsidRPr="00D96063">
        <w:rPr>
          <w:rStyle w:val="FootnoteReference"/>
        </w:rPr>
        <w:footnoteReference w:id="136"/>
      </w:r>
      <w:r w:rsidRPr="00D96063">
        <w:t>, and the Ghana Forest Plantation Strategy.</w:t>
      </w:r>
      <w:r w:rsidRPr="00D96063">
        <w:rPr>
          <w:rStyle w:val="FootnoteReference"/>
        </w:rPr>
        <w:footnoteReference w:id="137"/>
      </w:r>
      <w:r w:rsidRPr="00D96063">
        <w:t xml:space="preserve"> The main forestry legislation includes the Timber Resource Management Act, 1997</w:t>
      </w:r>
      <w:r w:rsidRPr="00D96063">
        <w:rPr>
          <w:vertAlign w:val="superscript"/>
        </w:rPr>
        <w:footnoteReference w:id="138"/>
      </w:r>
      <w:r w:rsidRPr="00D96063">
        <w:t xml:space="preserve">, as amended by the Timber Resource Management Act, </w:t>
      </w:r>
      <w:r w:rsidRPr="00D96063">
        <w:lastRenderedPageBreak/>
        <w:t>2002 (Act 617); the Trees and Timber Act, 1994 (Act 493)</w:t>
      </w:r>
      <w:r w:rsidRPr="00D96063">
        <w:rPr>
          <w:vertAlign w:val="superscript"/>
        </w:rPr>
        <w:footnoteReference w:id="139"/>
      </w:r>
      <w:r w:rsidRPr="00D96063">
        <w:t>; and the Forest Protection (Amendment) Act, 2002 (Act 624).</w:t>
      </w:r>
      <w:r w:rsidRPr="00D96063">
        <w:rPr>
          <w:vertAlign w:val="superscript"/>
        </w:rPr>
        <w:footnoteReference w:id="140"/>
      </w:r>
      <w:r w:rsidRPr="00D96063">
        <w:t xml:space="preserve"> Under Act 617, private enterprises, including foreign companies, may enter into a contract with the Government to utilize and manage timber resources. In addition, the Minister may for the purpose of promoting strategic or major investments in the forestry sector negotiate specific incentives in addition to those provided under Act 617.</w:t>
      </w:r>
    </w:p>
    <w:p w14:paraId="6457D028" w14:textId="77777777" w:rsidR="00C15F2E" w:rsidRPr="00D96063" w:rsidRDefault="00C15F2E" w:rsidP="00D868BF">
      <w:pPr>
        <w:pStyle w:val="BodyText"/>
      </w:pPr>
      <w:r w:rsidRPr="00D96063">
        <w:t>In 2017, Ghana adopted the new Timber Resource Management and Legality Licensing Regulations, 2017.</w:t>
      </w:r>
      <w:r w:rsidRPr="00D96063">
        <w:rPr>
          <w:rStyle w:val="FootnoteReference"/>
          <w:rFonts w:cs="Arial"/>
          <w:color w:val="000000"/>
          <w:szCs w:val="18"/>
          <w:shd w:val="clear" w:color="auto" w:fill="FFFFFF"/>
        </w:rPr>
        <w:footnoteReference w:id="141"/>
      </w:r>
      <w:r w:rsidRPr="00D96063">
        <w:t xml:space="preserve"> The regulations clarify the granting of special permits and require companies to negotiate social responsibility agreements with local communities. Large-scale timber rights are allocated through a competitive bidding process organized by the Forestry Commission according to the 2017 regulations</w:t>
      </w:r>
      <w:r w:rsidRPr="00D96063">
        <w:rPr>
          <w:shd w:val="clear" w:color="auto" w:fill="FFFFFF"/>
        </w:rPr>
        <w:t xml:space="preserve">. </w:t>
      </w:r>
      <w:r w:rsidRPr="00D96063">
        <w:t>Small-scale timber rights are allocated through a competitive process where firms that qualify are selected through a single process without bidding.</w:t>
      </w:r>
    </w:p>
    <w:p w14:paraId="17D96813" w14:textId="77777777" w:rsidR="00C15F2E" w:rsidRPr="00D96063" w:rsidRDefault="00C15F2E" w:rsidP="00D868BF">
      <w:pPr>
        <w:pStyle w:val="BodyText"/>
      </w:pPr>
      <w:r w:rsidRPr="00D96063">
        <w:t>In 2019, Ghana signed an Emission Reductions Payment Agreement with the World Bank under the "REDD+ process".</w:t>
      </w:r>
      <w:r w:rsidRPr="00D96063">
        <w:rPr>
          <w:rStyle w:val="FootnoteReference"/>
        </w:rPr>
        <w:footnoteReference w:id="142"/>
      </w:r>
      <w:r w:rsidRPr="00D96063">
        <w:t xml:space="preserve"> Performance-based payments of up to USD 50 million are provided for reductions of 10 million tonnes of CO</w:t>
      </w:r>
      <w:r w:rsidRPr="00D96063">
        <w:rPr>
          <w:vertAlign w:val="subscript"/>
        </w:rPr>
        <w:t>2</w:t>
      </w:r>
      <w:r w:rsidRPr="00D96063">
        <w:t xml:space="preserve"> emissions from the forest and land-use sectors.</w:t>
      </w:r>
      <w:r w:rsidRPr="00D96063">
        <w:rPr>
          <w:rStyle w:val="FootnoteReference"/>
          <w:szCs w:val="18"/>
        </w:rPr>
        <w:footnoteReference w:id="143"/>
      </w:r>
      <w:r w:rsidRPr="00D96063">
        <w:t xml:space="preserve"> The country currently has two large subnational REDD+ programmes.</w:t>
      </w:r>
    </w:p>
    <w:p w14:paraId="0A7A56B4" w14:textId="77777777" w:rsidR="00C15F2E" w:rsidRPr="00D96063" w:rsidRDefault="00C15F2E" w:rsidP="00D868BF">
      <w:pPr>
        <w:pStyle w:val="BodyText"/>
      </w:pPr>
      <w:r w:rsidRPr="00D96063">
        <w:t>All buyers and exporters of timber and wood products are required to register with the Forestry Commission and renew their buyers and exporters registration certificates annually. Ghana has developed an online portal linked to the Forestry Commission's electronic wood tracking system, to make information on forest sector management publicly available.</w:t>
      </w:r>
      <w:r w:rsidRPr="00D96063">
        <w:rPr>
          <w:rStyle w:val="FootnoteReference"/>
        </w:rPr>
        <w:footnoteReference w:id="144"/>
      </w:r>
    </w:p>
    <w:p w14:paraId="125CFAE7" w14:textId="77777777" w:rsidR="00C15F2E" w:rsidRPr="00D96063" w:rsidRDefault="00C15F2E" w:rsidP="00D868BF">
      <w:pPr>
        <w:pStyle w:val="BodyText"/>
      </w:pPr>
      <w:r w:rsidRPr="00D96063">
        <w:t>In 2009, Ghana became the first country to sign a Forest Law Enforcement, Governance and Trade (FLEGT) Voluntary Partnership Agreement (VPA) with the European Union. Under the VPA, Ghana and the European Union committed to trading only legal timber and timber products. To achieve this, Ghana committed to develop a legality assurance system to track timber along the supply chain, verify compliance with a stakeholder-agreed legality definition, and issue FLEGT licences to verified legal products exported to the European Union. Ghana also committed to applying the same legality standards to all timber harvested, regardless of whether the timber is exported to a non-EU destination. Ghana expects to start issuing the FLEGT licences by the second quarter of 2022. Implementation challenges include the acquisition and deployment of technology and the operating network, and training of staff.</w:t>
      </w:r>
    </w:p>
    <w:p w14:paraId="14123CA6" w14:textId="77777777" w:rsidR="00C15F2E" w:rsidRPr="00D96063" w:rsidRDefault="00C15F2E" w:rsidP="00D868BF">
      <w:pPr>
        <w:pStyle w:val="BodyText"/>
      </w:pPr>
      <w:r w:rsidRPr="00D96063">
        <w:t xml:space="preserve">In 2017, following the addition of African rosewood to the harvesting restrictions under the Convention on International Trade in Endangered Species (CITES), Ghana restricted that species under the 2017 Regulations. In 2017, following concerns raised about rosewood being harvested in large volumes in northern Ghana, the Minister of Lands and Natural Resources met civil society </w:t>
      </w:r>
      <w:r w:rsidRPr="00D96063">
        <w:lastRenderedPageBreak/>
        <w:t>groups and committed to further dialogue with them on strengthening regulation of rosewood. A rosewood harvesting and export ban was put in place in 2018 and remains in force.</w:t>
      </w:r>
    </w:p>
    <w:p w14:paraId="1AAD5FC8" w14:textId="3821A4CB" w:rsidR="00C15F2E" w:rsidRPr="00D96063" w:rsidRDefault="00C15F2E" w:rsidP="00D868BF">
      <w:pPr>
        <w:pStyle w:val="BodyText"/>
      </w:pPr>
      <w:r w:rsidRPr="00D96063">
        <w:t>Ghana's timber regime is intended to promote value-addition in the domestic timber industry. Exports of round logs are generally prohibited to encourage domestic downstream processing as per Act 493. Exports of timber, wood products, and sawn lumber require a permit issued by the Forestry Commission. All timber exports are liable to an export levy of 1.5%. In addition, processed (air</w:t>
      </w:r>
      <w:r w:rsidRPr="00D96063">
        <w:noBreakHyphen/>
        <w:t>dried) timber exports of nine selected species as per Act 493 are liable to an export levy of 15%-30%.</w:t>
      </w:r>
      <w:r w:rsidRPr="00D96063">
        <w:rPr>
          <w:rStyle w:val="FootnoteReference"/>
        </w:rPr>
        <w:footnoteReference w:id="145"/>
      </w:r>
      <w:r w:rsidRPr="00D96063">
        <w:t xml:space="preserve"> Also, a 10% export levy is imposed on the f.o.b. value of teak log exports to promote forest plantation development.</w:t>
      </w:r>
    </w:p>
    <w:p w14:paraId="08404D55" w14:textId="77777777" w:rsidR="00C15F2E" w:rsidRPr="00D96063" w:rsidRDefault="00C15F2E" w:rsidP="00D868BF">
      <w:pPr>
        <w:pStyle w:val="Heading3"/>
      </w:pPr>
      <w:bookmarkStart w:id="201" w:name="_Toc103607715"/>
      <w:r w:rsidRPr="00D96063">
        <w:t>Fisheries</w:t>
      </w:r>
      <w:bookmarkEnd w:id="201"/>
    </w:p>
    <w:p w14:paraId="25E368E8" w14:textId="77777777" w:rsidR="00C15F2E" w:rsidRPr="00D96063" w:rsidRDefault="00C15F2E" w:rsidP="00D868BF">
      <w:pPr>
        <w:pStyle w:val="BodyText"/>
      </w:pPr>
      <w:r w:rsidRPr="00D96063">
        <w:t>The fisheries sector contributed approximately 1% to GDP in 2020, a decline over the review period (Table 1.1). The sector is vital for livelihoods and food security, and employs about 10% of the population. As fish consumption exceeds local production, there is a need for an accelerated pace in the aquaculture development; and further efforts are needed to address overfishing. Ghana is represented in the WTO Fisheries Subsidies negotiations by the African, Caribbean, and Pacific (ACP) and Africa groups.</w:t>
      </w:r>
    </w:p>
    <w:p w14:paraId="203C5A82" w14:textId="77777777" w:rsidR="00C15F2E" w:rsidRPr="00D96063" w:rsidRDefault="00C15F2E" w:rsidP="00D868BF">
      <w:pPr>
        <w:pStyle w:val="BodyText"/>
      </w:pPr>
      <w:r w:rsidRPr="00D96063">
        <w:t>Ghana is endowed with both marine and freshwater fisheries resources. The country has a coastline of 550 km and an Exclusive Economic Zone (EEZ) of 225,000 km</w:t>
      </w:r>
      <w:r w:rsidRPr="00D96063">
        <w:rPr>
          <w:vertAlign w:val="superscript"/>
        </w:rPr>
        <w:t>2</w:t>
      </w:r>
      <w:r w:rsidRPr="00D96063">
        <w:t>. In addition, the Volta, South-Western, and Coastal River systems, as well as Lake Volta (8,442 km</w:t>
      </w:r>
      <w:r w:rsidRPr="00D96063">
        <w:rPr>
          <w:vertAlign w:val="superscript"/>
        </w:rPr>
        <w:t>2</w:t>
      </w:r>
      <w:r w:rsidRPr="00D96063">
        <w:t>) and Lake Bosumtwi, form part of its freshwater resources.</w:t>
      </w:r>
      <w:r w:rsidRPr="00D96063">
        <w:rPr>
          <w:vertAlign w:val="superscript"/>
        </w:rPr>
        <w:footnoteReference w:id="146"/>
      </w:r>
      <w:r w:rsidRPr="00D96063">
        <w:t xml:space="preserve"> Aquaculture plays an increasing role, contributing about 14% towards fish production in 2020, whereas marine and inland production contributed 69% and 17%, respectively.</w:t>
      </w:r>
      <w:r w:rsidRPr="00D96063">
        <w:rPr>
          <w:vertAlign w:val="superscript"/>
        </w:rPr>
        <w:footnoteReference w:id="147"/>
      </w:r>
      <w:r w:rsidRPr="00D96063">
        <w:t xml:space="preserve"> The main farmed fish species are Nile tilapia and African catfish.</w:t>
      </w:r>
    </w:p>
    <w:p w14:paraId="4668F8FB" w14:textId="77777777" w:rsidR="00C15F2E" w:rsidRPr="00D96063" w:rsidRDefault="00C15F2E" w:rsidP="003758E5">
      <w:pPr>
        <w:numPr>
          <w:ilvl w:val="6"/>
          <w:numId w:val="18"/>
        </w:numPr>
        <w:spacing w:after="240"/>
      </w:pPr>
      <w:r w:rsidRPr="00D96063">
        <w:t>Although fish production has increased since 2014, Ghana is a net importer of fish (Chart 4.1). Fish and fish products are Ghana's most important "non-traditional" export, but export revenues have been volatile. Industrial fish processing mainly consists of canned tuna and fresh and chilled tuna. Other fish species such as frozen or fresh lobsters, cuttle fish, squids, and smoked/dried/salted fishes are also exported. Some of the largest companies are local-foreign joint ventures that are major suppliers of processed seafood products to the European markets. Fish imports are high during the lean period from November to May. Frozen fish, mainly horse mackerel, chub mackerel, yellowfin tuna, and sardinella, are imported to complement domestic fish production. Imports are brought in through Tema and Takoradi ports.</w:t>
      </w:r>
    </w:p>
    <w:p w14:paraId="44248129" w14:textId="77777777" w:rsidR="00C15F2E" w:rsidRPr="00D96063" w:rsidRDefault="00C15F2E" w:rsidP="003758E5">
      <w:pPr>
        <w:numPr>
          <w:ilvl w:val="6"/>
          <w:numId w:val="18"/>
        </w:numPr>
        <w:spacing w:after="240"/>
      </w:pPr>
      <w:r w:rsidRPr="00D96063">
        <w:t>The Ministry of Fisheries and Aquaculture Development (MoFAD) is responsible for fisheries and aquaculture policies and supervises its agencies (the Fisheries Commission and the National Premix Secretariat). The main policy in the sector are the Fisheries and Aquaculture Policy (2008) and its successor Draft Fisheries and Aquaculture Policy (2021). Policy priorities are to: (i) improve fisheries governance; (ii) modernize the fishing fleet to meet SPS requirements in export markets; (iii) develop harbours and landing sites to improve fishing handling; (iv) reduce post</w:t>
      </w:r>
      <w:r w:rsidRPr="00D96063">
        <w:noBreakHyphen/>
        <w:t>harvest losses; (v) improve hygiene and sanitation at landing sites; and (vi) promote value addition for fishery exports.</w:t>
      </w:r>
    </w:p>
    <w:p w14:paraId="477BE2C7" w14:textId="77777777" w:rsidR="00C15F2E" w:rsidRPr="00D96063" w:rsidRDefault="00C15F2E" w:rsidP="00D868BF">
      <w:pPr>
        <w:pStyle w:val="BodyText"/>
      </w:pPr>
      <w:r w:rsidRPr="00D96063">
        <w:t xml:space="preserve">The main legislation is the Fisheries Act, 2002 (Act 625) as amended by the Fisheries (Amendment) Act, 2014 (Act 880), under review in 2022, and the Fisheries Regulations, 2010 as amended by the Fisheries (Amendment) Regulations, 2015. The amendments seek to give effect to international conservation and management obligations to combat IUU fishing. The Fisheries </w:t>
      </w:r>
      <w:r w:rsidRPr="00D96063">
        <w:lastRenderedPageBreak/>
        <w:t>Management Plan 2015-19 (currently under review) was developed in response to depletion of fish stocks.</w:t>
      </w:r>
      <w:r w:rsidRPr="00D96063">
        <w:rPr>
          <w:vertAlign w:val="superscript"/>
        </w:rPr>
        <w:footnoteReference w:id="148"/>
      </w:r>
    </w:p>
    <w:p w14:paraId="76B7C0CF" w14:textId="2FA48A90" w:rsidR="00C15F2E" w:rsidRPr="00D96063" w:rsidRDefault="00C15F2E" w:rsidP="00D868BF">
      <w:pPr>
        <w:pStyle w:val="BodyText"/>
        <w:rPr>
          <w:szCs w:val="18"/>
        </w:rPr>
      </w:pPr>
      <w:r w:rsidRPr="00D96063">
        <w:rPr>
          <w:szCs w:val="18"/>
        </w:rPr>
        <w:t>Ghana is party to several international agreements for fisheries management, including the International Commission for the Conservation of Atlantic Tuna (ICCAT), the FAO Code of Conduct for Responsible Fisheries, the FAO Compliance Agreement on Flag States, the FAO Guidelines on Flag State Performance for Responsible Fisheries, and the UN Fish Stock</w:t>
      </w:r>
      <w:r w:rsidR="00302D4E">
        <w:rPr>
          <w:szCs w:val="18"/>
        </w:rPr>
        <w:t>s</w:t>
      </w:r>
      <w:r w:rsidRPr="00D96063">
        <w:rPr>
          <w:szCs w:val="18"/>
        </w:rPr>
        <w:t xml:space="preserve"> A</w:t>
      </w:r>
      <w:r w:rsidR="00652AEB">
        <w:rPr>
          <w:szCs w:val="18"/>
        </w:rPr>
        <w:t xml:space="preserve">greement </w:t>
      </w:r>
      <w:r w:rsidRPr="00D96063">
        <w:rPr>
          <w:szCs w:val="18"/>
        </w:rPr>
        <w:t xml:space="preserve">and </w:t>
      </w:r>
      <w:r w:rsidR="00652AEB">
        <w:rPr>
          <w:szCs w:val="18"/>
        </w:rPr>
        <w:t xml:space="preserve">the Agreement on </w:t>
      </w:r>
      <w:r w:rsidRPr="00D96063">
        <w:rPr>
          <w:szCs w:val="18"/>
        </w:rPr>
        <w:t>Port State Measures (ratified in 2016).</w:t>
      </w:r>
      <w:r w:rsidRPr="00D96063">
        <w:rPr>
          <w:rStyle w:val="FootnoteReference"/>
          <w:szCs w:val="18"/>
        </w:rPr>
        <w:footnoteReference w:id="149"/>
      </w:r>
    </w:p>
    <w:p w14:paraId="026CC136" w14:textId="4A008758" w:rsidR="00C15F2E" w:rsidRPr="00D96063" w:rsidRDefault="00C15F2E" w:rsidP="00D868BF">
      <w:pPr>
        <w:pStyle w:val="Caption"/>
      </w:pPr>
      <w:bookmarkStart w:id="202" w:name="_Toc103607806"/>
      <w:r w:rsidRPr="00D96063">
        <w:rPr>
          <w:bCs w:val="0"/>
        </w:rPr>
        <w:t xml:space="preserve">Chart </w:t>
      </w:r>
      <w:r w:rsidR="00045F7A">
        <w:rPr>
          <w:bCs w:val="0"/>
        </w:rPr>
        <w:fldChar w:fldCharType="begin"/>
      </w:r>
      <w:r w:rsidR="00045F7A">
        <w:rPr>
          <w:bCs w:val="0"/>
        </w:rPr>
        <w:instrText xml:space="preserve"> STYLEREF 1 \s </w:instrText>
      </w:r>
      <w:r w:rsidR="00045F7A">
        <w:rPr>
          <w:bCs w:val="0"/>
        </w:rPr>
        <w:fldChar w:fldCharType="separate"/>
      </w:r>
      <w:r w:rsidR="004B63B1">
        <w:rPr>
          <w:bCs w:val="0"/>
          <w:noProof/>
        </w:rPr>
        <w:t>4</w:t>
      </w:r>
      <w:r w:rsidR="00045F7A">
        <w:rPr>
          <w:bCs w:val="0"/>
        </w:rPr>
        <w:fldChar w:fldCharType="end"/>
      </w:r>
      <w:r w:rsidR="00045F7A">
        <w:rPr>
          <w:bCs w:val="0"/>
        </w:rPr>
        <w:t>.</w:t>
      </w:r>
      <w:r w:rsidR="00045F7A">
        <w:rPr>
          <w:bCs w:val="0"/>
        </w:rPr>
        <w:fldChar w:fldCharType="begin"/>
      </w:r>
      <w:r w:rsidR="00045F7A">
        <w:rPr>
          <w:bCs w:val="0"/>
        </w:rPr>
        <w:instrText xml:space="preserve"> SEQ Chart \* ARABIC \s 1 </w:instrText>
      </w:r>
      <w:r w:rsidR="00045F7A">
        <w:rPr>
          <w:bCs w:val="0"/>
        </w:rPr>
        <w:fldChar w:fldCharType="separate"/>
      </w:r>
      <w:r w:rsidR="004B63B1">
        <w:rPr>
          <w:bCs w:val="0"/>
          <w:noProof/>
        </w:rPr>
        <w:t>1</w:t>
      </w:r>
      <w:r w:rsidR="00045F7A">
        <w:rPr>
          <w:bCs w:val="0"/>
        </w:rPr>
        <w:fldChar w:fldCharType="end"/>
      </w:r>
      <w:r w:rsidRPr="00D96063">
        <w:t xml:space="preserve"> Production and trade of fish and fishery products, 2014-20</w:t>
      </w:r>
      <w:bookmarkEnd w:id="202"/>
    </w:p>
    <w:p w14:paraId="213CD969" w14:textId="77777777" w:rsidR="00C15F2E" w:rsidRPr="00D96063" w:rsidRDefault="00C15F2E" w:rsidP="000254E3">
      <w:pPr>
        <w:rPr>
          <w:lang w:eastAsia="en-GB"/>
        </w:rPr>
      </w:pPr>
      <w:r w:rsidRPr="00D96063">
        <w:rPr>
          <w:noProof/>
        </w:rPr>
        <w:drawing>
          <wp:inline distT="0" distB="0" distL="0" distR="0" wp14:anchorId="07BDE8C2" wp14:editId="1B971047">
            <wp:extent cx="5731510" cy="45339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8" cstate="print">
                      <a:extLst>
                        <a:ext uri="{28A0092B-C50C-407E-A947-70E740481C1C}">
                          <a14:useLocalDpi xmlns:a14="http://schemas.microsoft.com/office/drawing/2010/main" val="0"/>
                        </a:ext>
                      </a:extLst>
                    </a:blip>
                    <a:srcRect t="4707" b="18028"/>
                    <a:stretch/>
                  </pic:blipFill>
                  <pic:spPr bwMode="auto">
                    <a:xfrm>
                      <a:off x="0" y="0"/>
                      <a:ext cx="5731510" cy="4533900"/>
                    </a:xfrm>
                    <a:prstGeom prst="rect">
                      <a:avLst/>
                    </a:prstGeom>
                    <a:noFill/>
                    <a:ln>
                      <a:noFill/>
                    </a:ln>
                    <a:extLst>
                      <a:ext uri="{53640926-AAD7-44D8-BBD7-CCE9431645EC}">
                        <a14:shadowObscured xmlns:a14="http://schemas.microsoft.com/office/drawing/2010/main"/>
                      </a:ext>
                    </a:extLst>
                  </pic:spPr>
                </pic:pic>
              </a:graphicData>
            </a:graphic>
          </wp:inline>
        </w:drawing>
      </w:r>
    </w:p>
    <w:p w14:paraId="366D4BBE" w14:textId="77777777" w:rsidR="00C15F2E" w:rsidRPr="00D96063" w:rsidRDefault="00C15F2E" w:rsidP="000254E3">
      <w:pPr>
        <w:pStyle w:val="NoteText"/>
        <w:spacing w:before="120" w:after="120"/>
        <w:rPr>
          <w:szCs w:val="16"/>
        </w:rPr>
      </w:pPr>
      <w:r w:rsidRPr="00D96063">
        <w:t>Note:</w:t>
      </w:r>
      <w:r w:rsidRPr="00D96063">
        <w:tab/>
      </w:r>
      <w:r w:rsidRPr="00D96063">
        <w:rPr>
          <w:szCs w:val="16"/>
        </w:rPr>
        <w:t>Production data from 2014-17 are from MoFAD, and data from 2018-19 are from the FAO. For trade statistics, fish and fishery products are based on HS 03, HS 0508, HS 0511191, HS 150410, HS 150420, HS 1603-05, and HS 230120.</w:t>
      </w:r>
    </w:p>
    <w:p w14:paraId="5D816ADB" w14:textId="1E03AD39" w:rsidR="003F3FB2" w:rsidRPr="00D96063" w:rsidRDefault="00C15F2E" w:rsidP="003F3FB2">
      <w:pPr>
        <w:pStyle w:val="NoteText"/>
        <w:spacing w:before="120" w:after="240"/>
      </w:pPr>
      <w:r w:rsidRPr="00D96063">
        <w:t>Source:</w:t>
      </w:r>
      <w:r w:rsidRPr="00D96063">
        <w:tab/>
        <w:t xml:space="preserve">WTO Secretariat </w:t>
      </w:r>
      <w:r w:rsidR="003F3FB2" w:rsidRPr="00D96063">
        <w:t>based on M</w:t>
      </w:r>
      <w:r w:rsidR="00073FB7">
        <w:t>oFAD</w:t>
      </w:r>
      <w:r w:rsidR="003F3FB2" w:rsidRPr="00D96063">
        <w:t xml:space="preserve">, </w:t>
      </w:r>
      <w:r w:rsidR="003F3FB2" w:rsidRPr="007A1409">
        <w:rPr>
          <w:i/>
          <w:iCs/>
        </w:rPr>
        <w:t xml:space="preserve">Fish </w:t>
      </w:r>
      <w:r w:rsidR="00073FB7" w:rsidRPr="007A1409">
        <w:rPr>
          <w:i/>
          <w:iCs/>
        </w:rPr>
        <w:t>P</w:t>
      </w:r>
      <w:r w:rsidR="003F3FB2" w:rsidRPr="007A1409">
        <w:rPr>
          <w:i/>
          <w:iCs/>
        </w:rPr>
        <w:t>roduction</w:t>
      </w:r>
      <w:r w:rsidR="003F3FB2" w:rsidRPr="00D96063">
        <w:t xml:space="preserve">. Viewed at: </w:t>
      </w:r>
      <w:hyperlink r:id="rId89" w:history="1">
        <w:r w:rsidR="003F3FB2" w:rsidRPr="00D96063">
          <w:rPr>
            <w:rStyle w:val="Hyperlink"/>
            <w:lang w:eastAsia="ja-JP"/>
          </w:rPr>
          <w:t>https://www.mofad.gov.gh/publications/statistics-and-reports/fish-production/</w:t>
        </w:r>
      </w:hyperlink>
      <w:r w:rsidR="003F3FB2" w:rsidRPr="00D96063">
        <w:rPr>
          <w:lang w:eastAsia="ja-JP"/>
        </w:rPr>
        <w:t>; FAO</w:t>
      </w:r>
      <w:r w:rsidR="00073FB7">
        <w:rPr>
          <w:lang w:eastAsia="ja-JP"/>
        </w:rPr>
        <w:t>,</w:t>
      </w:r>
      <w:r w:rsidR="003F3FB2" w:rsidRPr="00D96063">
        <w:rPr>
          <w:lang w:eastAsia="ja-JP"/>
        </w:rPr>
        <w:t xml:space="preserve"> </w:t>
      </w:r>
      <w:r w:rsidR="003F3FB2" w:rsidRPr="007A1409">
        <w:rPr>
          <w:i/>
          <w:iCs/>
          <w:lang w:eastAsia="ja-JP"/>
        </w:rPr>
        <w:t xml:space="preserve">Fisheries </w:t>
      </w:r>
      <w:r w:rsidR="00073FB7" w:rsidRPr="007A1409">
        <w:rPr>
          <w:i/>
          <w:iCs/>
          <w:lang w:eastAsia="ja-JP"/>
        </w:rPr>
        <w:t>and</w:t>
      </w:r>
      <w:r w:rsidR="003F3FB2" w:rsidRPr="007A1409">
        <w:rPr>
          <w:i/>
          <w:iCs/>
          <w:lang w:eastAsia="ja-JP"/>
        </w:rPr>
        <w:t xml:space="preserve"> Aquaculture</w:t>
      </w:r>
      <w:r w:rsidR="00073FB7" w:rsidRPr="007A1409">
        <w:rPr>
          <w:i/>
          <w:iCs/>
          <w:lang w:eastAsia="ja-JP"/>
        </w:rPr>
        <w:t xml:space="preserve">: </w:t>
      </w:r>
      <w:r w:rsidR="003F3FB2" w:rsidRPr="007A1409">
        <w:rPr>
          <w:i/>
          <w:iCs/>
          <w:lang w:eastAsia="ja-JP"/>
        </w:rPr>
        <w:t>Statistics</w:t>
      </w:r>
      <w:r w:rsidR="00073FB7">
        <w:rPr>
          <w:lang w:eastAsia="ja-JP"/>
        </w:rPr>
        <w:t>.</w:t>
      </w:r>
      <w:r w:rsidR="003F3FB2" w:rsidRPr="00D96063">
        <w:rPr>
          <w:lang w:eastAsia="ja-JP"/>
        </w:rPr>
        <w:t xml:space="preserve"> </w:t>
      </w:r>
      <w:r w:rsidR="00073FB7">
        <w:rPr>
          <w:lang w:eastAsia="ja-JP"/>
        </w:rPr>
        <w:t>V</w:t>
      </w:r>
      <w:r w:rsidR="003F3FB2" w:rsidRPr="00D96063">
        <w:rPr>
          <w:lang w:eastAsia="ja-JP"/>
        </w:rPr>
        <w:t xml:space="preserve">iewed at: </w:t>
      </w:r>
      <w:hyperlink r:id="rId90" w:history="1">
        <w:r w:rsidR="003F3FB2" w:rsidRPr="00D96063">
          <w:rPr>
            <w:rStyle w:val="Hyperlink"/>
          </w:rPr>
          <w:t>https://www.fao.org/fishery/en/statistics</w:t>
        </w:r>
      </w:hyperlink>
      <w:r w:rsidR="003F3FB2" w:rsidRPr="00D96063">
        <w:t>; and UN Comtrade.</w:t>
      </w:r>
    </w:p>
    <w:p w14:paraId="7A7D949F" w14:textId="48ED484C" w:rsidR="00C15F2E" w:rsidRPr="00D96063" w:rsidRDefault="00C15F2E" w:rsidP="003F3FB2">
      <w:pPr>
        <w:pStyle w:val="BodyText"/>
      </w:pPr>
      <w:r w:rsidRPr="00D96063">
        <w:t>Ghana's waters have been affected by a gradual decrease in fish stocks due to increasing fishing effort, weak enforcement, and non-compliance with fisheries management measures.</w:t>
      </w:r>
      <w:r w:rsidRPr="00D96063">
        <w:rPr>
          <w:rStyle w:val="FootnoteReference"/>
        </w:rPr>
        <w:footnoteReference w:id="150"/>
      </w:r>
      <w:r w:rsidRPr="00D96063">
        <w:t xml:space="preserve"> The authorities recognize that the monitoring, control, and surveillance of the EEZ and the enforcement of the fisheries' legislation are inadequate. Parliamentary approval has been granted for the procurement of four patrol boats to increase enforcement presence at sea. Furthermore, Ghana is </w:t>
      </w:r>
      <w:r w:rsidRPr="00D96063">
        <w:lastRenderedPageBreak/>
        <w:t>involved in the subregional enforcement activities through the Fisheries Committee for the West Central Gulf of Guinea (FCWC).</w:t>
      </w:r>
    </w:p>
    <w:p w14:paraId="3EBB8A67" w14:textId="77777777" w:rsidR="00C15F2E" w:rsidRPr="00D96063" w:rsidRDefault="00C15F2E" w:rsidP="003758E5">
      <w:pPr>
        <w:numPr>
          <w:ilvl w:val="6"/>
          <w:numId w:val="18"/>
        </w:numPr>
        <w:spacing w:after="240"/>
      </w:pPr>
      <w:r w:rsidRPr="00D96063">
        <w:t xml:space="preserve">Industrial trawlers are controlled by Ghana under Hire Purchase Agreements as provided for in the Fisheries Act, 2002 (Act 625). According to the authorities, all Hire Purchase Agreements have been reviewed to ensure full compliance. The MoFAD has implemented directives to curb illegal fishing including </w:t>
      </w:r>
      <w:r w:rsidRPr="00D96063">
        <w:rPr>
          <w:i/>
          <w:iCs/>
        </w:rPr>
        <w:t>saiko</w:t>
      </w:r>
      <w:r w:rsidRPr="00D96063">
        <w:t xml:space="preserve">, a term referring to the transfer or transhipment of fish (mainly small pelagic) at sea from industrial trawlers to local canoe operators. These are, </w:t>
      </w:r>
      <w:r w:rsidRPr="00D96063">
        <w:rPr>
          <w:i/>
          <w:iCs/>
        </w:rPr>
        <w:t>inter alia</w:t>
      </w:r>
      <w:r w:rsidRPr="00D96063">
        <w:t>, sensitization, procurement of vessels for patrol, enforcement of fisheries laws and prosecution of offenders, gear audit, implementation of catch certification scheme (Table 4.6).</w:t>
      </w:r>
    </w:p>
    <w:p w14:paraId="3BB967F6" w14:textId="295AE2B8" w:rsidR="00C15F2E" w:rsidRPr="00D96063" w:rsidRDefault="00C15F2E" w:rsidP="00D868BF">
      <w:pPr>
        <w:pStyle w:val="Caption"/>
        <w:rPr>
          <w:bCs w:val="0"/>
        </w:rPr>
      </w:pPr>
      <w:bookmarkStart w:id="203" w:name="_Toc103607902"/>
      <w:r w:rsidRPr="00D96063">
        <w:t xml:space="preserve">Table </w:t>
      </w:r>
      <w:fldSimple w:instr=" STYLEREF 1 \s ">
        <w:r w:rsidR="004B63B1">
          <w:rPr>
            <w:noProof/>
          </w:rPr>
          <w:t>4</w:t>
        </w:r>
      </w:fldSimple>
      <w:r w:rsidR="00BF3184">
        <w:t>.</w:t>
      </w:r>
      <w:fldSimple w:instr=" SEQ Table \* ARABIC \s 1 ">
        <w:r w:rsidR="004B63B1">
          <w:rPr>
            <w:noProof/>
          </w:rPr>
          <w:t>6</w:t>
        </w:r>
      </w:fldSimple>
      <w:r w:rsidRPr="00D96063">
        <w:t xml:space="preserve"> Ghana's fishing fleet, 2014-20</w:t>
      </w:r>
      <w:bookmarkEnd w:id="203"/>
    </w:p>
    <w:tbl>
      <w:tblPr>
        <w:tblStyle w:val="WTOTable1"/>
        <w:tblW w:w="5000" w:type="pct"/>
        <w:tblLook w:val="04A0" w:firstRow="1" w:lastRow="0" w:firstColumn="1" w:lastColumn="0" w:noHBand="0" w:noVBand="1"/>
      </w:tblPr>
      <w:tblGrid>
        <w:gridCol w:w="1391"/>
        <w:gridCol w:w="1090"/>
        <w:gridCol w:w="1090"/>
        <w:gridCol w:w="1089"/>
        <w:gridCol w:w="1089"/>
        <w:gridCol w:w="1089"/>
        <w:gridCol w:w="1089"/>
        <w:gridCol w:w="1089"/>
      </w:tblGrid>
      <w:tr w:rsidR="00C15F2E" w:rsidRPr="00D96063" w14:paraId="04E5BEFD" w14:textId="77777777" w:rsidTr="00053198">
        <w:trPr>
          <w:cnfStyle w:val="100000000000" w:firstRow="1" w:lastRow="0" w:firstColumn="0" w:lastColumn="0" w:oddVBand="0" w:evenVBand="0" w:oddHBand="0" w:evenHBand="0" w:firstRowFirstColumn="0" w:firstRowLastColumn="0" w:lastRowFirstColumn="0" w:lastRowLastColumn="0"/>
        </w:trPr>
        <w:tc>
          <w:tcPr>
            <w:tcW w:w="771" w:type="pct"/>
            <w:hideMark/>
          </w:tcPr>
          <w:p w14:paraId="52D61A57" w14:textId="77777777" w:rsidR="00C15F2E" w:rsidRPr="00D96063" w:rsidRDefault="00C15F2E" w:rsidP="00053198">
            <w:pPr>
              <w:jc w:val="center"/>
              <w:rPr>
                <w:b w:val="0"/>
                <w:color w:val="FFFFFF" w:themeColor="background1"/>
                <w:sz w:val="16"/>
                <w:szCs w:val="16"/>
              </w:rPr>
            </w:pPr>
            <w:r w:rsidRPr="00D96063">
              <w:rPr>
                <w:color w:val="FFFFFF" w:themeColor="background1"/>
                <w:sz w:val="16"/>
                <w:szCs w:val="16"/>
              </w:rPr>
              <w:t>Vessel type</w:t>
            </w:r>
          </w:p>
        </w:tc>
        <w:tc>
          <w:tcPr>
            <w:tcW w:w="604" w:type="pct"/>
            <w:hideMark/>
          </w:tcPr>
          <w:p w14:paraId="7ABD4A80" w14:textId="77777777" w:rsidR="00C15F2E" w:rsidRPr="00D96063" w:rsidRDefault="00C15F2E" w:rsidP="00053198">
            <w:pPr>
              <w:jc w:val="center"/>
              <w:rPr>
                <w:b w:val="0"/>
                <w:color w:val="FFFFFF" w:themeColor="background1"/>
                <w:sz w:val="16"/>
                <w:szCs w:val="16"/>
              </w:rPr>
            </w:pPr>
            <w:r w:rsidRPr="00D96063">
              <w:rPr>
                <w:color w:val="FFFFFF" w:themeColor="background1"/>
                <w:sz w:val="16"/>
                <w:szCs w:val="16"/>
              </w:rPr>
              <w:t>2014</w:t>
            </w:r>
          </w:p>
        </w:tc>
        <w:tc>
          <w:tcPr>
            <w:tcW w:w="604" w:type="pct"/>
            <w:hideMark/>
          </w:tcPr>
          <w:p w14:paraId="4AE01AF8" w14:textId="77777777" w:rsidR="00C15F2E" w:rsidRPr="00D96063" w:rsidRDefault="00C15F2E" w:rsidP="00053198">
            <w:pPr>
              <w:jc w:val="center"/>
              <w:rPr>
                <w:b w:val="0"/>
                <w:color w:val="FFFFFF" w:themeColor="background1"/>
                <w:sz w:val="16"/>
                <w:szCs w:val="16"/>
              </w:rPr>
            </w:pPr>
            <w:r w:rsidRPr="00D96063">
              <w:rPr>
                <w:color w:val="FFFFFF" w:themeColor="background1"/>
                <w:sz w:val="16"/>
                <w:szCs w:val="16"/>
              </w:rPr>
              <w:t>2015</w:t>
            </w:r>
          </w:p>
        </w:tc>
        <w:tc>
          <w:tcPr>
            <w:tcW w:w="604" w:type="pct"/>
            <w:hideMark/>
          </w:tcPr>
          <w:p w14:paraId="12776959" w14:textId="77777777" w:rsidR="00C15F2E" w:rsidRPr="00D96063" w:rsidRDefault="00C15F2E" w:rsidP="00053198">
            <w:pPr>
              <w:jc w:val="center"/>
              <w:rPr>
                <w:b w:val="0"/>
                <w:color w:val="FFFFFF" w:themeColor="background1"/>
                <w:sz w:val="16"/>
                <w:szCs w:val="16"/>
              </w:rPr>
            </w:pPr>
            <w:r w:rsidRPr="00D96063">
              <w:rPr>
                <w:color w:val="FFFFFF" w:themeColor="background1"/>
                <w:sz w:val="16"/>
                <w:szCs w:val="16"/>
              </w:rPr>
              <w:t>2016</w:t>
            </w:r>
          </w:p>
        </w:tc>
        <w:tc>
          <w:tcPr>
            <w:tcW w:w="604" w:type="pct"/>
            <w:hideMark/>
          </w:tcPr>
          <w:p w14:paraId="0A11393A" w14:textId="77777777" w:rsidR="00C15F2E" w:rsidRPr="00D96063" w:rsidRDefault="00C15F2E" w:rsidP="00053198">
            <w:pPr>
              <w:jc w:val="center"/>
              <w:rPr>
                <w:b w:val="0"/>
                <w:color w:val="FFFFFF" w:themeColor="background1"/>
                <w:sz w:val="16"/>
                <w:szCs w:val="16"/>
              </w:rPr>
            </w:pPr>
            <w:r w:rsidRPr="00D96063">
              <w:rPr>
                <w:color w:val="FFFFFF" w:themeColor="background1"/>
                <w:sz w:val="16"/>
                <w:szCs w:val="16"/>
              </w:rPr>
              <w:t>2017</w:t>
            </w:r>
          </w:p>
        </w:tc>
        <w:tc>
          <w:tcPr>
            <w:tcW w:w="604" w:type="pct"/>
            <w:hideMark/>
          </w:tcPr>
          <w:p w14:paraId="51CD1AE5" w14:textId="77777777" w:rsidR="00C15F2E" w:rsidRPr="00D96063" w:rsidRDefault="00C15F2E" w:rsidP="00053198">
            <w:pPr>
              <w:jc w:val="center"/>
              <w:rPr>
                <w:b w:val="0"/>
                <w:color w:val="FFFFFF" w:themeColor="background1"/>
                <w:sz w:val="16"/>
                <w:szCs w:val="16"/>
              </w:rPr>
            </w:pPr>
            <w:r w:rsidRPr="00D96063">
              <w:rPr>
                <w:color w:val="FFFFFF" w:themeColor="background1"/>
                <w:sz w:val="16"/>
                <w:szCs w:val="16"/>
              </w:rPr>
              <w:t>2018</w:t>
            </w:r>
          </w:p>
        </w:tc>
        <w:tc>
          <w:tcPr>
            <w:tcW w:w="604" w:type="pct"/>
            <w:hideMark/>
          </w:tcPr>
          <w:p w14:paraId="448D9F34" w14:textId="77777777" w:rsidR="00C15F2E" w:rsidRPr="00D96063" w:rsidRDefault="00C15F2E" w:rsidP="00053198">
            <w:pPr>
              <w:jc w:val="center"/>
              <w:rPr>
                <w:b w:val="0"/>
                <w:color w:val="FFFFFF" w:themeColor="background1"/>
                <w:sz w:val="16"/>
                <w:szCs w:val="16"/>
              </w:rPr>
            </w:pPr>
            <w:r w:rsidRPr="00D96063">
              <w:rPr>
                <w:color w:val="FFFFFF" w:themeColor="background1"/>
                <w:sz w:val="16"/>
                <w:szCs w:val="16"/>
              </w:rPr>
              <w:t>2019</w:t>
            </w:r>
          </w:p>
        </w:tc>
        <w:tc>
          <w:tcPr>
            <w:tcW w:w="604" w:type="pct"/>
            <w:hideMark/>
          </w:tcPr>
          <w:p w14:paraId="082169D5" w14:textId="77777777" w:rsidR="00C15F2E" w:rsidRPr="00D96063" w:rsidRDefault="00C15F2E" w:rsidP="00053198">
            <w:pPr>
              <w:jc w:val="center"/>
              <w:rPr>
                <w:b w:val="0"/>
                <w:color w:val="FFFFFF" w:themeColor="background1"/>
                <w:sz w:val="16"/>
                <w:szCs w:val="16"/>
              </w:rPr>
            </w:pPr>
            <w:r w:rsidRPr="00D96063">
              <w:rPr>
                <w:color w:val="FFFFFF" w:themeColor="background1"/>
                <w:sz w:val="16"/>
                <w:szCs w:val="16"/>
              </w:rPr>
              <w:t>2020</w:t>
            </w:r>
          </w:p>
        </w:tc>
      </w:tr>
      <w:tr w:rsidR="00C15F2E" w:rsidRPr="00D96063" w14:paraId="757313B4" w14:textId="77777777" w:rsidTr="00053198">
        <w:tc>
          <w:tcPr>
            <w:tcW w:w="771" w:type="pct"/>
            <w:hideMark/>
          </w:tcPr>
          <w:p w14:paraId="7CDCA2A2" w14:textId="77777777" w:rsidR="00C15F2E" w:rsidRPr="00D96063" w:rsidRDefault="00C15F2E" w:rsidP="00053198">
            <w:pPr>
              <w:rPr>
                <w:bCs/>
                <w:sz w:val="16"/>
                <w:szCs w:val="16"/>
              </w:rPr>
            </w:pPr>
            <w:r w:rsidRPr="00D96063">
              <w:rPr>
                <w:bCs/>
                <w:sz w:val="16"/>
                <w:szCs w:val="16"/>
              </w:rPr>
              <w:t>Tuna</w:t>
            </w:r>
          </w:p>
        </w:tc>
        <w:tc>
          <w:tcPr>
            <w:tcW w:w="604" w:type="pct"/>
            <w:hideMark/>
          </w:tcPr>
          <w:p w14:paraId="37581FEE" w14:textId="77777777" w:rsidR="00C15F2E" w:rsidRPr="00D96063" w:rsidRDefault="00C15F2E" w:rsidP="00053198">
            <w:pPr>
              <w:ind w:right="170"/>
              <w:jc w:val="right"/>
              <w:rPr>
                <w:sz w:val="16"/>
                <w:szCs w:val="16"/>
              </w:rPr>
            </w:pPr>
            <w:r w:rsidRPr="00D96063">
              <w:rPr>
                <w:sz w:val="16"/>
                <w:szCs w:val="16"/>
              </w:rPr>
              <w:t>35</w:t>
            </w:r>
          </w:p>
        </w:tc>
        <w:tc>
          <w:tcPr>
            <w:tcW w:w="604" w:type="pct"/>
            <w:hideMark/>
          </w:tcPr>
          <w:p w14:paraId="4ACDC9B3" w14:textId="77777777" w:rsidR="00C15F2E" w:rsidRPr="00D96063" w:rsidRDefault="00C15F2E" w:rsidP="00053198">
            <w:pPr>
              <w:ind w:right="170"/>
              <w:jc w:val="right"/>
              <w:rPr>
                <w:sz w:val="16"/>
                <w:szCs w:val="16"/>
              </w:rPr>
            </w:pPr>
            <w:r w:rsidRPr="00D96063">
              <w:rPr>
                <w:sz w:val="16"/>
                <w:szCs w:val="16"/>
              </w:rPr>
              <w:t>26</w:t>
            </w:r>
          </w:p>
        </w:tc>
        <w:tc>
          <w:tcPr>
            <w:tcW w:w="604" w:type="pct"/>
            <w:hideMark/>
          </w:tcPr>
          <w:p w14:paraId="53BFA281" w14:textId="77777777" w:rsidR="00C15F2E" w:rsidRPr="00D96063" w:rsidRDefault="00C15F2E" w:rsidP="00053198">
            <w:pPr>
              <w:ind w:right="170"/>
              <w:jc w:val="right"/>
              <w:rPr>
                <w:sz w:val="16"/>
                <w:szCs w:val="16"/>
              </w:rPr>
            </w:pPr>
            <w:r w:rsidRPr="00D96063">
              <w:rPr>
                <w:sz w:val="16"/>
                <w:szCs w:val="16"/>
              </w:rPr>
              <w:t>27</w:t>
            </w:r>
          </w:p>
        </w:tc>
        <w:tc>
          <w:tcPr>
            <w:tcW w:w="604" w:type="pct"/>
            <w:hideMark/>
          </w:tcPr>
          <w:p w14:paraId="79CA1DD4" w14:textId="77777777" w:rsidR="00C15F2E" w:rsidRPr="00D96063" w:rsidRDefault="00C15F2E" w:rsidP="00053198">
            <w:pPr>
              <w:ind w:right="170"/>
              <w:jc w:val="right"/>
              <w:rPr>
                <w:sz w:val="16"/>
                <w:szCs w:val="16"/>
              </w:rPr>
            </w:pPr>
            <w:r w:rsidRPr="00D96063">
              <w:rPr>
                <w:sz w:val="16"/>
                <w:szCs w:val="16"/>
              </w:rPr>
              <w:t>29</w:t>
            </w:r>
          </w:p>
        </w:tc>
        <w:tc>
          <w:tcPr>
            <w:tcW w:w="604" w:type="pct"/>
            <w:hideMark/>
          </w:tcPr>
          <w:p w14:paraId="59E74E97" w14:textId="77777777" w:rsidR="00C15F2E" w:rsidRPr="00D96063" w:rsidRDefault="00C15F2E" w:rsidP="00053198">
            <w:pPr>
              <w:ind w:right="170"/>
              <w:jc w:val="right"/>
              <w:rPr>
                <w:sz w:val="16"/>
                <w:szCs w:val="16"/>
              </w:rPr>
            </w:pPr>
            <w:r w:rsidRPr="00D96063">
              <w:rPr>
                <w:sz w:val="16"/>
                <w:szCs w:val="16"/>
              </w:rPr>
              <w:t>29</w:t>
            </w:r>
          </w:p>
        </w:tc>
        <w:tc>
          <w:tcPr>
            <w:tcW w:w="604" w:type="pct"/>
            <w:hideMark/>
          </w:tcPr>
          <w:p w14:paraId="19BEEB5F" w14:textId="77777777" w:rsidR="00C15F2E" w:rsidRPr="00D96063" w:rsidRDefault="00C15F2E" w:rsidP="00053198">
            <w:pPr>
              <w:ind w:right="170"/>
              <w:jc w:val="right"/>
              <w:rPr>
                <w:sz w:val="16"/>
                <w:szCs w:val="16"/>
              </w:rPr>
            </w:pPr>
            <w:r w:rsidRPr="00D96063">
              <w:rPr>
                <w:sz w:val="16"/>
                <w:szCs w:val="16"/>
              </w:rPr>
              <w:t>28</w:t>
            </w:r>
          </w:p>
        </w:tc>
        <w:tc>
          <w:tcPr>
            <w:tcW w:w="604" w:type="pct"/>
            <w:hideMark/>
          </w:tcPr>
          <w:p w14:paraId="4C58604C" w14:textId="77777777" w:rsidR="00C15F2E" w:rsidRPr="00D96063" w:rsidRDefault="00C15F2E" w:rsidP="00053198">
            <w:pPr>
              <w:ind w:right="170"/>
              <w:jc w:val="right"/>
              <w:rPr>
                <w:sz w:val="16"/>
                <w:szCs w:val="16"/>
              </w:rPr>
            </w:pPr>
            <w:r w:rsidRPr="00D96063">
              <w:rPr>
                <w:sz w:val="16"/>
                <w:szCs w:val="16"/>
              </w:rPr>
              <w:t>29</w:t>
            </w:r>
          </w:p>
        </w:tc>
      </w:tr>
      <w:tr w:rsidR="00C15F2E" w:rsidRPr="00D96063" w14:paraId="20632807" w14:textId="77777777" w:rsidTr="00053198">
        <w:trPr>
          <w:cnfStyle w:val="000000010000" w:firstRow="0" w:lastRow="0" w:firstColumn="0" w:lastColumn="0" w:oddVBand="0" w:evenVBand="0" w:oddHBand="0" w:evenHBand="1" w:firstRowFirstColumn="0" w:firstRowLastColumn="0" w:lastRowFirstColumn="0" w:lastRowLastColumn="0"/>
        </w:trPr>
        <w:tc>
          <w:tcPr>
            <w:tcW w:w="771" w:type="pct"/>
            <w:hideMark/>
          </w:tcPr>
          <w:p w14:paraId="5AC7E743" w14:textId="77777777" w:rsidR="00C15F2E" w:rsidRPr="00D96063" w:rsidRDefault="00C15F2E" w:rsidP="00053198">
            <w:pPr>
              <w:rPr>
                <w:bCs/>
                <w:sz w:val="16"/>
                <w:szCs w:val="16"/>
              </w:rPr>
            </w:pPr>
            <w:r w:rsidRPr="00D96063">
              <w:rPr>
                <w:bCs/>
                <w:sz w:val="16"/>
                <w:szCs w:val="16"/>
              </w:rPr>
              <w:t>Trawlers</w:t>
            </w:r>
          </w:p>
        </w:tc>
        <w:tc>
          <w:tcPr>
            <w:tcW w:w="604" w:type="pct"/>
            <w:hideMark/>
          </w:tcPr>
          <w:p w14:paraId="41FFCD61" w14:textId="77777777" w:rsidR="00C15F2E" w:rsidRPr="00D96063" w:rsidRDefault="00C15F2E" w:rsidP="00053198">
            <w:pPr>
              <w:ind w:right="170"/>
              <w:jc w:val="right"/>
              <w:rPr>
                <w:bCs/>
                <w:sz w:val="16"/>
                <w:szCs w:val="16"/>
              </w:rPr>
            </w:pPr>
            <w:r w:rsidRPr="00D96063">
              <w:rPr>
                <w:bCs/>
                <w:sz w:val="16"/>
                <w:szCs w:val="16"/>
              </w:rPr>
              <w:t>103</w:t>
            </w:r>
          </w:p>
        </w:tc>
        <w:tc>
          <w:tcPr>
            <w:tcW w:w="604" w:type="pct"/>
            <w:hideMark/>
          </w:tcPr>
          <w:p w14:paraId="0D76EC7D" w14:textId="77777777" w:rsidR="00C15F2E" w:rsidRPr="00D96063" w:rsidRDefault="00C15F2E" w:rsidP="00053198">
            <w:pPr>
              <w:ind w:right="170"/>
              <w:jc w:val="right"/>
              <w:rPr>
                <w:bCs/>
                <w:sz w:val="16"/>
                <w:szCs w:val="16"/>
              </w:rPr>
            </w:pPr>
            <w:r w:rsidRPr="00D96063">
              <w:rPr>
                <w:bCs/>
                <w:sz w:val="16"/>
                <w:szCs w:val="16"/>
              </w:rPr>
              <w:t>93</w:t>
            </w:r>
          </w:p>
        </w:tc>
        <w:tc>
          <w:tcPr>
            <w:tcW w:w="604" w:type="pct"/>
            <w:hideMark/>
          </w:tcPr>
          <w:p w14:paraId="265B409E" w14:textId="77777777" w:rsidR="00C15F2E" w:rsidRPr="00D96063" w:rsidRDefault="00C15F2E" w:rsidP="00053198">
            <w:pPr>
              <w:ind w:right="170"/>
              <w:jc w:val="right"/>
              <w:rPr>
                <w:bCs/>
                <w:sz w:val="16"/>
                <w:szCs w:val="16"/>
              </w:rPr>
            </w:pPr>
            <w:r w:rsidRPr="00D96063">
              <w:rPr>
                <w:bCs/>
                <w:sz w:val="16"/>
                <w:szCs w:val="16"/>
              </w:rPr>
              <w:t>98</w:t>
            </w:r>
          </w:p>
        </w:tc>
        <w:tc>
          <w:tcPr>
            <w:tcW w:w="604" w:type="pct"/>
            <w:hideMark/>
          </w:tcPr>
          <w:p w14:paraId="15CAB2A3" w14:textId="77777777" w:rsidR="00C15F2E" w:rsidRPr="00D96063" w:rsidRDefault="00C15F2E" w:rsidP="00053198">
            <w:pPr>
              <w:ind w:right="170"/>
              <w:jc w:val="right"/>
              <w:rPr>
                <w:bCs/>
                <w:sz w:val="16"/>
                <w:szCs w:val="16"/>
              </w:rPr>
            </w:pPr>
            <w:r w:rsidRPr="00D96063">
              <w:rPr>
                <w:bCs/>
                <w:sz w:val="16"/>
                <w:szCs w:val="16"/>
              </w:rPr>
              <w:t>94</w:t>
            </w:r>
          </w:p>
        </w:tc>
        <w:tc>
          <w:tcPr>
            <w:tcW w:w="604" w:type="pct"/>
            <w:hideMark/>
          </w:tcPr>
          <w:p w14:paraId="1C33C466" w14:textId="77777777" w:rsidR="00C15F2E" w:rsidRPr="00D96063" w:rsidRDefault="00C15F2E" w:rsidP="00053198">
            <w:pPr>
              <w:ind w:right="170"/>
              <w:jc w:val="right"/>
              <w:rPr>
                <w:bCs/>
                <w:sz w:val="16"/>
                <w:szCs w:val="16"/>
              </w:rPr>
            </w:pPr>
            <w:r w:rsidRPr="00D96063">
              <w:rPr>
                <w:bCs/>
                <w:sz w:val="16"/>
                <w:szCs w:val="16"/>
              </w:rPr>
              <w:t>82</w:t>
            </w:r>
          </w:p>
        </w:tc>
        <w:tc>
          <w:tcPr>
            <w:tcW w:w="604" w:type="pct"/>
            <w:hideMark/>
          </w:tcPr>
          <w:p w14:paraId="090244D7" w14:textId="77777777" w:rsidR="00C15F2E" w:rsidRPr="00D96063" w:rsidRDefault="00C15F2E" w:rsidP="00053198">
            <w:pPr>
              <w:ind w:right="170"/>
              <w:jc w:val="right"/>
              <w:rPr>
                <w:bCs/>
                <w:sz w:val="16"/>
                <w:szCs w:val="16"/>
              </w:rPr>
            </w:pPr>
            <w:r w:rsidRPr="00D96063">
              <w:rPr>
                <w:bCs/>
                <w:sz w:val="16"/>
                <w:szCs w:val="16"/>
              </w:rPr>
              <w:t>74</w:t>
            </w:r>
          </w:p>
        </w:tc>
        <w:tc>
          <w:tcPr>
            <w:tcW w:w="604" w:type="pct"/>
            <w:hideMark/>
          </w:tcPr>
          <w:p w14:paraId="3717A008" w14:textId="77777777" w:rsidR="00C15F2E" w:rsidRPr="00D96063" w:rsidRDefault="00C15F2E" w:rsidP="00053198">
            <w:pPr>
              <w:ind w:right="170"/>
              <w:jc w:val="right"/>
              <w:rPr>
                <w:bCs/>
                <w:sz w:val="16"/>
                <w:szCs w:val="16"/>
              </w:rPr>
            </w:pPr>
            <w:r w:rsidRPr="00D96063">
              <w:rPr>
                <w:bCs/>
                <w:sz w:val="16"/>
                <w:szCs w:val="16"/>
              </w:rPr>
              <w:t>76</w:t>
            </w:r>
          </w:p>
        </w:tc>
      </w:tr>
    </w:tbl>
    <w:p w14:paraId="17035535" w14:textId="77777777" w:rsidR="00C15F2E" w:rsidRPr="00D96063" w:rsidRDefault="00C15F2E" w:rsidP="00D868BF">
      <w:pPr>
        <w:pStyle w:val="NoteText"/>
        <w:spacing w:before="120" w:after="240"/>
      </w:pPr>
      <w:r w:rsidRPr="00D96063">
        <w:t>Source:</w:t>
      </w:r>
      <w:r w:rsidRPr="00D96063">
        <w:tab/>
        <w:t>Information provided by the authorities.</w:t>
      </w:r>
    </w:p>
    <w:p w14:paraId="75E8A2B9" w14:textId="77777777" w:rsidR="00C15F2E" w:rsidRPr="00D96063" w:rsidRDefault="00C15F2E" w:rsidP="00D868BF">
      <w:pPr>
        <w:pStyle w:val="BodyText"/>
      </w:pPr>
      <w:r w:rsidRPr="00D96063">
        <w:rPr>
          <w:rFonts w:cs="Verdana"/>
          <w:color w:val="000000"/>
          <w:szCs w:val="18"/>
        </w:rPr>
        <w:t>According to the Fisheries Act, 2002, ownership of artisanal, semi-industrial, or industrial fi</w:t>
      </w:r>
      <w:r w:rsidRPr="00D96063">
        <w:t>shing operations is restricted to Ghanaian citizens, but foreigners may own up to 50% of Ghanaian vessels engaged in tuna fishing. All operations must be licensed by the Ministry. Additionally, the amended Fisheries Act, 2014 provides that at least 10% of tuna landings be sold in Ghana.</w:t>
      </w:r>
    </w:p>
    <w:p w14:paraId="78B7968E" w14:textId="77777777" w:rsidR="00C15F2E" w:rsidRPr="00D96063" w:rsidRDefault="00C15F2E" w:rsidP="00D868BF">
      <w:pPr>
        <w:pStyle w:val="BodyText"/>
      </w:pPr>
      <w:r w:rsidRPr="00D96063">
        <w:t>Ghana does not have any bilateral fisheries agreements. It has, however, entered into private agreements whereby access is granted by the MoFAD to privately owned foreign-flag tuna vessels mainly from France, Spain, Cabo Verde, and Belize.</w:t>
      </w:r>
    </w:p>
    <w:p w14:paraId="3617AF76" w14:textId="77777777" w:rsidR="00C15F2E" w:rsidRPr="00D96063" w:rsidRDefault="00C15F2E" w:rsidP="00D868BF">
      <w:pPr>
        <w:pStyle w:val="BodyText"/>
      </w:pPr>
      <w:r w:rsidRPr="00D96063">
        <w:t>Imports and exports of fish require a permit from the MoFAD. Imports of frozen tilapia fish are prohibited in order to encourage local production.</w:t>
      </w:r>
    </w:p>
    <w:p w14:paraId="45B30EAB" w14:textId="77777777" w:rsidR="00C15F2E" w:rsidRPr="00D96063" w:rsidRDefault="00C15F2E" w:rsidP="00D868BF">
      <w:pPr>
        <w:pStyle w:val="BodyText"/>
      </w:pPr>
      <w:r w:rsidRPr="00D96063">
        <w:t>Fishing inputs were previously exempt from tax (customs tariffs and VAT). However, after the revision of the schedule in 2017, all exemptions related to fisheries and aquaculture inputs including fish feed, construction, and other fishing inputs were removed from the list of exemptions.</w:t>
      </w:r>
      <w:r w:rsidRPr="00D96063">
        <w:rPr>
          <w:rStyle w:val="FootnoteReference"/>
        </w:rPr>
        <w:footnoteReference w:id="151"/>
      </w:r>
    </w:p>
    <w:p w14:paraId="014696EF" w14:textId="77777777" w:rsidR="00C15F2E" w:rsidRPr="00D96063" w:rsidRDefault="00C15F2E" w:rsidP="00D868BF">
      <w:pPr>
        <w:pStyle w:val="BodyText"/>
      </w:pPr>
      <w:r w:rsidRPr="00D96063">
        <w:t xml:space="preserve">Fisheries subsidies include the provision of extension services to aquaculture operators, and subsidized fishing inputs such as outboard motors and premix fuel for artisanal fishers. The National Premix Committee oversees the administration and distribution of premix fuel but has no authority </w:t>
      </w:r>
      <w:r w:rsidRPr="00D96063">
        <w:rPr>
          <w:color w:val="000000" w:themeColor="text1"/>
        </w:rPr>
        <w:t xml:space="preserve">to prosecute individuals who </w:t>
      </w:r>
      <w:r w:rsidRPr="00D96063">
        <w:t>divert the fuel for industrial use.</w:t>
      </w:r>
      <w:r w:rsidRPr="00D96063">
        <w:rPr>
          <w:rStyle w:val="FootnoteReference"/>
        </w:rPr>
        <w:footnoteReference w:id="152"/>
      </w:r>
    </w:p>
    <w:p w14:paraId="0C18F604" w14:textId="6A05D025" w:rsidR="00C15F2E" w:rsidRPr="00D96063" w:rsidRDefault="00C15F2E" w:rsidP="003758E5">
      <w:pPr>
        <w:pStyle w:val="BodyText"/>
        <w:numPr>
          <w:ilvl w:val="6"/>
          <w:numId w:val="18"/>
        </w:numPr>
      </w:pPr>
      <w:r w:rsidRPr="00D96063">
        <w:t>The Ministry provides exemptions from tax (customs tariffs and VAT) on fishing inputs. Fisheries subsidies include the provision of extension services to aquaculture operators, and subsidized fishing inputs such as outboard motors and premix fuel for artisanal fishers. The National Premix Committee oversees the administration and distribution of premix fuel but has no authority to prosecute individuals who divert the fuel for industrial use.</w:t>
      </w:r>
      <w:r w:rsidRPr="00D96063">
        <w:rPr>
          <w:rStyle w:val="FootnoteReference"/>
        </w:rPr>
        <w:footnoteReference w:id="153"/>
      </w:r>
    </w:p>
    <w:p w14:paraId="34A2AADB" w14:textId="77777777" w:rsidR="00C15F2E" w:rsidRPr="00D96063" w:rsidRDefault="00C15F2E" w:rsidP="003758E5">
      <w:pPr>
        <w:pStyle w:val="Heading2"/>
        <w:numPr>
          <w:ilvl w:val="1"/>
          <w:numId w:val="32"/>
        </w:numPr>
      </w:pPr>
      <w:bookmarkStart w:id="204" w:name="_Toc103607716"/>
      <w:r w:rsidRPr="00D96063">
        <w:t>Energy</w:t>
      </w:r>
      <w:bookmarkEnd w:id="204"/>
    </w:p>
    <w:p w14:paraId="5F8169C3" w14:textId="77777777" w:rsidR="00C15F2E" w:rsidRPr="00D96063" w:rsidRDefault="00C15F2E" w:rsidP="00D868BF">
      <w:pPr>
        <w:pStyle w:val="BodyText"/>
      </w:pPr>
      <w:r w:rsidRPr="00D96063">
        <w:t>The electricity sector and the oil and gas sectors contributed about 1.3% and 3.8%, respectively, towards GDP in 2020 (Table 1.1).</w:t>
      </w:r>
    </w:p>
    <w:p w14:paraId="02C34A01" w14:textId="77777777" w:rsidR="00C15F2E" w:rsidRPr="00D96063" w:rsidRDefault="00C15F2E" w:rsidP="00D868BF">
      <w:pPr>
        <w:pStyle w:val="BodyText"/>
      </w:pPr>
      <w:bookmarkStart w:id="205" w:name="_Hlk97567587"/>
      <w:bookmarkStart w:id="206" w:name="_Hlk97623967"/>
      <w:r w:rsidRPr="00D96063">
        <w:t xml:space="preserve">Ghana has been producing and exporting crude oil since December 2010, thereby considerably boosting economic growth. The country also increased its electricity exports and commenced natural gas production during the review period. </w:t>
      </w:r>
      <w:bookmarkStart w:id="207" w:name="_Hlk97567779"/>
      <w:r w:rsidRPr="00D96063">
        <w:t xml:space="preserve">Private and foreign operators and their </w:t>
      </w:r>
      <w:r w:rsidRPr="00D96063">
        <w:lastRenderedPageBreak/>
        <w:t>investments are generally welcome in the sector, although Ghana has a local participation and local content policy aimed at increasing the presence of local companies in the energy sector.</w:t>
      </w:r>
      <w:bookmarkEnd w:id="207"/>
    </w:p>
    <w:bookmarkEnd w:id="205"/>
    <w:p w14:paraId="18FAB03A" w14:textId="77777777" w:rsidR="00C15F2E" w:rsidRPr="00D96063" w:rsidRDefault="00C15F2E" w:rsidP="00D868BF">
      <w:pPr>
        <w:pStyle w:val="BodyText"/>
      </w:pPr>
      <w:r w:rsidRPr="00D96063">
        <w:t xml:space="preserve">Ghana's energy sector has had severe financial problems, mainly due to an excess of both electricity generation capacity and contracted gas supplies. The Energy Sector Recovery Programme adopted in 2019 seeks to address the oversupply situation and remedy the financial problems. </w:t>
      </w:r>
      <w:bookmarkEnd w:id="206"/>
      <w:r w:rsidRPr="00D96063">
        <w:t>Total arrears owed by the Electricity Company of Ghana in 2018 stood at close to USD 2.75 billion, of which USD 851 million was owed to the private sector fuel suppliers and independent power producers (IPPs); in 2020, Ghana spent over 2% of its GDP to support the sector.</w:t>
      </w:r>
      <w:r w:rsidRPr="00D96063">
        <w:rPr>
          <w:rStyle w:val="FootnoteReference"/>
        </w:rPr>
        <w:footnoteReference w:id="154"/>
      </w:r>
    </w:p>
    <w:p w14:paraId="64476CD3" w14:textId="77777777" w:rsidR="00C15F2E" w:rsidRPr="00D96063" w:rsidRDefault="00C15F2E" w:rsidP="00D868BF">
      <w:pPr>
        <w:pStyle w:val="BodyText"/>
      </w:pPr>
      <w:r w:rsidRPr="00D96063">
        <w:t>The Ministry of Energy is responsible for policy formulation in the oil, gas, and electricity sectors and has the oversight of their SOEs and regulatory agencies (see below). The Ministry went through several organizational changes during the review period.</w:t>
      </w:r>
      <w:r w:rsidRPr="00D96063">
        <w:rPr>
          <w:vertAlign w:val="superscript"/>
        </w:rPr>
        <w:footnoteReference w:id="155"/>
      </w:r>
      <w:r w:rsidRPr="00D96063">
        <w:t xml:space="preserve"> Ghana is an Extractive Industries Transparency Initiative (EITI)</w:t>
      </w:r>
      <w:r w:rsidRPr="00D96063">
        <w:noBreakHyphen/>
        <w:t>compliant country.</w:t>
      </w:r>
      <w:r w:rsidRPr="00D96063">
        <w:rPr>
          <w:vertAlign w:val="superscript"/>
        </w:rPr>
        <w:footnoteReference w:id="156"/>
      </w:r>
    </w:p>
    <w:p w14:paraId="2326BDA2" w14:textId="77777777" w:rsidR="00C15F2E" w:rsidRPr="00D96063" w:rsidRDefault="00C15F2E" w:rsidP="003758E5">
      <w:pPr>
        <w:pStyle w:val="Heading3"/>
        <w:numPr>
          <w:ilvl w:val="2"/>
          <w:numId w:val="35"/>
        </w:numPr>
      </w:pPr>
      <w:bookmarkStart w:id="208" w:name="_Toc103607717"/>
      <w:r w:rsidRPr="00D96063">
        <w:t>Oil</w:t>
      </w:r>
      <w:bookmarkEnd w:id="208"/>
    </w:p>
    <w:p w14:paraId="2045C7AB" w14:textId="77777777" w:rsidR="00C15F2E" w:rsidRPr="00D96063" w:rsidRDefault="00C15F2E" w:rsidP="00D868BF">
      <w:pPr>
        <w:pStyle w:val="BodyText"/>
      </w:pPr>
      <w:r w:rsidRPr="00D96063">
        <w:t>Crude oil production reached approximately 67 million barrels in 2020, coming from the three main commercial fields (Jubilee, TEN, and Sankofa-Gye Nyame (SGN)), which contributed respectively 30.4 million, 17.8 million, and 18.7 million barrels. The Saltpond Field was closed in 2016. Oil production declined by 6.8% in 2020, primarily due to the impact of the COVID-19 pandemic on operations.</w:t>
      </w:r>
    </w:p>
    <w:p w14:paraId="3009C077" w14:textId="77777777" w:rsidR="00C15F2E" w:rsidRPr="00D96063" w:rsidRDefault="00C15F2E" w:rsidP="00D868BF">
      <w:pPr>
        <w:pStyle w:val="BodyText"/>
      </w:pPr>
      <w:r w:rsidRPr="00D96063">
        <w:t>Exploration and production activities are regulated by the Petroleum Commission (PC). The Commission was established by the Petroleum Commission Act, 2011 (Act 821), upon the discovery of hydrocarbons in commercial quantities.</w:t>
      </w:r>
    </w:p>
    <w:p w14:paraId="01296ACE" w14:textId="77777777" w:rsidR="00C15F2E" w:rsidRPr="00D96063" w:rsidRDefault="00C15F2E" w:rsidP="00D868BF">
      <w:pPr>
        <w:pStyle w:val="BodyText"/>
      </w:pPr>
      <w:r w:rsidRPr="00D96063">
        <w:t>Ghana enacted a new Petroleum (Exploration and Production) Act, 2016 (Act 919), which entered into force on 16 August 2016.</w:t>
      </w:r>
      <w:r w:rsidRPr="00D96063">
        <w:rPr>
          <w:rStyle w:val="FootnoteReference"/>
        </w:rPr>
        <w:footnoteReference w:id="157"/>
      </w:r>
      <w:r w:rsidRPr="00D96063">
        <w:t xml:space="preserve"> The law allows the state-owned Ghana National Petroleum Corporation (GNPC) to operate in the country on its own or, as is the case in practice, with foreign partners on the basis of petroleum agreements (PAs). Act 919 mandates that the State hold a minimum stake of 15% in terms of participating and carried interest (Table 4.7). At present, the GNPC has PAs with five partners with producing assets (Tullow Ghana Ltd, Kosmos Energy, Petro SA, ENI, and VITOL), and 14 PAs in total (production and exploration). The main sources of government revenues, all of which are negotiated in each PA, are royalties, participations, surface rental payments, corporate taxes (at the rate of 35%), and signature bonuses.</w:t>
      </w:r>
    </w:p>
    <w:p w14:paraId="2CF2FE95" w14:textId="77777777" w:rsidR="00C15F2E" w:rsidRPr="00D96063" w:rsidRDefault="00C15F2E" w:rsidP="00D868BF">
      <w:pPr>
        <w:pStyle w:val="BodyText"/>
        <w:rPr>
          <w:rFonts w:cs="Verdana"/>
          <w:color w:val="000000"/>
          <w:szCs w:val="18"/>
        </w:rPr>
      </w:pPr>
      <w:r w:rsidRPr="00D96063">
        <w:t xml:space="preserve">The main changes of Act 919 include the introduction of a competitive tendering process for the allocation of oil blocks. However, a flexibility under the law also empowers the Minister of Energy to directly enter into negotiations with prospective entities where this happens to be the most efficient manner to achieve optimal exploration, development, and production of petroleum </w:t>
      </w:r>
      <w:r w:rsidRPr="00D96063">
        <w:lastRenderedPageBreak/>
        <w:t>resources in a defined area.</w:t>
      </w:r>
      <w:r w:rsidRPr="00D96063">
        <w:rPr>
          <w:rStyle w:val="FootnoteReference"/>
        </w:rPr>
        <w:footnoteReference w:id="158"/>
      </w:r>
      <w:r w:rsidRPr="00D96063">
        <w:t xml:space="preserve"> Furthermore, Act 919 mandates the establishment of a register of PA, licences, permits and authorizations. The PC launched its online Petroleum Register in 2018.</w:t>
      </w:r>
      <w:r w:rsidRPr="00D96063">
        <w:rPr>
          <w:rStyle w:val="FootnoteReference"/>
        </w:rPr>
        <w:footnoteReference w:id="159"/>
      </w:r>
    </w:p>
    <w:p w14:paraId="011D783F" w14:textId="77777777" w:rsidR="00C15F2E" w:rsidRPr="00D96063" w:rsidRDefault="00C15F2E" w:rsidP="00D868BF">
      <w:pPr>
        <w:pStyle w:val="BodyText"/>
        <w:rPr>
          <w:rFonts w:cs="Verdana"/>
          <w:color w:val="000000"/>
          <w:szCs w:val="18"/>
        </w:rPr>
      </w:pPr>
      <w:r w:rsidRPr="00D96063">
        <w:t>Further regulatory changes during the review period include: (i) the Petroleum (Exploration and Production) (General) Regulations, 2018 (L.I. 2359) to provide for the procedures and conditions for the grant of a PA; (ii) the Petroleum Exploration and Production Data Management Regulation, 2017 (L.I. 2257) to strengthen the management of petroleum data; and (iii) the Petroleum (Exploration and Production) (Health, Safety and Environment) Regulations, 2017 (L.I. 2258). Additional policies and guidelines for the management of the petroleum sector include: (i) the energy sector strategy and development plan; and (ii) guidelines for the formation of joint venture companies in the upstream petroleum industry of Ghana (March 2016).</w:t>
      </w:r>
    </w:p>
    <w:p w14:paraId="629AA6E5" w14:textId="41FF327E" w:rsidR="00C15F2E" w:rsidRPr="00D96063" w:rsidRDefault="00C15F2E" w:rsidP="00D868BF">
      <w:pPr>
        <w:pStyle w:val="Caption"/>
      </w:pPr>
      <w:bookmarkStart w:id="209" w:name="_Toc103607903"/>
      <w:r w:rsidRPr="00D96063">
        <w:t xml:space="preserve">Table </w:t>
      </w:r>
      <w:fldSimple w:instr=" STYLEREF 1 \s ">
        <w:r w:rsidR="004B63B1">
          <w:rPr>
            <w:noProof/>
          </w:rPr>
          <w:t>4</w:t>
        </w:r>
      </w:fldSimple>
      <w:r w:rsidR="00BF3184">
        <w:t>.</w:t>
      </w:r>
      <w:fldSimple w:instr=" SEQ Table \* ARABIC \s 1 ">
        <w:r w:rsidR="004B63B1">
          <w:rPr>
            <w:noProof/>
          </w:rPr>
          <w:t>7</w:t>
        </w:r>
      </w:fldSimple>
      <w:r w:rsidRPr="00D96063">
        <w:t xml:space="preserve"> Royalty regime in the oil and gas sectors, 2022</w:t>
      </w:r>
      <w:bookmarkEnd w:id="209"/>
    </w:p>
    <w:p w14:paraId="62018282" w14:textId="77777777" w:rsidR="00C15F2E" w:rsidRPr="00D96063" w:rsidRDefault="00C15F2E" w:rsidP="00D868BF">
      <w:pPr>
        <w:rPr>
          <w:b/>
          <w:bCs/>
          <w:sz w:val="16"/>
          <w:szCs w:val="16"/>
        </w:rPr>
      </w:pPr>
      <w:r w:rsidRPr="00D96063">
        <w:rPr>
          <w:sz w:val="16"/>
          <w:szCs w:val="16"/>
          <w:lang w:eastAsia="en-GB"/>
        </w:rPr>
        <w:t>(%)</w:t>
      </w:r>
    </w:p>
    <w:tbl>
      <w:tblPr>
        <w:tblStyle w:val="WTOTable1"/>
        <w:tblW w:w="0" w:type="auto"/>
        <w:tblLook w:val="04A0" w:firstRow="1" w:lastRow="0" w:firstColumn="1" w:lastColumn="0" w:noHBand="0" w:noVBand="1"/>
      </w:tblPr>
      <w:tblGrid>
        <w:gridCol w:w="3256"/>
        <w:gridCol w:w="1842"/>
        <w:gridCol w:w="2268"/>
        <w:gridCol w:w="1650"/>
      </w:tblGrid>
      <w:tr w:rsidR="00C15F2E" w:rsidRPr="00D96063" w14:paraId="274A7E1C" w14:textId="77777777" w:rsidTr="00053198">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nil"/>
              <w:right w:val="single" w:sz="4" w:space="0" w:color="auto"/>
            </w:tcBorders>
          </w:tcPr>
          <w:p w14:paraId="6EF8A4B8" w14:textId="77777777" w:rsidR="00C15F2E" w:rsidRPr="00D96063" w:rsidRDefault="00C15F2E" w:rsidP="00053198">
            <w:pPr>
              <w:keepNext/>
              <w:jc w:val="center"/>
              <w:rPr>
                <w:color w:val="FFFFFF" w:themeColor="background1"/>
                <w:sz w:val="16"/>
                <w:szCs w:val="16"/>
              </w:rPr>
            </w:pPr>
          </w:p>
        </w:tc>
        <w:tc>
          <w:tcPr>
            <w:tcW w:w="0" w:type="dxa"/>
            <w:tcBorders>
              <w:top w:val="single" w:sz="4" w:space="0" w:color="auto"/>
              <w:left w:val="single" w:sz="4" w:space="0" w:color="auto"/>
              <w:bottom w:val="nil"/>
              <w:right w:val="single" w:sz="4" w:space="0" w:color="auto"/>
            </w:tcBorders>
            <w:hideMark/>
          </w:tcPr>
          <w:p w14:paraId="53D40B79" w14:textId="77777777" w:rsidR="00C15F2E" w:rsidRPr="00D96063" w:rsidRDefault="00C15F2E" w:rsidP="00053198">
            <w:pPr>
              <w:keepNext/>
              <w:jc w:val="center"/>
              <w:rPr>
                <w:color w:val="FFFFFF" w:themeColor="background1"/>
                <w:sz w:val="16"/>
                <w:szCs w:val="16"/>
              </w:rPr>
            </w:pPr>
            <w:r w:rsidRPr="00D96063">
              <w:rPr>
                <w:color w:val="FFFFFF" w:themeColor="background1"/>
                <w:sz w:val="16"/>
                <w:szCs w:val="16"/>
              </w:rPr>
              <w:t>Jubilee</w:t>
            </w:r>
          </w:p>
        </w:tc>
        <w:tc>
          <w:tcPr>
            <w:tcW w:w="0" w:type="dxa"/>
            <w:tcBorders>
              <w:top w:val="single" w:sz="4" w:space="0" w:color="auto"/>
              <w:left w:val="single" w:sz="4" w:space="0" w:color="auto"/>
              <w:bottom w:val="nil"/>
              <w:right w:val="single" w:sz="4" w:space="0" w:color="auto"/>
            </w:tcBorders>
            <w:hideMark/>
          </w:tcPr>
          <w:p w14:paraId="08C8F8B4" w14:textId="77777777" w:rsidR="00C15F2E" w:rsidRPr="00D96063" w:rsidRDefault="00C15F2E" w:rsidP="00053198">
            <w:pPr>
              <w:keepNext/>
              <w:jc w:val="center"/>
              <w:rPr>
                <w:color w:val="FFFFFF" w:themeColor="background1"/>
                <w:sz w:val="16"/>
                <w:szCs w:val="16"/>
              </w:rPr>
            </w:pPr>
            <w:r w:rsidRPr="00D96063">
              <w:rPr>
                <w:color w:val="FFFFFF" w:themeColor="background1"/>
                <w:sz w:val="16"/>
                <w:szCs w:val="16"/>
              </w:rPr>
              <w:t>TEN</w:t>
            </w:r>
          </w:p>
        </w:tc>
        <w:tc>
          <w:tcPr>
            <w:tcW w:w="0" w:type="dxa"/>
            <w:tcBorders>
              <w:top w:val="single" w:sz="4" w:space="0" w:color="auto"/>
              <w:left w:val="single" w:sz="4" w:space="0" w:color="auto"/>
              <w:bottom w:val="nil"/>
              <w:right w:val="single" w:sz="4" w:space="0" w:color="auto"/>
            </w:tcBorders>
            <w:hideMark/>
          </w:tcPr>
          <w:p w14:paraId="20F9B968" w14:textId="77777777" w:rsidR="00C15F2E" w:rsidRPr="00D96063" w:rsidRDefault="00C15F2E" w:rsidP="00053198">
            <w:pPr>
              <w:keepNext/>
              <w:jc w:val="center"/>
              <w:rPr>
                <w:color w:val="FFFFFF" w:themeColor="background1"/>
                <w:sz w:val="16"/>
                <w:szCs w:val="16"/>
              </w:rPr>
            </w:pPr>
            <w:r w:rsidRPr="00D96063">
              <w:rPr>
                <w:color w:val="FFFFFF" w:themeColor="background1"/>
                <w:sz w:val="16"/>
                <w:szCs w:val="16"/>
              </w:rPr>
              <w:t>SGN</w:t>
            </w:r>
          </w:p>
        </w:tc>
      </w:tr>
      <w:tr w:rsidR="00C15F2E" w:rsidRPr="00D96063" w14:paraId="62613455" w14:textId="77777777" w:rsidTr="00053198">
        <w:tc>
          <w:tcPr>
            <w:tcW w:w="0" w:type="dxa"/>
            <w:tcBorders>
              <w:top w:val="nil"/>
              <w:left w:val="single" w:sz="4" w:space="0" w:color="auto"/>
              <w:bottom w:val="nil"/>
              <w:right w:val="single" w:sz="4" w:space="0" w:color="auto"/>
            </w:tcBorders>
            <w:hideMark/>
          </w:tcPr>
          <w:p w14:paraId="6FD4BBE8" w14:textId="77777777" w:rsidR="00C15F2E" w:rsidRPr="00D96063" w:rsidRDefault="00C15F2E" w:rsidP="00053198">
            <w:pPr>
              <w:keepNext/>
              <w:rPr>
                <w:sz w:val="16"/>
                <w:szCs w:val="16"/>
              </w:rPr>
            </w:pPr>
            <w:r w:rsidRPr="00D96063">
              <w:rPr>
                <w:sz w:val="16"/>
                <w:szCs w:val="16"/>
              </w:rPr>
              <w:t>Royalty on gross oil production</w:t>
            </w:r>
          </w:p>
        </w:tc>
        <w:tc>
          <w:tcPr>
            <w:tcW w:w="0" w:type="dxa"/>
            <w:tcBorders>
              <w:top w:val="nil"/>
              <w:left w:val="single" w:sz="4" w:space="0" w:color="auto"/>
              <w:bottom w:val="nil"/>
              <w:right w:val="single" w:sz="4" w:space="0" w:color="auto"/>
            </w:tcBorders>
            <w:hideMark/>
          </w:tcPr>
          <w:p w14:paraId="4F3994EA" w14:textId="77777777" w:rsidR="00C15F2E" w:rsidRPr="00D96063" w:rsidRDefault="00C15F2E" w:rsidP="00053198">
            <w:pPr>
              <w:keepNext/>
              <w:ind w:right="510"/>
              <w:jc w:val="right"/>
              <w:rPr>
                <w:sz w:val="16"/>
                <w:szCs w:val="16"/>
              </w:rPr>
            </w:pPr>
            <w:r w:rsidRPr="00D96063">
              <w:rPr>
                <w:sz w:val="16"/>
                <w:szCs w:val="16"/>
              </w:rPr>
              <w:t>5.0</w:t>
            </w:r>
          </w:p>
        </w:tc>
        <w:tc>
          <w:tcPr>
            <w:tcW w:w="0" w:type="dxa"/>
            <w:tcBorders>
              <w:top w:val="nil"/>
              <w:left w:val="single" w:sz="4" w:space="0" w:color="auto"/>
              <w:bottom w:val="nil"/>
              <w:right w:val="single" w:sz="4" w:space="0" w:color="auto"/>
            </w:tcBorders>
            <w:hideMark/>
          </w:tcPr>
          <w:p w14:paraId="6F12A28E" w14:textId="77777777" w:rsidR="00C15F2E" w:rsidRPr="00D96063" w:rsidRDefault="00C15F2E" w:rsidP="000254E3">
            <w:pPr>
              <w:keepNext/>
              <w:ind w:right="850"/>
              <w:jc w:val="right"/>
              <w:rPr>
                <w:sz w:val="16"/>
                <w:szCs w:val="16"/>
              </w:rPr>
            </w:pPr>
            <w:r w:rsidRPr="00D96063">
              <w:rPr>
                <w:sz w:val="16"/>
                <w:szCs w:val="16"/>
              </w:rPr>
              <w:t>5.0</w:t>
            </w:r>
          </w:p>
        </w:tc>
        <w:tc>
          <w:tcPr>
            <w:tcW w:w="0" w:type="dxa"/>
            <w:tcBorders>
              <w:top w:val="nil"/>
              <w:left w:val="single" w:sz="4" w:space="0" w:color="auto"/>
              <w:bottom w:val="nil"/>
              <w:right w:val="single" w:sz="4" w:space="0" w:color="auto"/>
            </w:tcBorders>
            <w:hideMark/>
          </w:tcPr>
          <w:p w14:paraId="38F321B7" w14:textId="77777777" w:rsidR="00C15F2E" w:rsidRPr="00D96063" w:rsidRDefault="00C15F2E" w:rsidP="00053198">
            <w:pPr>
              <w:keepNext/>
              <w:ind w:right="510"/>
              <w:jc w:val="right"/>
              <w:rPr>
                <w:sz w:val="16"/>
                <w:szCs w:val="16"/>
              </w:rPr>
            </w:pPr>
            <w:r w:rsidRPr="00D96063">
              <w:rPr>
                <w:sz w:val="16"/>
                <w:szCs w:val="16"/>
              </w:rPr>
              <w:t>7.5</w:t>
            </w:r>
          </w:p>
        </w:tc>
      </w:tr>
      <w:tr w:rsidR="00C15F2E" w:rsidRPr="00D96063" w14:paraId="62AF3AB4" w14:textId="77777777" w:rsidTr="00053198">
        <w:trPr>
          <w:cnfStyle w:val="000000010000" w:firstRow="0" w:lastRow="0" w:firstColumn="0" w:lastColumn="0" w:oddVBand="0" w:evenVBand="0" w:oddHBand="0" w:evenHBand="1" w:firstRowFirstColumn="0" w:firstRowLastColumn="0" w:lastRowFirstColumn="0" w:lastRowLastColumn="0"/>
        </w:trPr>
        <w:tc>
          <w:tcPr>
            <w:tcW w:w="0" w:type="dxa"/>
            <w:tcBorders>
              <w:top w:val="nil"/>
              <w:left w:val="single" w:sz="4" w:space="0" w:color="auto"/>
              <w:bottom w:val="nil"/>
              <w:right w:val="single" w:sz="4" w:space="0" w:color="auto"/>
            </w:tcBorders>
            <w:hideMark/>
          </w:tcPr>
          <w:p w14:paraId="46218C53" w14:textId="77777777" w:rsidR="00C15F2E" w:rsidRPr="00D96063" w:rsidRDefault="00C15F2E" w:rsidP="00053198">
            <w:pPr>
              <w:keepNext/>
              <w:rPr>
                <w:sz w:val="16"/>
                <w:szCs w:val="16"/>
              </w:rPr>
            </w:pPr>
            <w:r w:rsidRPr="00D96063">
              <w:rPr>
                <w:sz w:val="16"/>
                <w:szCs w:val="16"/>
              </w:rPr>
              <w:t>Royalty on gas production</w:t>
            </w:r>
          </w:p>
        </w:tc>
        <w:tc>
          <w:tcPr>
            <w:tcW w:w="0" w:type="dxa"/>
            <w:tcBorders>
              <w:top w:val="nil"/>
              <w:left w:val="single" w:sz="4" w:space="0" w:color="auto"/>
              <w:bottom w:val="nil"/>
              <w:right w:val="single" w:sz="4" w:space="0" w:color="auto"/>
            </w:tcBorders>
            <w:hideMark/>
          </w:tcPr>
          <w:p w14:paraId="10113821" w14:textId="77777777" w:rsidR="00C15F2E" w:rsidRPr="00D96063" w:rsidRDefault="00C15F2E" w:rsidP="00053198">
            <w:pPr>
              <w:keepNext/>
              <w:ind w:right="510"/>
              <w:jc w:val="right"/>
              <w:rPr>
                <w:sz w:val="16"/>
                <w:szCs w:val="16"/>
              </w:rPr>
            </w:pPr>
            <w:r w:rsidRPr="00D96063">
              <w:rPr>
                <w:sz w:val="16"/>
                <w:szCs w:val="16"/>
              </w:rPr>
              <w:t>5.0</w:t>
            </w:r>
          </w:p>
        </w:tc>
        <w:tc>
          <w:tcPr>
            <w:tcW w:w="0" w:type="dxa"/>
            <w:tcBorders>
              <w:top w:val="nil"/>
              <w:left w:val="single" w:sz="4" w:space="0" w:color="auto"/>
              <w:bottom w:val="nil"/>
              <w:right w:val="single" w:sz="4" w:space="0" w:color="auto"/>
            </w:tcBorders>
            <w:hideMark/>
          </w:tcPr>
          <w:p w14:paraId="7FA2F3A5" w14:textId="77777777" w:rsidR="00C15F2E" w:rsidRPr="00D96063" w:rsidRDefault="00C15F2E" w:rsidP="000254E3">
            <w:pPr>
              <w:keepNext/>
              <w:ind w:right="850"/>
              <w:jc w:val="right"/>
              <w:rPr>
                <w:sz w:val="16"/>
                <w:szCs w:val="16"/>
              </w:rPr>
            </w:pPr>
            <w:r w:rsidRPr="00D96063">
              <w:rPr>
                <w:sz w:val="16"/>
                <w:szCs w:val="16"/>
              </w:rPr>
              <w:t>3.0</w:t>
            </w:r>
          </w:p>
        </w:tc>
        <w:tc>
          <w:tcPr>
            <w:tcW w:w="0" w:type="dxa"/>
            <w:tcBorders>
              <w:top w:val="nil"/>
              <w:left w:val="single" w:sz="4" w:space="0" w:color="auto"/>
              <w:bottom w:val="nil"/>
              <w:right w:val="single" w:sz="4" w:space="0" w:color="auto"/>
            </w:tcBorders>
            <w:hideMark/>
          </w:tcPr>
          <w:p w14:paraId="296A00D9" w14:textId="77777777" w:rsidR="00C15F2E" w:rsidRPr="00D96063" w:rsidRDefault="00C15F2E" w:rsidP="00053198">
            <w:pPr>
              <w:keepNext/>
              <w:ind w:right="510"/>
              <w:jc w:val="right"/>
              <w:rPr>
                <w:sz w:val="16"/>
                <w:szCs w:val="16"/>
              </w:rPr>
            </w:pPr>
            <w:r w:rsidRPr="00D96063">
              <w:rPr>
                <w:sz w:val="16"/>
                <w:szCs w:val="16"/>
              </w:rPr>
              <w:t>5.0</w:t>
            </w:r>
          </w:p>
        </w:tc>
      </w:tr>
      <w:tr w:rsidR="00C15F2E" w:rsidRPr="00D96063" w14:paraId="36ADE10A" w14:textId="77777777" w:rsidTr="00053198">
        <w:tc>
          <w:tcPr>
            <w:tcW w:w="0" w:type="dxa"/>
            <w:tcBorders>
              <w:top w:val="nil"/>
              <w:left w:val="single" w:sz="4" w:space="0" w:color="auto"/>
              <w:bottom w:val="nil"/>
              <w:right w:val="single" w:sz="4" w:space="0" w:color="auto"/>
            </w:tcBorders>
            <w:hideMark/>
          </w:tcPr>
          <w:p w14:paraId="776BFC3B" w14:textId="77777777" w:rsidR="00C15F2E" w:rsidRPr="00D96063" w:rsidRDefault="00C15F2E" w:rsidP="00053198">
            <w:pPr>
              <w:keepNext/>
              <w:rPr>
                <w:sz w:val="16"/>
                <w:szCs w:val="16"/>
              </w:rPr>
            </w:pPr>
            <w:r w:rsidRPr="00D96063">
              <w:rPr>
                <w:sz w:val="16"/>
                <w:szCs w:val="16"/>
              </w:rPr>
              <w:t>Carried and participating interest</w:t>
            </w:r>
          </w:p>
        </w:tc>
        <w:tc>
          <w:tcPr>
            <w:tcW w:w="0" w:type="dxa"/>
            <w:tcBorders>
              <w:top w:val="nil"/>
              <w:left w:val="single" w:sz="4" w:space="0" w:color="auto"/>
              <w:bottom w:val="nil"/>
              <w:right w:val="single" w:sz="4" w:space="0" w:color="auto"/>
            </w:tcBorders>
            <w:hideMark/>
          </w:tcPr>
          <w:p w14:paraId="04B85268" w14:textId="77777777" w:rsidR="00C15F2E" w:rsidRPr="00D96063" w:rsidRDefault="00C15F2E" w:rsidP="00053198">
            <w:pPr>
              <w:keepNext/>
              <w:ind w:right="510"/>
              <w:jc w:val="right"/>
              <w:rPr>
                <w:sz w:val="16"/>
                <w:szCs w:val="16"/>
              </w:rPr>
            </w:pPr>
            <w:r w:rsidRPr="00D96063">
              <w:rPr>
                <w:sz w:val="16"/>
                <w:szCs w:val="16"/>
              </w:rPr>
              <w:t>13.6</w:t>
            </w:r>
          </w:p>
        </w:tc>
        <w:tc>
          <w:tcPr>
            <w:tcW w:w="0" w:type="dxa"/>
            <w:tcBorders>
              <w:top w:val="nil"/>
              <w:left w:val="single" w:sz="4" w:space="0" w:color="auto"/>
              <w:bottom w:val="nil"/>
              <w:right w:val="single" w:sz="4" w:space="0" w:color="auto"/>
            </w:tcBorders>
            <w:hideMark/>
          </w:tcPr>
          <w:p w14:paraId="2E3E13B5" w14:textId="77777777" w:rsidR="00C15F2E" w:rsidRPr="00D96063" w:rsidRDefault="00C15F2E" w:rsidP="000254E3">
            <w:pPr>
              <w:keepNext/>
              <w:ind w:right="850"/>
              <w:jc w:val="right"/>
              <w:rPr>
                <w:sz w:val="16"/>
                <w:szCs w:val="16"/>
              </w:rPr>
            </w:pPr>
            <w:r w:rsidRPr="00D96063">
              <w:rPr>
                <w:sz w:val="16"/>
                <w:szCs w:val="16"/>
              </w:rPr>
              <w:t>15.0</w:t>
            </w:r>
          </w:p>
        </w:tc>
        <w:tc>
          <w:tcPr>
            <w:tcW w:w="0" w:type="dxa"/>
            <w:tcBorders>
              <w:top w:val="nil"/>
              <w:left w:val="single" w:sz="4" w:space="0" w:color="auto"/>
              <w:bottom w:val="nil"/>
              <w:right w:val="single" w:sz="4" w:space="0" w:color="auto"/>
            </w:tcBorders>
            <w:hideMark/>
          </w:tcPr>
          <w:p w14:paraId="1E86DBE0" w14:textId="77777777" w:rsidR="00C15F2E" w:rsidRPr="00D96063" w:rsidRDefault="00C15F2E" w:rsidP="00053198">
            <w:pPr>
              <w:keepNext/>
              <w:ind w:right="510"/>
              <w:jc w:val="right"/>
              <w:rPr>
                <w:sz w:val="16"/>
                <w:szCs w:val="16"/>
              </w:rPr>
            </w:pPr>
            <w:r w:rsidRPr="00D96063">
              <w:rPr>
                <w:sz w:val="16"/>
                <w:szCs w:val="16"/>
              </w:rPr>
              <w:t>20.0</w:t>
            </w:r>
          </w:p>
        </w:tc>
      </w:tr>
      <w:tr w:rsidR="00C15F2E" w:rsidRPr="00D96063" w14:paraId="42572D5C" w14:textId="77777777" w:rsidTr="00053198">
        <w:trPr>
          <w:cnfStyle w:val="000000010000" w:firstRow="0" w:lastRow="0" w:firstColumn="0" w:lastColumn="0" w:oddVBand="0" w:evenVBand="0" w:oddHBand="0" w:evenHBand="1" w:firstRowFirstColumn="0" w:firstRowLastColumn="0" w:lastRowFirstColumn="0" w:lastRowLastColumn="0"/>
        </w:trPr>
        <w:tc>
          <w:tcPr>
            <w:tcW w:w="3256" w:type="dxa"/>
            <w:tcBorders>
              <w:top w:val="nil"/>
              <w:left w:val="single" w:sz="4" w:space="0" w:color="auto"/>
              <w:bottom w:val="single" w:sz="4" w:space="0" w:color="auto"/>
              <w:right w:val="single" w:sz="4" w:space="0" w:color="auto"/>
            </w:tcBorders>
            <w:hideMark/>
          </w:tcPr>
          <w:p w14:paraId="479F0D1B" w14:textId="77777777" w:rsidR="00C15F2E" w:rsidRPr="00D96063" w:rsidRDefault="00C15F2E" w:rsidP="00053198">
            <w:pPr>
              <w:keepNext/>
              <w:rPr>
                <w:b/>
                <w:bCs/>
                <w:sz w:val="16"/>
                <w:szCs w:val="16"/>
              </w:rPr>
            </w:pPr>
            <w:r w:rsidRPr="00D96063">
              <w:rPr>
                <w:sz w:val="16"/>
                <w:szCs w:val="16"/>
              </w:rPr>
              <w:t>Commercial interest</w:t>
            </w:r>
          </w:p>
        </w:tc>
        <w:tc>
          <w:tcPr>
            <w:tcW w:w="1842" w:type="dxa"/>
            <w:tcBorders>
              <w:top w:val="nil"/>
              <w:left w:val="single" w:sz="4" w:space="0" w:color="auto"/>
              <w:bottom w:val="single" w:sz="4" w:space="0" w:color="auto"/>
              <w:right w:val="single" w:sz="4" w:space="0" w:color="auto"/>
            </w:tcBorders>
            <w:hideMark/>
          </w:tcPr>
          <w:p w14:paraId="3BC6A1CC" w14:textId="77777777" w:rsidR="00C15F2E" w:rsidRPr="00D96063" w:rsidRDefault="00C15F2E" w:rsidP="00053198">
            <w:pPr>
              <w:keepNext/>
              <w:ind w:right="510"/>
              <w:jc w:val="right"/>
              <w:rPr>
                <w:sz w:val="16"/>
                <w:szCs w:val="16"/>
              </w:rPr>
            </w:pPr>
            <w:r w:rsidRPr="00D96063">
              <w:rPr>
                <w:sz w:val="16"/>
                <w:szCs w:val="16"/>
              </w:rPr>
              <w:t>6.0</w:t>
            </w:r>
          </w:p>
        </w:tc>
        <w:tc>
          <w:tcPr>
            <w:tcW w:w="2268" w:type="dxa"/>
            <w:tcBorders>
              <w:top w:val="nil"/>
              <w:left w:val="single" w:sz="4" w:space="0" w:color="auto"/>
              <w:bottom w:val="single" w:sz="4" w:space="0" w:color="auto"/>
              <w:right w:val="single" w:sz="4" w:space="0" w:color="auto"/>
            </w:tcBorders>
            <w:hideMark/>
          </w:tcPr>
          <w:p w14:paraId="4E39D28B" w14:textId="77777777" w:rsidR="00C15F2E" w:rsidRPr="00D96063" w:rsidRDefault="00C15F2E" w:rsidP="000254E3">
            <w:pPr>
              <w:keepNext/>
              <w:ind w:right="850"/>
              <w:jc w:val="right"/>
              <w:rPr>
                <w:sz w:val="16"/>
                <w:szCs w:val="16"/>
              </w:rPr>
            </w:pPr>
            <w:r w:rsidRPr="00D96063">
              <w:rPr>
                <w:sz w:val="16"/>
                <w:szCs w:val="16"/>
              </w:rPr>
              <w:t>6.0</w:t>
            </w:r>
          </w:p>
        </w:tc>
        <w:tc>
          <w:tcPr>
            <w:tcW w:w="1650" w:type="dxa"/>
            <w:tcBorders>
              <w:top w:val="nil"/>
              <w:left w:val="single" w:sz="4" w:space="0" w:color="auto"/>
              <w:bottom w:val="single" w:sz="4" w:space="0" w:color="auto"/>
              <w:right w:val="single" w:sz="4" w:space="0" w:color="auto"/>
            </w:tcBorders>
            <w:hideMark/>
          </w:tcPr>
          <w:p w14:paraId="1B4F0A9F" w14:textId="77777777" w:rsidR="00C15F2E" w:rsidRPr="00D96063" w:rsidRDefault="00C15F2E" w:rsidP="00053198">
            <w:pPr>
              <w:keepNext/>
              <w:ind w:right="510"/>
              <w:jc w:val="right"/>
              <w:rPr>
                <w:sz w:val="16"/>
                <w:szCs w:val="16"/>
              </w:rPr>
            </w:pPr>
            <w:r w:rsidRPr="00D96063">
              <w:rPr>
                <w:sz w:val="16"/>
                <w:szCs w:val="16"/>
              </w:rPr>
              <w:t xml:space="preserve">0 </w:t>
            </w:r>
          </w:p>
        </w:tc>
      </w:tr>
    </w:tbl>
    <w:p w14:paraId="2573F3B9" w14:textId="77777777" w:rsidR="00C15F2E" w:rsidRPr="00D96063" w:rsidRDefault="00C15F2E" w:rsidP="00AC650D">
      <w:pPr>
        <w:pStyle w:val="NoteText"/>
        <w:keepNext/>
        <w:spacing w:before="120" w:after="120"/>
        <w:jc w:val="both"/>
        <w:rPr>
          <w:szCs w:val="16"/>
        </w:rPr>
      </w:pPr>
      <w:r w:rsidRPr="00D96063">
        <w:rPr>
          <w:szCs w:val="16"/>
        </w:rPr>
        <w:t>Note:</w:t>
      </w:r>
      <w:r w:rsidRPr="00D96063">
        <w:rPr>
          <w:szCs w:val="16"/>
        </w:rPr>
        <w:tab/>
        <w:t>Participating interest refers to the interest held in petroleum operations by a party to a PA. Carried interest refers to any interest held by the State in respect of which the contractor pays for the exploration and development costs without any entitlement to reimbursement from the State. Commercial interest refers to the GNPC's financial commitment to exploration and production activities from the onset of the operation.</w:t>
      </w:r>
    </w:p>
    <w:p w14:paraId="6C59B6C1" w14:textId="77777777" w:rsidR="00C15F2E" w:rsidRPr="00D96063" w:rsidRDefault="00C15F2E" w:rsidP="00AC650D">
      <w:pPr>
        <w:pStyle w:val="NoteText"/>
        <w:spacing w:before="120" w:after="240"/>
        <w:rPr>
          <w:szCs w:val="16"/>
        </w:rPr>
      </w:pPr>
      <w:r w:rsidRPr="00D96063">
        <w:rPr>
          <w:szCs w:val="16"/>
        </w:rPr>
        <w:t>Source:</w:t>
      </w:r>
      <w:r w:rsidRPr="00D96063">
        <w:rPr>
          <w:szCs w:val="16"/>
        </w:rPr>
        <w:tab/>
        <w:t xml:space="preserve">Ministry of Finance and GHEITI (2019), </w:t>
      </w:r>
      <w:r w:rsidRPr="00D96063">
        <w:rPr>
          <w:i/>
          <w:iCs/>
          <w:szCs w:val="16"/>
        </w:rPr>
        <w:t>Final Report for 2017 &amp; 2018: Oil and Gas Sector</w:t>
      </w:r>
      <w:r w:rsidRPr="00D96063">
        <w:rPr>
          <w:szCs w:val="16"/>
        </w:rPr>
        <w:t xml:space="preserve">. Viewed at: </w:t>
      </w:r>
      <w:r w:rsidRPr="00D96063">
        <w:rPr>
          <w:rStyle w:val="Hyperlink"/>
        </w:rPr>
        <w:t>https://eiti.org/sites/default/files/attachments/final_2017_and_2018_oil_and_gas_reportcd.pdf</w:t>
      </w:r>
      <w:r w:rsidRPr="00D96063">
        <w:rPr>
          <w:szCs w:val="16"/>
        </w:rPr>
        <w:t>.</w:t>
      </w:r>
    </w:p>
    <w:p w14:paraId="48C4ECF2" w14:textId="77777777" w:rsidR="00C15F2E" w:rsidRPr="00D96063" w:rsidRDefault="00C15F2E" w:rsidP="00D868BF">
      <w:pPr>
        <w:pStyle w:val="BodyText"/>
      </w:pPr>
      <w:r w:rsidRPr="00D96063">
        <w:rPr>
          <w:lang w:eastAsia="en-GB"/>
        </w:rPr>
        <w:t xml:space="preserve">Under the </w:t>
      </w:r>
      <w:r w:rsidRPr="00D96063">
        <w:t>Petroleum (Local Content and Local Participation) Regulation, 2013 (L.I. 2204), an indigenous Ghanaian company (IGC) shall be given first preference in the grant of a petroleum agreement or a licence with respect to petroleum activities. Foreign companies must afford an IGC (other than the GNPC) an equity participation in PAs of at least 5% (existing PAs are grandfathered).</w:t>
      </w:r>
      <w:r w:rsidRPr="00D96063">
        <w:rPr>
          <w:rStyle w:val="FootnoteReference"/>
        </w:rPr>
        <w:footnoteReference w:id="160"/>
      </w:r>
      <w:r w:rsidRPr="00D96063">
        <w:t xml:space="preserve"> According to the authorities, the policy has led to an increase in the level of Ghanaian participation in new PAs and existing PAs and ensured that at all times there is Ghanaian participation in new PAs and licences awarded. Currently, out of the 14 active PAs, 10 have local participation. The GNPC, after the passage of the Regulations, established the subsidiary GNPC Exploration and Petroleum Company Limited (Explorco), to increase its stake in PAs and broaden local participation. Explorco is a party to six PAs. There has also been an acquisition and operatorship of a licence area by the wholly owned IGC Springfield.</w:t>
      </w:r>
    </w:p>
    <w:p w14:paraId="45C2C9DE" w14:textId="77777777" w:rsidR="00C15F2E" w:rsidRPr="00D96063" w:rsidRDefault="00C15F2E" w:rsidP="00D868BF">
      <w:pPr>
        <w:pStyle w:val="BodyText"/>
      </w:pPr>
      <w:r w:rsidRPr="00D96063">
        <w:t>Foreign companies supplying petroleum-related goods or services must form a joint venture with an indigenous Ghanaian participation of least 10% equity. Furthermore, in terms of bidding, an IGC that has the capacity to execute a job is not disqualified exclusively on the basis that it is not the lowest financial bidder. Pursuant to L.I. 2204, a contractor, subcontractor, licensee, or other entity engaged in petroleum activities is mandated to employ only Ghanaians in junior- or middle</w:t>
      </w:r>
      <w:r w:rsidRPr="00D96063">
        <w:noBreakHyphen/>
        <w:t>level positions. Additionally, where Ghanaians are not employed due to a lack of expertise, the enterprise must ensure to the satisfaction of the Commission that every reasonable effort is made to provide training to Ghanaians in that field locally or elsewhere.</w:t>
      </w:r>
    </w:p>
    <w:p w14:paraId="5CC72E33" w14:textId="77777777" w:rsidR="00C15F2E" w:rsidRPr="00D96063" w:rsidRDefault="00C15F2E" w:rsidP="00D868BF">
      <w:pPr>
        <w:pStyle w:val="BodyText"/>
      </w:pPr>
      <w:r w:rsidRPr="00D96063">
        <w:t>Prior to the passage of the Regulations, the participation of Ghanaians was limited to low</w:t>
      </w:r>
      <w:r w:rsidRPr="00D96063">
        <w:noBreakHyphen/>
        <w:t xml:space="preserve">hanging fruit, while technical scopes were executed outside Ghana due to lack of expertise. </w:t>
      </w:r>
      <w:r w:rsidRPr="00D96063">
        <w:lastRenderedPageBreak/>
        <w:t>Contracts were approved by the Joint Management Committee (JMC) with little consideration of local content and local participation. The level of local participation was less than 6% of total contracts awarded. To ensure effective implementation of the Regulations, strategic committees were established to develop strategies to accelerate local content and broaden local participation that led to the unbundling of contracts, shortening of contract durations, minimum local content levels in each contract, reservation of goods and services for IGCs, succession planning, secondment, and training for Ghanaian graduates and professionals. Currently, over 600 IGCs are registered to provide various goods and services in the industry. Over USD 2.2 billion worth of contracts and purchase orders were issued to IGCs between 2014 and 2020.</w:t>
      </w:r>
    </w:p>
    <w:p w14:paraId="60445196" w14:textId="77777777" w:rsidR="00C15F2E" w:rsidRPr="00D96063" w:rsidRDefault="00C15F2E" w:rsidP="00D868BF">
      <w:pPr>
        <w:pStyle w:val="BodyText"/>
      </w:pPr>
      <w:r w:rsidRPr="00D96063">
        <w:t>According to the authorities, the local content policy has had some effect but not to the level expected. In fact, it is difficult to get IGCs to participate in exploration because of financial constraints and the high risk of exploration. The services aspect, however, has high patronage because of the quick returns on investment and the lower capital intensity of some of the contracts. In terms of employment, the policy may not be strictly adhered to by the companies especially at the managerial levels. In some companies, there may be expatriates occupying positions that Ghanaians in the company are qualified to occupy but, for some reason, they are denied the opportunity. The policy has improved "job role localization" (performance of expatriate job roles) by readily available local workforce and the transfer of skills through succession planning activities in the upstream petroleum sector.</w:t>
      </w:r>
    </w:p>
    <w:p w14:paraId="37FAD962" w14:textId="77777777" w:rsidR="00C15F2E" w:rsidRPr="00D96063" w:rsidRDefault="00C15F2E" w:rsidP="00D868BF">
      <w:pPr>
        <w:pStyle w:val="BodyText"/>
      </w:pPr>
      <w:r w:rsidRPr="00D96063">
        <w:t>Ghana established two sovereign petroleum wealth funds, namely the Ghana Stabilization Fund (GSF) and the Ghana Heritage Fund (GHF) through the Petroleum Management Revenue Act, 2011 (Act 815), to ensure the management of petroleum revenues in a responsible, transparent, accountable, and sustainable manner for the benefits of the citizens (Table 4.8). The "benchmark revenue" (i.e. the revenue from petroleum operations expected by the Government for the corresponding financial year) is shared between the Government and the two funds, with the allocation to the annual budget limited to a maximum of 70% of the benchmark revenue, subject to approval by Parliament. Funds for the GHF are for long-term investments. The GSF is designed to cushion the impact of public revenue shortfalls in periods of oil price declines. A Public Interest and Accountability Committee provides an annual audit of the petroleum funds.</w:t>
      </w:r>
      <w:r w:rsidRPr="00D96063">
        <w:rPr>
          <w:rStyle w:val="FootnoteReference"/>
        </w:rPr>
        <w:footnoteReference w:id="161"/>
      </w:r>
    </w:p>
    <w:p w14:paraId="2D72620A" w14:textId="53C5030F" w:rsidR="00C15F2E" w:rsidRPr="00D96063" w:rsidRDefault="00C15F2E" w:rsidP="00D868BF">
      <w:pPr>
        <w:pStyle w:val="Caption"/>
      </w:pPr>
      <w:bookmarkStart w:id="210" w:name="_Toc103607904"/>
      <w:r w:rsidRPr="00D96063">
        <w:t xml:space="preserve">Table </w:t>
      </w:r>
      <w:fldSimple w:instr=" STYLEREF 1 \s ">
        <w:r w:rsidR="004B63B1">
          <w:rPr>
            <w:noProof/>
          </w:rPr>
          <w:t>4</w:t>
        </w:r>
      </w:fldSimple>
      <w:r w:rsidR="00BF3184">
        <w:t>.</w:t>
      </w:r>
      <w:fldSimple w:instr=" SEQ Table \* ARABIC \s 1 ">
        <w:r w:rsidR="004B63B1">
          <w:rPr>
            <w:noProof/>
          </w:rPr>
          <w:t>8</w:t>
        </w:r>
      </w:fldSimple>
      <w:r w:rsidRPr="00D96063">
        <w:t xml:space="preserve"> Distribution of oil export proceeds, 2018-21</w:t>
      </w:r>
      <w:bookmarkEnd w:id="210"/>
    </w:p>
    <w:tbl>
      <w:tblPr>
        <w:tblStyle w:val="WTOTable1"/>
        <w:tblW w:w="5000" w:type="pct"/>
        <w:tblLook w:val="04A0" w:firstRow="1" w:lastRow="0" w:firstColumn="1" w:lastColumn="0" w:noHBand="0" w:noVBand="1"/>
      </w:tblPr>
      <w:tblGrid>
        <w:gridCol w:w="680"/>
        <w:gridCol w:w="1228"/>
        <w:gridCol w:w="1376"/>
        <w:gridCol w:w="1433"/>
        <w:gridCol w:w="1433"/>
        <w:gridCol w:w="1433"/>
        <w:gridCol w:w="1433"/>
      </w:tblGrid>
      <w:tr w:rsidR="00C15F2E" w:rsidRPr="00D96063" w14:paraId="43E9FA7B" w14:textId="77777777" w:rsidTr="00053198">
        <w:trPr>
          <w:cnfStyle w:val="100000000000" w:firstRow="1" w:lastRow="0" w:firstColumn="0" w:lastColumn="0" w:oddVBand="0" w:evenVBand="0" w:oddHBand="0" w:evenHBand="0" w:firstRowFirstColumn="0" w:firstRowLastColumn="0" w:lastRowFirstColumn="0" w:lastRowLastColumn="0"/>
          <w:trHeight w:val="289"/>
        </w:trPr>
        <w:tc>
          <w:tcPr>
            <w:tcW w:w="377" w:type="pct"/>
            <w:tcBorders>
              <w:top w:val="single" w:sz="4" w:space="0" w:color="auto"/>
              <w:left w:val="single" w:sz="4" w:space="0" w:color="auto"/>
              <w:bottom w:val="nil"/>
              <w:right w:val="single" w:sz="4" w:space="0" w:color="auto"/>
            </w:tcBorders>
          </w:tcPr>
          <w:p w14:paraId="1827E085" w14:textId="77777777" w:rsidR="00C15F2E" w:rsidRPr="00D96063" w:rsidRDefault="00C15F2E" w:rsidP="00053198">
            <w:pPr>
              <w:rPr>
                <w:b w:val="0"/>
                <w:color w:val="FFFFFF" w:themeColor="background1"/>
                <w:sz w:val="16"/>
              </w:rPr>
            </w:pPr>
          </w:p>
        </w:tc>
        <w:tc>
          <w:tcPr>
            <w:tcW w:w="957" w:type="pct"/>
            <w:tcBorders>
              <w:top w:val="single" w:sz="4" w:space="0" w:color="auto"/>
              <w:left w:val="single" w:sz="4" w:space="0" w:color="auto"/>
              <w:bottom w:val="nil"/>
              <w:right w:val="single" w:sz="4" w:space="0" w:color="auto"/>
            </w:tcBorders>
            <w:hideMark/>
          </w:tcPr>
          <w:p w14:paraId="4CDCFB59" w14:textId="77777777" w:rsidR="00C15F2E" w:rsidRPr="00D96063" w:rsidRDefault="00C15F2E" w:rsidP="00053198">
            <w:pPr>
              <w:jc w:val="center"/>
              <w:rPr>
                <w:color w:val="FFFFFF" w:themeColor="background1"/>
                <w:sz w:val="16"/>
              </w:rPr>
            </w:pPr>
            <w:r w:rsidRPr="00D96063">
              <w:rPr>
                <w:color w:val="FFFFFF" w:themeColor="background1"/>
                <w:sz w:val="16"/>
              </w:rPr>
              <w:t>Crude oil production</w:t>
            </w:r>
          </w:p>
          <w:p w14:paraId="54A3658A" w14:textId="77777777" w:rsidR="00C15F2E" w:rsidRPr="00D96063" w:rsidRDefault="00C15F2E" w:rsidP="00053198">
            <w:pPr>
              <w:jc w:val="center"/>
              <w:rPr>
                <w:color w:val="FFFFFF" w:themeColor="background1"/>
                <w:sz w:val="16"/>
              </w:rPr>
            </w:pPr>
            <w:r w:rsidRPr="00D96063">
              <w:rPr>
                <w:color w:val="FFFFFF" w:themeColor="background1"/>
                <w:sz w:val="16"/>
              </w:rPr>
              <w:t>(million barrels)</w:t>
            </w:r>
          </w:p>
        </w:tc>
        <w:tc>
          <w:tcPr>
            <w:tcW w:w="486" w:type="pct"/>
            <w:tcBorders>
              <w:top w:val="single" w:sz="4" w:space="0" w:color="auto"/>
              <w:left w:val="single" w:sz="4" w:space="0" w:color="auto"/>
              <w:bottom w:val="nil"/>
              <w:right w:val="single" w:sz="4" w:space="0" w:color="auto"/>
            </w:tcBorders>
            <w:hideMark/>
          </w:tcPr>
          <w:p w14:paraId="1B7B41AB" w14:textId="77777777" w:rsidR="00C15F2E" w:rsidRPr="00D96063" w:rsidRDefault="00C15F2E" w:rsidP="00053198">
            <w:pPr>
              <w:jc w:val="center"/>
              <w:rPr>
                <w:color w:val="FFFFFF" w:themeColor="background1"/>
                <w:sz w:val="16"/>
              </w:rPr>
            </w:pPr>
            <w:r w:rsidRPr="00D96063">
              <w:rPr>
                <w:color w:val="FFFFFF" w:themeColor="background1"/>
                <w:sz w:val="16"/>
              </w:rPr>
              <w:t>Export value</w:t>
            </w:r>
          </w:p>
          <w:p w14:paraId="6292EB20" w14:textId="77777777" w:rsidR="00C15F2E" w:rsidRPr="00D96063" w:rsidRDefault="00C15F2E" w:rsidP="00053198">
            <w:pPr>
              <w:jc w:val="center"/>
              <w:rPr>
                <w:color w:val="FFFFFF" w:themeColor="background1"/>
                <w:sz w:val="16"/>
              </w:rPr>
            </w:pPr>
            <w:r w:rsidRPr="00D96063">
              <w:rPr>
                <w:color w:val="FFFFFF" w:themeColor="background1"/>
                <w:sz w:val="16"/>
              </w:rPr>
              <w:t>(USD billion)</w:t>
            </w:r>
          </w:p>
        </w:tc>
        <w:tc>
          <w:tcPr>
            <w:tcW w:w="795" w:type="pct"/>
            <w:tcBorders>
              <w:top w:val="single" w:sz="4" w:space="0" w:color="auto"/>
              <w:left w:val="single" w:sz="4" w:space="0" w:color="auto"/>
              <w:bottom w:val="nil"/>
              <w:right w:val="single" w:sz="4" w:space="0" w:color="auto"/>
            </w:tcBorders>
            <w:hideMark/>
          </w:tcPr>
          <w:p w14:paraId="395318B2" w14:textId="77777777" w:rsidR="00C15F2E" w:rsidRPr="00D96063" w:rsidRDefault="00C15F2E" w:rsidP="00053198">
            <w:pPr>
              <w:jc w:val="center"/>
              <w:rPr>
                <w:color w:val="FFFFFF" w:themeColor="background1"/>
                <w:sz w:val="16"/>
              </w:rPr>
            </w:pPr>
            <w:r w:rsidRPr="00D96063">
              <w:rPr>
                <w:color w:val="FFFFFF" w:themeColor="background1"/>
                <w:sz w:val="16"/>
              </w:rPr>
              <w:t>Benchmark revenue (USD million)</w:t>
            </w:r>
          </w:p>
        </w:tc>
        <w:tc>
          <w:tcPr>
            <w:tcW w:w="795" w:type="pct"/>
            <w:tcBorders>
              <w:top w:val="single" w:sz="4" w:space="0" w:color="auto"/>
              <w:left w:val="single" w:sz="4" w:space="0" w:color="auto"/>
              <w:bottom w:val="nil"/>
              <w:right w:val="single" w:sz="4" w:space="0" w:color="auto"/>
            </w:tcBorders>
            <w:hideMark/>
          </w:tcPr>
          <w:p w14:paraId="43E737FC" w14:textId="77777777" w:rsidR="00C15F2E" w:rsidRPr="00D96063" w:rsidRDefault="00C15F2E" w:rsidP="00053198">
            <w:pPr>
              <w:jc w:val="center"/>
              <w:rPr>
                <w:color w:val="FFFFFF" w:themeColor="background1"/>
                <w:sz w:val="16"/>
              </w:rPr>
            </w:pPr>
            <w:r w:rsidRPr="00D96063">
              <w:rPr>
                <w:color w:val="FFFFFF" w:themeColor="background1"/>
                <w:sz w:val="16"/>
              </w:rPr>
              <w:t>Annual public budget (USD million)</w:t>
            </w:r>
          </w:p>
        </w:tc>
        <w:tc>
          <w:tcPr>
            <w:tcW w:w="795" w:type="pct"/>
            <w:tcBorders>
              <w:top w:val="single" w:sz="4" w:space="0" w:color="auto"/>
              <w:left w:val="single" w:sz="4" w:space="0" w:color="auto"/>
              <w:bottom w:val="nil"/>
              <w:right w:val="single" w:sz="4" w:space="0" w:color="auto"/>
            </w:tcBorders>
            <w:hideMark/>
          </w:tcPr>
          <w:p w14:paraId="185B97CA" w14:textId="77777777" w:rsidR="00C15F2E" w:rsidRPr="00D96063" w:rsidRDefault="00C15F2E" w:rsidP="00053198">
            <w:pPr>
              <w:jc w:val="center"/>
              <w:rPr>
                <w:color w:val="FFFFFF" w:themeColor="background1"/>
                <w:sz w:val="16"/>
              </w:rPr>
            </w:pPr>
            <w:r w:rsidRPr="00D96063">
              <w:rPr>
                <w:color w:val="FFFFFF" w:themeColor="background1"/>
                <w:sz w:val="16"/>
              </w:rPr>
              <w:t>GSF (USD million)</w:t>
            </w:r>
          </w:p>
        </w:tc>
        <w:tc>
          <w:tcPr>
            <w:tcW w:w="795" w:type="pct"/>
            <w:tcBorders>
              <w:top w:val="single" w:sz="4" w:space="0" w:color="auto"/>
              <w:left w:val="single" w:sz="4" w:space="0" w:color="auto"/>
              <w:bottom w:val="nil"/>
              <w:right w:val="single" w:sz="4" w:space="0" w:color="auto"/>
            </w:tcBorders>
            <w:hideMark/>
          </w:tcPr>
          <w:p w14:paraId="0CDAE0AD" w14:textId="77777777" w:rsidR="00C15F2E" w:rsidRPr="00D96063" w:rsidRDefault="00C15F2E" w:rsidP="00053198">
            <w:pPr>
              <w:jc w:val="center"/>
              <w:rPr>
                <w:color w:val="FFFFFF" w:themeColor="background1"/>
                <w:sz w:val="16"/>
              </w:rPr>
            </w:pPr>
            <w:r w:rsidRPr="00D96063">
              <w:rPr>
                <w:color w:val="FFFFFF" w:themeColor="background1"/>
                <w:sz w:val="16"/>
              </w:rPr>
              <w:t>GHF (USD million)</w:t>
            </w:r>
          </w:p>
        </w:tc>
      </w:tr>
      <w:tr w:rsidR="00C15F2E" w:rsidRPr="00D96063" w14:paraId="44EA42C0" w14:textId="77777777" w:rsidTr="00053198">
        <w:trPr>
          <w:trHeight w:val="73"/>
        </w:trPr>
        <w:tc>
          <w:tcPr>
            <w:tcW w:w="377" w:type="pct"/>
            <w:tcBorders>
              <w:top w:val="nil"/>
              <w:left w:val="single" w:sz="4" w:space="0" w:color="auto"/>
              <w:bottom w:val="nil"/>
              <w:right w:val="single" w:sz="4" w:space="0" w:color="auto"/>
            </w:tcBorders>
            <w:hideMark/>
          </w:tcPr>
          <w:p w14:paraId="023B0BEA" w14:textId="77777777" w:rsidR="00C15F2E" w:rsidRPr="00D96063" w:rsidRDefault="00C15F2E" w:rsidP="00053198">
            <w:pPr>
              <w:ind w:right="57"/>
              <w:jc w:val="right"/>
              <w:rPr>
                <w:sz w:val="16"/>
                <w:szCs w:val="16"/>
              </w:rPr>
            </w:pPr>
            <w:r w:rsidRPr="00D96063">
              <w:rPr>
                <w:sz w:val="16"/>
              </w:rPr>
              <w:t>2018</w:t>
            </w:r>
          </w:p>
        </w:tc>
        <w:tc>
          <w:tcPr>
            <w:tcW w:w="957" w:type="pct"/>
            <w:tcBorders>
              <w:top w:val="nil"/>
              <w:left w:val="single" w:sz="4" w:space="0" w:color="auto"/>
              <w:bottom w:val="nil"/>
              <w:right w:val="single" w:sz="4" w:space="0" w:color="auto"/>
            </w:tcBorders>
            <w:hideMark/>
          </w:tcPr>
          <w:p w14:paraId="2E44D192" w14:textId="77777777" w:rsidR="00C15F2E" w:rsidRPr="00D96063" w:rsidRDefault="00C15F2E" w:rsidP="00053198">
            <w:pPr>
              <w:ind w:right="283"/>
              <w:jc w:val="right"/>
              <w:rPr>
                <w:sz w:val="16"/>
                <w:szCs w:val="16"/>
              </w:rPr>
            </w:pPr>
            <w:r w:rsidRPr="00D96063">
              <w:rPr>
                <w:sz w:val="16"/>
              </w:rPr>
              <w:t>62.</w:t>
            </w:r>
            <w:r w:rsidRPr="00D96063">
              <w:rPr>
                <w:bCs/>
                <w:sz w:val="16"/>
                <w:szCs w:val="16"/>
              </w:rPr>
              <w:t>1</w:t>
            </w:r>
          </w:p>
        </w:tc>
        <w:tc>
          <w:tcPr>
            <w:tcW w:w="486" w:type="pct"/>
            <w:tcBorders>
              <w:top w:val="nil"/>
              <w:left w:val="single" w:sz="4" w:space="0" w:color="auto"/>
              <w:bottom w:val="nil"/>
              <w:right w:val="single" w:sz="4" w:space="0" w:color="auto"/>
            </w:tcBorders>
            <w:hideMark/>
          </w:tcPr>
          <w:p w14:paraId="2128A569" w14:textId="77777777" w:rsidR="00C15F2E" w:rsidRPr="00D96063" w:rsidRDefault="00C15F2E" w:rsidP="00AC650D">
            <w:pPr>
              <w:ind w:right="397"/>
              <w:jc w:val="right"/>
              <w:rPr>
                <w:sz w:val="16"/>
                <w:szCs w:val="16"/>
              </w:rPr>
            </w:pPr>
            <w:r w:rsidRPr="00D96063">
              <w:rPr>
                <w:sz w:val="16"/>
              </w:rPr>
              <w:t>4.</w:t>
            </w:r>
            <w:r w:rsidRPr="00D96063">
              <w:rPr>
                <w:bCs/>
                <w:sz w:val="16"/>
                <w:szCs w:val="16"/>
              </w:rPr>
              <w:t>6</w:t>
            </w:r>
          </w:p>
        </w:tc>
        <w:tc>
          <w:tcPr>
            <w:tcW w:w="795" w:type="pct"/>
            <w:tcBorders>
              <w:top w:val="nil"/>
              <w:left w:val="single" w:sz="4" w:space="0" w:color="auto"/>
              <w:bottom w:val="nil"/>
              <w:right w:val="single" w:sz="4" w:space="0" w:color="auto"/>
            </w:tcBorders>
            <w:hideMark/>
          </w:tcPr>
          <w:p w14:paraId="2F5E6FAF" w14:textId="77777777" w:rsidR="00C15F2E" w:rsidRPr="00D96063" w:rsidRDefault="00C15F2E" w:rsidP="00AC650D">
            <w:pPr>
              <w:ind w:right="340"/>
              <w:jc w:val="right"/>
              <w:rPr>
                <w:sz w:val="16"/>
                <w:szCs w:val="16"/>
              </w:rPr>
            </w:pPr>
            <w:r w:rsidRPr="00D96063">
              <w:rPr>
                <w:bCs/>
                <w:sz w:val="16"/>
                <w:szCs w:val="16"/>
              </w:rPr>
              <w:t>671.8</w:t>
            </w:r>
          </w:p>
        </w:tc>
        <w:tc>
          <w:tcPr>
            <w:tcW w:w="795" w:type="pct"/>
            <w:tcBorders>
              <w:top w:val="nil"/>
              <w:left w:val="single" w:sz="4" w:space="0" w:color="auto"/>
              <w:bottom w:val="nil"/>
              <w:right w:val="single" w:sz="4" w:space="0" w:color="auto"/>
            </w:tcBorders>
            <w:hideMark/>
          </w:tcPr>
          <w:p w14:paraId="54EF4B70" w14:textId="77777777" w:rsidR="00C15F2E" w:rsidRPr="00D96063" w:rsidRDefault="00C15F2E" w:rsidP="00053198">
            <w:pPr>
              <w:ind w:right="283"/>
              <w:jc w:val="right"/>
              <w:rPr>
                <w:sz w:val="16"/>
                <w:szCs w:val="16"/>
              </w:rPr>
            </w:pPr>
            <w:r w:rsidRPr="00D96063">
              <w:rPr>
                <w:sz w:val="16"/>
              </w:rPr>
              <w:t>235.</w:t>
            </w:r>
            <w:r w:rsidRPr="00D96063">
              <w:rPr>
                <w:bCs/>
                <w:sz w:val="16"/>
                <w:szCs w:val="16"/>
              </w:rPr>
              <w:t>1</w:t>
            </w:r>
          </w:p>
        </w:tc>
        <w:tc>
          <w:tcPr>
            <w:tcW w:w="795" w:type="pct"/>
            <w:tcBorders>
              <w:top w:val="nil"/>
              <w:left w:val="single" w:sz="4" w:space="0" w:color="auto"/>
              <w:bottom w:val="nil"/>
              <w:right w:val="single" w:sz="4" w:space="0" w:color="auto"/>
            </w:tcBorders>
            <w:hideMark/>
          </w:tcPr>
          <w:p w14:paraId="7B2DF0BC" w14:textId="77777777" w:rsidR="00C15F2E" w:rsidRPr="00D96063" w:rsidRDefault="00C15F2E" w:rsidP="00AC650D">
            <w:pPr>
              <w:ind w:right="340"/>
              <w:jc w:val="right"/>
              <w:rPr>
                <w:sz w:val="16"/>
                <w:szCs w:val="16"/>
              </w:rPr>
            </w:pPr>
            <w:r w:rsidRPr="00D96063">
              <w:rPr>
                <w:sz w:val="16"/>
              </w:rPr>
              <w:t>305.</w:t>
            </w:r>
            <w:r w:rsidRPr="00D96063">
              <w:rPr>
                <w:bCs/>
                <w:sz w:val="16"/>
                <w:szCs w:val="16"/>
              </w:rPr>
              <w:t>7</w:t>
            </w:r>
          </w:p>
        </w:tc>
        <w:tc>
          <w:tcPr>
            <w:tcW w:w="795" w:type="pct"/>
            <w:tcBorders>
              <w:top w:val="nil"/>
              <w:left w:val="single" w:sz="4" w:space="0" w:color="auto"/>
              <w:bottom w:val="nil"/>
              <w:right w:val="single" w:sz="4" w:space="0" w:color="auto"/>
            </w:tcBorders>
            <w:hideMark/>
          </w:tcPr>
          <w:p w14:paraId="2C794F77" w14:textId="77777777" w:rsidR="00C15F2E" w:rsidRPr="00D96063" w:rsidRDefault="00C15F2E" w:rsidP="00AC650D">
            <w:pPr>
              <w:ind w:right="340"/>
              <w:jc w:val="right"/>
              <w:rPr>
                <w:sz w:val="16"/>
                <w:szCs w:val="16"/>
              </w:rPr>
            </w:pPr>
            <w:r w:rsidRPr="00D96063">
              <w:rPr>
                <w:sz w:val="16"/>
              </w:rPr>
              <w:t>131.</w:t>
            </w:r>
            <w:r w:rsidRPr="00D96063">
              <w:rPr>
                <w:bCs/>
                <w:sz w:val="16"/>
                <w:szCs w:val="16"/>
              </w:rPr>
              <w:t>0</w:t>
            </w:r>
          </w:p>
        </w:tc>
      </w:tr>
      <w:tr w:rsidR="00C15F2E" w:rsidRPr="00D96063" w14:paraId="140618FE" w14:textId="77777777" w:rsidTr="00053198">
        <w:trPr>
          <w:cnfStyle w:val="000000010000" w:firstRow="0" w:lastRow="0" w:firstColumn="0" w:lastColumn="0" w:oddVBand="0" w:evenVBand="0" w:oddHBand="0" w:evenHBand="1" w:firstRowFirstColumn="0" w:firstRowLastColumn="0" w:lastRowFirstColumn="0" w:lastRowLastColumn="0"/>
          <w:trHeight w:val="73"/>
        </w:trPr>
        <w:tc>
          <w:tcPr>
            <w:tcW w:w="377" w:type="pct"/>
            <w:tcBorders>
              <w:top w:val="nil"/>
              <w:left w:val="single" w:sz="4" w:space="0" w:color="auto"/>
              <w:bottom w:val="nil"/>
              <w:right w:val="single" w:sz="4" w:space="0" w:color="auto"/>
            </w:tcBorders>
            <w:hideMark/>
          </w:tcPr>
          <w:p w14:paraId="6A0F9444" w14:textId="77777777" w:rsidR="00C15F2E" w:rsidRPr="00D96063" w:rsidRDefault="00C15F2E" w:rsidP="00053198">
            <w:pPr>
              <w:ind w:right="57"/>
              <w:jc w:val="right"/>
              <w:rPr>
                <w:sz w:val="16"/>
                <w:szCs w:val="16"/>
              </w:rPr>
            </w:pPr>
            <w:r w:rsidRPr="00D96063">
              <w:rPr>
                <w:sz w:val="16"/>
              </w:rPr>
              <w:t>2019</w:t>
            </w:r>
          </w:p>
        </w:tc>
        <w:tc>
          <w:tcPr>
            <w:tcW w:w="957" w:type="pct"/>
            <w:tcBorders>
              <w:top w:val="nil"/>
              <w:left w:val="single" w:sz="4" w:space="0" w:color="auto"/>
              <w:bottom w:val="nil"/>
              <w:right w:val="single" w:sz="4" w:space="0" w:color="auto"/>
            </w:tcBorders>
            <w:hideMark/>
          </w:tcPr>
          <w:p w14:paraId="72B7F0B5" w14:textId="77777777" w:rsidR="00C15F2E" w:rsidRPr="00D96063" w:rsidRDefault="00C15F2E" w:rsidP="00053198">
            <w:pPr>
              <w:ind w:right="283"/>
              <w:jc w:val="right"/>
              <w:rPr>
                <w:sz w:val="16"/>
                <w:szCs w:val="16"/>
              </w:rPr>
            </w:pPr>
            <w:r w:rsidRPr="00D96063">
              <w:rPr>
                <w:sz w:val="16"/>
              </w:rPr>
              <w:t>71.</w:t>
            </w:r>
            <w:r w:rsidRPr="00D96063">
              <w:rPr>
                <w:bCs/>
                <w:sz w:val="16"/>
                <w:szCs w:val="16"/>
              </w:rPr>
              <w:t>4</w:t>
            </w:r>
          </w:p>
        </w:tc>
        <w:tc>
          <w:tcPr>
            <w:tcW w:w="486" w:type="pct"/>
            <w:tcBorders>
              <w:top w:val="nil"/>
              <w:left w:val="single" w:sz="4" w:space="0" w:color="auto"/>
              <w:bottom w:val="nil"/>
              <w:right w:val="single" w:sz="4" w:space="0" w:color="auto"/>
            </w:tcBorders>
            <w:hideMark/>
          </w:tcPr>
          <w:p w14:paraId="159A4133" w14:textId="77777777" w:rsidR="00C15F2E" w:rsidRPr="00D96063" w:rsidRDefault="00C15F2E" w:rsidP="00AC650D">
            <w:pPr>
              <w:ind w:right="397"/>
              <w:jc w:val="right"/>
              <w:rPr>
                <w:sz w:val="16"/>
                <w:szCs w:val="16"/>
              </w:rPr>
            </w:pPr>
            <w:r w:rsidRPr="00D96063">
              <w:rPr>
                <w:sz w:val="16"/>
              </w:rPr>
              <w:t>4.</w:t>
            </w:r>
            <w:r w:rsidRPr="00D96063">
              <w:rPr>
                <w:bCs/>
                <w:sz w:val="16"/>
                <w:szCs w:val="16"/>
              </w:rPr>
              <w:t>5</w:t>
            </w:r>
          </w:p>
        </w:tc>
        <w:tc>
          <w:tcPr>
            <w:tcW w:w="795" w:type="pct"/>
            <w:tcBorders>
              <w:top w:val="nil"/>
              <w:left w:val="single" w:sz="4" w:space="0" w:color="auto"/>
              <w:bottom w:val="nil"/>
              <w:right w:val="single" w:sz="4" w:space="0" w:color="auto"/>
            </w:tcBorders>
            <w:hideMark/>
          </w:tcPr>
          <w:p w14:paraId="59C3F54D" w14:textId="77777777" w:rsidR="00C15F2E" w:rsidRPr="00D96063" w:rsidRDefault="00C15F2E" w:rsidP="00AC650D">
            <w:pPr>
              <w:ind w:right="340"/>
              <w:jc w:val="right"/>
              <w:rPr>
                <w:sz w:val="16"/>
                <w:szCs w:val="16"/>
              </w:rPr>
            </w:pPr>
            <w:r w:rsidRPr="00D96063">
              <w:rPr>
                <w:bCs/>
                <w:sz w:val="16"/>
                <w:szCs w:val="16"/>
              </w:rPr>
              <w:t>664.5</w:t>
            </w:r>
          </w:p>
        </w:tc>
        <w:tc>
          <w:tcPr>
            <w:tcW w:w="795" w:type="pct"/>
            <w:tcBorders>
              <w:top w:val="nil"/>
              <w:left w:val="single" w:sz="4" w:space="0" w:color="auto"/>
              <w:bottom w:val="nil"/>
              <w:right w:val="single" w:sz="4" w:space="0" w:color="auto"/>
            </w:tcBorders>
            <w:hideMark/>
          </w:tcPr>
          <w:p w14:paraId="4DA67884" w14:textId="77777777" w:rsidR="00C15F2E" w:rsidRPr="00D96063" w:rsidRDefault="00C15F2E" w:rsidP="00053198">
            <w:pPr>
              <w:ind w:right="283"/>
              <w:jc w:val="right"/>
              <w:rPr>
                <w:sz w:val="16"/>
                <w:szCs w:val="16"/>
              </w:rPr>
            </w:pPr>
            <w:r w:rsidRPr="00D96063">
              <w:rPr>
                <w:sz w:val="16"/>
              </w:rPr>
              <w:t>395.</w:t>
            </w:r>
            <w:r w:rsidRPr="00D96063">
              <w:rPr>
                <w:bCs/>
                <w:sz w:val="16"/>
                <w:szCs w:val="16"/>
              </w:rPr>
              <w:t>5</w:t>
            </w:r>
          </w:p>
        </w:tc>
        <w:tc>
          <w:tcPr>
            <w:tcW w:w="795" w:type="pct"/>
            <w:tcBorders>
              <w:top w:val="nil"/>
              <w:left w:val="single" w:sz="4" w:space="0" w:color="auto"/>
              <w:bottom w:val="nil"/>
              <w:right w:val="single" w:sz="4" w:space="0" w:color="auto"/>
            </w:tcBorders>
            <w:hideMark/>
          </w:tcPr>
          <w:p w14:paraId="066A4F3A" w14:textId="77777777" w:rsidR="00C15F2E" w:rsidRPr="00D96063" w:rsidRDefault="00C15F2E" w:rsidP="00AC650D">
            <w:pPr>
              <w:ind w:right="340"/>
              <w:jc w:val="right"/>
              <w:rPr>
                <w:sz w:val="16"/>
                <w:szCs w:val="16"/>
              </w:rPr>
            </w:pPr>
            <w:r w:rsidRPr="00D96063">
              <w:rPr>
                <w:sz w:val="16"/>
              </w:rPr>
              <w:t>188.3</w:t>
            </w:r>
          </w:p>
        </w:tc>
        <w:tc>
          <w:tcPr>
            <w:tcW w:w="795" w:type="pct"/>
            <w:tcBorders>
              <w:top w:val="nil"/>
              <w:left w:val="single" w:sz="4" w:space="0" w:color="auto"/>
              <w:bottom w:val="nil"/>
              <w:right w:val="single" w:sz="4" w:space="0" w:color="auto"/>
            </w:tcBorders>
            <w:hideMark/>
          </w:tcPr>
          <w:p w14:paraId="376E0D6E" w14:textId="77777777" w:rsidR="00C15F2E" w:rsidRPr="00D96063" w:rsidRDefault="00C15F2E" w:rsidP="00AC650D">
            <w:pPr>
              <w:ind w:right="340"/>
              <w:jc w:val="right"/>
              <w:rPr>
                <w:sz w:val="16"/>
                <w:szCs w:val="16"/>
              </w:rPr>
            </w:pPr>
            <w:r w:rsidRPr="00D96063">
              <w:rPr>
                <w:sz w:val="16"/>
              </w:rPr>
              <w:t>80.</w:t>
            </w:r>
            <w:r w:rsidRPr="00D96063">
              <w:rPr>
                <w:bCs/>
                <w:sz w:val="16"/>
                <w:szCs w:val="16"/>
              </w:rPr>
              <w:t>7</w:t>
            </w:r>
          </w:p>
        </w:tc>
      </w:tr>
      <w:tr w:rsidR="00C15F2E" w:rsidRPr="00D96063" w14:paraId="0BF8FFCE" w14:textId="77777777" w:rsidTr="00053198">
        <w:trPr>
          <w:trHeight w:val="101"/>
        </w:trPr>
        <w:tc>
          <w:tcPr>
            <w:tcW w:w="377" w:type="pct"/>
            <w:tcBorders>
              <w:top w:val="nil"/>
              <w:left w:val="single" w:sz="4" w:space="0" w:color="auto"/>
              <w:bottom w:val="nil"/>
              <w:right w:val="single" w:sz="4" w:space="0" w:color="auto"/>
            </w:tcBorders>
            <w:hideMark/>
          </w:tcPr>
          <w:p w14:paraId="48F98E8E" w14:textId="77777777" w:rsidR="00C15F2E" w:rsidRPr="00D96063" w:rsidRDefault="00C15F2E" w:rsidP="00053198">
            <w:pPr>
              <w:ind w:right="57"/>
              <w:jc w:val="right"/>
              <w:rPr>
                <w:sz w:val="16"/>
                <w:szCs w:val="16"/>
              </w:rPr>
            </w:pPr>
            <w:r w:rsidRPr="00D96063">
              <w:rPr>
                <w:sz w:val="16"/>
              </w:rPr>
              <w:t>2020</w:t>
            </w:r>
          </w:p>
        </w:tc>
        <w:tc>
          <w:tcPr>
            <w:tcW w:w="957" w:type="pct"/>
            <w:tcBorders>
              <w:top w:val="nil"/>
              <w:left w:val="single" w:sz="4" w:space="0" w:color="auto"/>
              <w:bottom w:val="nil"/>
              <w:right w:val="single" w:sz="4" w:space="0" w:color="auto"/>
            </w:tcBorders>
            <w:hideMark/>
          </w:tcPr>
          <w:p w14:paraId="28DEC5F6" w14:textId="77777777" w:rsidR="00C15F2E" w:rsidRPr="00D96063" w:rsidRDefault="00C15F2E" w:rsidP="00053198">
            <w:pPr>
              <w:ind w:right="283"/>
              <w:jc w:val="right"/>
              <w:rPr>
                <w:sz w:val="16"/>
                <w:szCs w:val="16"/>
              </w:rPr>
            </w:pPr>
            <w:r w:rsidRPr="00D96063">
              <w:rPr>
                <w:sz w:val="16"/>
              </w:rPr>
              <w:t>66.9</w:t>
            </w:r>
          </w:p>
        </w:tc>
        <w:tc>
          <w:tcPr>
            <w:tcW w:w="486" w:type="pct"/>
            <w:tcBorders>
              <w:top w:val="nil"/>
              <w:left w:val="single" w:sz="4" w:space="0" w:color="auto"/>
              <w:bottom w:val="nil"/>
              <w:right w:val="single" w:sz="4" w:space="0" w:color="auto"/>
            </w:tcBorders>
            <w:hideMark/>
          </w:tcPr>
          <w:p w14:paraId="055D492F" w14:textId="77777777" w:rsidR="00C15F2E" w:rsidRPr="00D96063" w:rsidRDefault="00C15F2E" w:rsidP="00AC650D">
            <w:pPr>
              <w:ind w:right="397"/>
              <w:jc w:val="right"/>
              <w:rPr>
                <w:sz w:val="16"/>
                <w:szCs w:val="16"/>
              </w:rPr>
            </w:pPr>
            <w:r w:rsidRPr="00D96063">
              <w:rPr>
                <w:bCs/>
                <w:sz w:val="16"/>
                <w:szCs w:val="16"/>
              </w:rPr>
              <w:t>3.0</w:t>
            </w:r>
          </w:p>
        </w:tc>
        <w:tc>
          <w:tcPr>
            <w:tcW w:w="795" w:type="pct"/>
            <w:tcBorders>
              <w:top w:val="nil"/>
              <w:left w:val="single" w:sz="4" w:space="0" w:color="auto"/>
              <w:bottom w:val="nil"/>
              <w:right w:val="single" w:sz="4" w:space="0" w:color="auto"/>
            </w:tcBorders>
            <w:hideMark/>
          </w:tcPr>
          <w:p w14:paraId="66CD493E" w14:textId="77777777" w:rsidR="00C15F2E" w:rsidRPr="00D96063" w:rsidRDefault="00C15F2E" w:rsidP="00AC650D">
            <w:pPr>
              <w:ind w:right="340"/>
              <w:jc w:val="right"/>
              <w:rPr>
                <w:sz w:val="16"/>
                <w:szCs w:val="16"/>
              </w:rPr>
            </w:pPr>
            <w:r w:rsidRPr="00D96063">
              <w:rPr>
                <w:sz w:val="16"/>
              </w:rPr>
              <w:t>440</w:t>
            </w:r>
            <w:r w:rsidRPr="00D96063">
              <w:rPr>
                <w:bCs/>
                <w:sz w:val="16"/>
                <w:szCs w:val="16"/>
              </w:rPr>
              <w:t>.0</w:t>
            </w:r>
          </w:p>
        </w:tc>
        <w:tc>
          <w:tcPr>
            <w:tcW w:w="795" w:type="pct"/>
            <w:tcBorders>
              <w:top w:val="nil"/>
              <w:left w:val="single" w:sz="4" w:space="0" w:color="auto"/>
              <w:bottom w:val="nil"/>
              <w:right w:val="single" w:sz="4" w:space="0" w:color="auto"/>
            </w:tcBorders>
            <w:hideMark/>
          </w:tcPr>
          <w:p w14:paraId="6C7FC010" w14:textId="77777777" w:rsidR="00C15F2E" w:rsidRPr="00D96063" w:rsidRDefault="00C15F2E" w:rsidP="00053198">
            <w:pPr>
              <w:ind w:right="283"/>
              <w:jc w:val="right"/>
              <w:rPr>
                <w:sz w:val="16"/>
                <w:szCs w:val="16"/>
              </w:rPr>
            </w:pPr>
            <w:r w:rsidRPr="00D96063">
              <w:rPr>
                <w:sz w:val="16"/>
              </w:rPr>
              <w:t>273.</w:t>
            </w:r>
            <w:r w:rsidRPr="00D96063">
              <w:rPr>
                <w:bCs/>
                <w:sz w:val="16"/>
                <w:szCs w:val="16"/>
              </w:rPr>
              <w:t>4</w:t>
            </w:r>
          </w:p>
        </w:tc>
        <w:tc>
          <w:tcPr>
            <w:tcW w:w="795" w:type="pct"/>
            <w:tcBorders>
              <w:top w:val="nil"/>
              <w:left w:val="single" w:sz="4" w:space="0" w:color="auto"/>
              <w:bottom w:val="nil"/>
              <w:right w:val="single" w:sz="4" w:space="0" w:color="auto"/>
            </w:tcBorders>
            <w:hideMark/>
          </w:tcPr>
          <w:p w14:paraId="7BF81F45" w14:textId="77777777" w:rsidR="00C15F2E" w:rsidRPr="00D96063" w:rsidRDefault="00C15F2E" w:rsidP="00AC650D">
            <w:pPr>
              <w:ind w:right="340"/>
              <w:jc w:val="right"/>
              <w:rPr>
                <w:sz w:val="16"/>
                <w:szCs w:val="16"/>
              </w:rPr>
            </w:pPr>
            <w:r w:rsidRPr="00D96063">
              <w:rPr>
                <w:sz w:val="16"/>
              </w:rPr>
              <w:t>116.</w:t>
            </w:r>
            <w:r w:rsidRPr="00D96063">
              <w:rPr>
                <w:bCs/>
                <w:sz w:val="16"/>
                <w:szCs w:val="16"/>
              </w:rPr>
              <w:t>6</w:t>
            </w:r>
          </w:p>
        </w:tc>
        <w:tc>
          <w:tcPr>
            <w:tcW w:w="795" w:type="pct"/>
            <w:tcBorders>
              <w:top w:val="nil"/>
              <w:left w:val="single" w:sz="4" w:space="0" w:color="auto"/>
              <w:bottom w:val="nil"/>
              <w:right w:val="single" w:sz="4" w:space="0" w:color="auto"/>
            </w:tcBorders>
            <w:hideMark/>
          </w:tcPr>
          <w:p w14:paraId="78D484D6" w14:textId="77777777" w:rsidR="00C15F2E" w:rsidRPr="00D96063" w:rsidRDefault="00C15F2E" w:rsidP="00AC650D">
            <w:pPr>
              <w:ind w:right="340"/>
              <w:jc w:val="right"/>
              <w:rPr>
                <w:sz w:val="16"/>
                <w:szCs w:val="16"/>
              </w:rPr>
            </w:pPr>
            <w:r w:rsidRPr="00D96063">
              <w:rPr>
                <w:bCs/>
                <w:sz w:val="16"/>
                <w:szCs w:val="16"/>
              </w:rPr>
              <w:t>50.0</w:t>
            </w:r>
          </w:p>
        </w:tc>
      </w:tr>
      <w:tr w:rsidR="00C15F2E" w:rsidRPr="00D96063" w14:paraId="75BC9A7D" w14:textId="77777777" w:rsidTr="00053198">
        <w:trPr>
          <w:cnfStyle w:val="000000010000" w:firstRow="0" w:lastRow="0" w:firstColumn="0" w:lastColumn="0" w:oddVBand="0" w:evenVBand="0" w:oddHBand="0" w:evenHBand="1" w:firstRowFirstColumn="0" w:firstRowLastColumn="0" w:lastRowFirstColumn="0" w:lastRowLastColumn="0"/>
          <w:trHeight w:val="101"/>
        </w:trPr>
        <w:tc>
          <w:tcPr>
            <w:tcW w:w="377" w:type="pct"/>
            <w:tcBorders>
              <w:top w:val="nil"/>
              <w:left w:val="single" w:sz="4" w:space="0" w:color="auto"/>
              <w:bottom w:val="single" w:sz="4" w:space="0" w:color="auto"/>
              <w:right w:val="single" w:sz="4" w:space="0" w:color="auto"/>
            </w:tcBorders>
            <w:hideMark/>
          </w:tcPr>
          <w:p w14:paraId="6A7A3143" w14:textId="77777777" w:rsidR="00C15F2E" w:rsidRPr="00D96063" w:rsidRDefault="00C15F2E" w:rsidP="00053198">
            <w:pPr>
              <w:ind w:right="57"/>
              <w:jc w:val="right"/>
              <w:rPr>
                <w:sz w:val="16"/>
                <w:szCs w:val="16"/>
              </w:rPr>
            </w:pPr>
            <w:r w:rsidRPr="00D96063">
              <w:rPr>
                <w:bCs/>
                <w:sz w:val="16"/>
                <w:szCs w:val="16"/>
              </w:rPr>
              <w:t>2021</w:t>
            </w:r>
          </w:p>
        </w:tc>
        <w:tc>
          <w:tcPr>
            <w:tcW w:w="957" w:type="pct"/>
            <w:tcBorders>
              <w:top w:val="nil"/>
              <w:left w:val="single" w:sz="4" w:space="0" w:color="auto"/>
              <w:bottom w:val="single" w:sz="4" w:space="0" w:color="auto"/>
              <w:right w:val="single" w:sz="4" w:space="0" w:color="auto"/>
            </w:tcBorders>
            <w:hideMark/>
          </w:tcPr>
          <w:p w14:paraId="6CC0D6B7" w14:textId="77777777" w:rsidR="00C15F2E" w:rsidRPr="00D96063" w:rsidRDefault="00C15F2E" w:rsidP="00053198">
            <w:pPr>
              <w:ind w:right="283"/>
              <w:jc w:val="right"/>
              <w:rPr>
                <w:sz w:val="16"/>
                <w:szCs w:val="16"/>
              </w:rPr>
            </w:pPr>
            <w:r w:rsidRPr="00D96063">
              <w:rPr>
                <w:bCs/>
                <w:sz w:val="16"/>
                <w:szCs w:val="16"/>
              </w:rPr>
              <w:t>55.0</w:t>
            </w:r>
          </w:p>
        </w:tc>
        <w:tc>
          <w:tcPr>
            <w:tcW w:w="486" w:type="pct"/>
            <w:tcBorders>
              <w:top w:val="nil"/>
              <w:left w:val="single" w:sz="4" w:space="0" w:color="auto"/>
              <w:bottom w:val="single" w:sz="4" w:space="0" w:color="auto"/>
              <w:right w:val="single" w:sz="4" w:space="0" w:color="auto"/>
            </w:tcBorders>
          </w:tcPr>
          <w:p w14:paraId="3CFA2297" w14:textId="6D031638" w:rsidR="00C15F2E" w:rsidRPr="00D96063" w:rsidRDefault="00A87E03" w:rsidP="00AC650D">
            <w:pPr>
              <w:ind w:right="397"/>
              <w:jc w:val="right"/>
              <w:rPr>
                <w:sz w:val="16"/>
                <w:szCs w:val="16"/>
              </w:rPr>
            </w:pPr>
            <w:r w:rsidRPr="00D96063">
              <w:rPr>
                <w:sz w:val="16"/>
                <w:szCs w:val="16"/>
              </w:rPr>
              <w:t>..</w:t>
            </w:r>
          </w:p>
        </w:tc>
        <w:tc>
          <w:tcPr>
            <w:tcW w:w="795" w:type="pct"/>
            <w:tcBorders>
              <w:top w:val="nil"/>
              <w:left w:val="single" w:sz="4" w:space="0" w:color="auto"/>
              <w:bottom w:val="single" w:sz="4" w:space="0" w:color="auto"/>
              <w:right w:val="single" w:sz="4" w:space="0" w:color="auto"/>
            </w:tcBorders>
            <w:hideMark/>
          </w:tcPr>
          <w:p w14:paraId="630DDB49" w14:textId="77777777" w:rsidR="00C15F2E" w:rsidRPr="00D96063" w:rsidRDefault="00C15F2E" w:rsidP="00AC650D">
            <w:pPr>
              <w:ind w:right="340"/>
              <w:jc w:val="right"/>
              <w:rPr>
                <w:sz w:val="16"/>
                <w:szCs w:val="16"/>
              </w:rPr>
            </w:pPr>
            <w:r w:rsidRPr="00D96063">
              <w:rPr>
                <w:bCs/>
                <w:sz w:val="16"/>
                <w:szCs w:val="16"/>
              </w:rPr>
              <w:t>580.3</w:t>
            </w:r>
          </w:p>
        </w:tc>
        <w:tc>
          <w:tcPr>
            <w:tcW w:w="795" w:type="pct"/>
            <w:tcBorders>
              <w:top w:val="nil"/>
              <w:left w:val="single" w:sz="4" w:space="0" w:color="auto"/>
              <w:bottom w:val="single" w:sz="4" w:space="0" w:color="auto"/>
              <w:right w:val="single" w:sz="4" w:space="0" w:color="auto"/>
            </w:tcBorders>
            <w:hideMark/>
          </w:tcPr>
          <w:p w14:paraId="25A276F5" w14:textId="77777777" w:rsidR="00C15F2E" w:rsidRPr="00D96063" w:rsidRDefault="00C15F2E" w:rsidP="00053198">
            <w:pPr>
              <w:ind w:right="283"/>
              <w:jc w:val="right"/>
              <w:rPr>
                <w:sz w:val="16"/>
                <w:szCs w:val="16"/>
              </w:rPr>
            </w:pPr>
            <w:r w:rsidRPr="00D96063">
              <w:rPr>
                <w:bCs/>
                <w:sz w:val="16"/>
                <w:szCs w:val="16"/>
              </w:rPr>
              <w:t>352.8</w:t>
            </w:r>
          </w:p>
        </w:tc>
        <w:tc>
          <w:tcPr>
            <w:tcW w:w="795" w:type="pct"/>
            <w:tcBorders>
              <w:top w:val="nil"/>
              <w:left w:val="single" w:sz="4" w:space="0" w:color="auto"/>
              <w:bottom w:val="single" w:sz="4" w:space="0" w:color="auto"/>
              <w:right w:val="single" w:sz="4" w:space="0" w:color="auto"/>
            </w:tcBorders>
            <w:hideMark/>
          </w:tcPr>
          <w:p w14:paraId="64BA5D02" w14:textId="77777777" w:rsidR="00C15F2E" w:rsidRPr="00D96063" w:rsidRDefault="00C15F2E" w:rsidP="00AC650D">
            <w:pPr>
              <w:ind w:right="340"/>
              <w:jc w:val="right"/>
              <w:rPr>
                <w:sz w:val="16"/>
                <w:szCs w:val="16"/>
              </w:rPr>
            </w:pPr>
            <w:r w:rsidRPr="00D96063">
              <w:rPr>
                <w:bCs/>
                <w:sz w:val="16"/>
                <w:szCs w:val="16"/>
              </w:rPr>
              <w:t>159.2</w:t>
            </w:r>
          </w:p>
        </w:tc>
        <w:tc>
          <w:tcPr>
            <w:tcW w:w="795" w:type="pct"/>
            <w:tcBorders>
              <w:top w:val="nil"/>
              <w:left w:val="single" w:sz="4" w:space="0" w:color="auto"/>
              <w:bottom w:val="single" w:sz="4" w:space="0" w:color="auto"/>
              <w:right w:val="single" w:sz="4" w:space="0" w:color="auto"/>
            </w:tcBorders>
            <w:hideMark/>
          </w:tcPr>
          <w:p w14:paraId="5C8F04EB" w14:textId="77777777" w:rsidR="00C15F2E" w:rsidRPr="00D96063" w:rsidRDefault="00C15F2E" w:rsidP="00AC650D">
            <w:pPr>
              <w:ind w:right="340"/>
              <w:jc w:val="right"/>
              <w:rPr>
                <w:sz w:val="16"/>
                <w:szCs w:val="16"/>
              </w:rPr>
            </w:pPr>
            <w:r w:rsidRPr="00D96063">
              <w:rPr>
                <w:bCs/>
                <w:sz w:val="16"/>
                <w:szCs w:val="16"/>
              </w:rPr>
              <w:t>68.2</w:t>
            </w:r>
          </w:p>
        </w:tc>
      </w:tr>
    </w:tbl>
    <w:p w14:paraId="5F7F958F" w14:textId="2DA3E640" w:rsidR="00C15F2E" w:rsidRPr="00D96063" w:rsidRDefault="00A87E03" w:rsidP="00D868BF">
      <w:pPr>
        <w:pStyle w:val="NoteText"/>
        <w:spacing w:before="120" w:after="240"/>
      </w:pPr>
      <w:r w:rsidRPr="00D96063">
        <w:t>..</w:t>
      </w:r>
      <w:r w:rsidR="00C15F2E" w:rsidRPr="00D96063">
        <w:tab/>
        <w:t>Not a</w:t>
      </w:r>
      <w:r w:rsidRPr="00D96063">
        <w:t>vailable</w:t>
      </w:r>
      <w:r w:rsidR="00C15F2E" w:rsidRPr="00D96063">
        <w:t>.</w:t>
      </w:r>
    </w:p>
    <w:p w14:paraId="3C997B5F" w14:textId="77777777" w:rsidR="00C15F2E" w:rsidRPr="00D96063" w:rsidRDefault="00C15F2E" w:rsidP="00D868BF">
      <w:pPr>
        <w:pStyle w:val="NoteText"/>
        <w:spacing w:before="120" w:after="240"/>
      </w:pPr>
      <w:r w:rsidRPr="00D96063">
        <w:t>Source:</w:t>
      </w:r>
      <w:r w:rsidRPr="00D96063">
        <w:tab/>
        <w:t>Data provided by the authorities.</w:t>
      </w:r>
    </w:p>
    <w:p w14:paraId="671EBEFB" w14:textId="77777777" w:rsidR="00C15F2E" w:rsidRPr="00D96063" w:rsidRDefault="00C15F2E" w:rsidP="00D868BF">
      <w:pPr>
        <w:pStyle w:val="BodyText"/>
      </w:pPr>
      <w:bookmarkStart w:id="211" w:name="_Hlk98831818"/>
      <w:r w:rsidRPr="00D96063">
        <w:t>The National Petroleum Authority (NPA) regulates and licenses the downstream petroleum activities including refining, storage, bulk distribution, marketing, and sale of petroleum products.</w:t>
      </w:r>
    </w:p>
    <w:p w14:paraId="21918A5D" w14:textId="77777777" w:rsidR="00C15F2E" w:rsidRPr="00D96063" w:rsidRDefault="00C15F2E" w:rsidP="00D868BF">
      <w:pPr>
        <w:pStyle w:val="BodyText"/>
      </w:pPr>
      <w:r w:rsidRPr="00D96063">
        <w:t>At present, most of the oil is exported as crude. The Government seeks further integration of the sector into the Ghanaian economy through downstream processing. A new Ghanaian content and Ghanaian participation policy in the downstream petroleum subsector is pending. At present, Ghanaian content provisions are already contained in the various licence requirements applicable to the downstream petroleum subsectors; the new policy will broaden the scope and give guidance to the implementation of the provisions.</w:t>
      </w:r>
    </w:p>
    <w:p w14:paraId="6775C9D4" w14:textId="77777777" w:rsidR="00C15F2E" w:rsidRPr="00D96063" w:rsidRDefault="00C15F2E" w:rsidP="00D868BF">
      <w:pPr>
        <w:pStyle w:val="BodyText"/>
      </w:pPr>
      <w:r w:rsidRPr="00D96063">
        <w:t>The NPA liberalized petroleum product prices in 2015 and ceased to fix and publish prices for petroleum products, with certain exceptions.</w:t>
      </w:r>
      <w:r w:rsidRPr="00D96063">
        <w:rPr>
          <w:rStyle w:val="FootnoteReference"/>
        </w:rPr>
        <w:footnoteReference w:id="162"/>
      </w:r>
      <w:r w:rsidRPr="00D96063">
        <w:t xml:space="preserve"> Despite the deregulation policy, the NPA maintains a </w:t>
      </w:r>
      <w:r w:rsidRPr="00D96063">
        <w:lastRenderedPageBreak/>
        <w:t>Uniform Petroleum Price Fund to eliminate the variances in petroleum prices due to disparities in the transportation costs from different locations, through a refund system to oil marketing companies.</w:t>
      </w:r>
      <w:r w:rsidRPr="00D96063">
        <w:rPr>
          <w:vertAlign w:val="superscript"/>
        </w:rPr>
        <w:footnoteReference w:id="163"/>
      </w:r>
    </w:p>
    <w:p w14:paraId="2CCCC520" w14:textId="5F81D3B7" w:rsidR="00C15F2E" w:rsidRPr="00D96063" w:rsidRDefault="00C15F2E" w:rsidP="00D868BF">
      <w:pPr>
        <w:pStyle w:val="BodyText"/>
      </w:pPr>
      <w:r w:rsidRPr="00D96063">
        <w:t xml:space="preserve">Ghana provides subsidies on, </w:t>
      </w:r>
      <w:r w:rsidRPr="00D96063">
        <w:rPr>
          <w:i/>
        </w:rPr>
        <w:t>inter alia,</w:t>
      </w:r>
      <w:r w:rsidRPr="00D96063">
        <w:t xml:space="preserve"> premix fuel (fisheries sector) and residual fuel oil.</w:t>
      </w:r>
      <w:r w:rsidRPr="00D96063">
        <w:rPr>
          <w:rStyle w:val="FootnoteReference"/>
        </w:rPr>
        <w:footnoteReference w:id="164"/>
      </w:r>
      <w:r w:rsidRPr="00D96063">
        <w:t xml:space="preserve"> The supply of premix fuel to the various landing beaches is administered by the National Premix Secretariat, while the subsidies for premix fuel and residual oil fuel are administered by the NPA. The Government generates revenue to finance the subsidies via the Price Stabilization and Recovery Levy, which is imposed on petrol, diesel, and liqu</w:t>
      </w:r>
      <w:r w:rsidR="00242C10">
        <w:t>i</w:t>
      </w:r>
      <w:r w:rsidRPr="00D96063">
        <w:t>fied petroleum gas (LPG). In 2020, Ghana budgeted approximately GHS 229 million (approximately USD 41 million) as subsidies on petroleum products (up from GHS 180 million in 2019).</w:t>
      </w:r>
      <w:r w:rsidRPr="00D96063">
        <w:rPr>
          <w:rStyle w:val="FootnoteReference"/>
        </w:rPr>
        <w:footnoteReference w:id="165"/>
      </w:r>
    </w:p>
    <w:p w14:paraId="46B320CF" w14:textId="77777777" w:rsidR="00C15F2E" w:rsidRPr="00D96063" w:rsidRDefault="00C15F2E" w:rsidP="00D868BF">
      <w:pPr>
        <w:pStyle w:val="BodyText"/>
      </w:pPr>
      <w:r w:rsidRPr="00D96063">
        <w:t>The state-owned Tema Oil Refinery Ltd is the major refinery in the country with an operating capacity of 45,000 barrels per day, representing 55% of total national demand. It procures, refines, and sells crude oil to Bulk Distribution Companies (BDCs) for onward distribution to oil marketing companies. The Ghana Chamber of Bulk Oil Distributors represents the interests of the BDCs.</w:t>
      </w:r>
      <w:r w:rsidRPr="00D96063">
        <w:rPr>
          <w:vertAlign w:val="superscript"/>
        </w:rPr>
        <w:footnoteReference w:id="166"/>
      </w:r>
    </w:p>
    <w:p w14:paraId="60FE8A47" w14:textId="77777777" w:rsidR="00C15F2E" w:rsidRPr="00D96063" w:rsidRDefault="00C15F2E" w:rsidP="003758E5">
      <w:pPr>
        <w:numPr>
          <w:ilvl w:val="6"/>
          <w:numId w:val="18"/>
        </w:numPr>
        <w:spacing w:after="240"/>
      </w:pPr>
      <w:r w:rsidRPr="00D96063">
        <w:t>Some of the BDCs have their own storage facilities. Those without storage facilities either use the facilities of other BDCs or use those of the state-owned Bulk Oil Storage and Transportation Company (BOST). Besides the state-owned Tema Oil Refinery Ltd, there are two other refineries with capacities of 1,700 barrels per day and 4,000 barrels per day, respectively. Crude oil for refineries is predominantly sourced from Nigeria, Angola, Cameroon, Gabon, and Equatorial Guinea.</w:t>
      </w:r>
    </w:p>
    <w:p w14:paraId="200BA0E8" w14:textId="77777777" w:rsidR="00C15F2E" w:rsidRPr="00D96063" w:rsidRDefault="00C15F2E" w:rsidP="00D868BF">
      <w:pPr>
        <w:pStyle w:val="BodyText"/>
      </w:pPr>
      <w:r w:rsidRPr="00D96063">
        <w:t>The Government holds strategic fuel reserves at the BOST to meet a minimum of six weeks of domestic consumption. In 2019, the total domestic storage capacity for crude oil and refined petroleum products stood at close to 1 million tonnes for liquid products, 18,000 tonnes for LPG, and 350,000 tonnes for crude oil.</w:t>
      </w:r>
    </w:p>
    <w:p w14:paraId="7928B952" w14:textId="77777777" w:rsidR="00C15F2E" w:rsidRPr="00D96063" w:rsidRDefault="00C15F2E" w:rsidP="003758E5">
      <w:pPr>
        <w:pStyle w:val="Heading3"/>
        <w:numPr>
          <w:ilvl w:val="2"/>
          <w:numId w:val="32"/>
        </w:numPr>
      </w:pPr>
      <w:bookmarkStart w:id="212" w:name="_Toc103607718"/>
      <w:bookmarkEnd w:id="211"/>
      <w:r w:rsidRPr="00D96063">
        <w:t>Natural gas</w:t>
      </w:r>
      <w:bookmarkEnd w:id="212"/>
    </w:p>
    <w:p w14:paraId="2A5A8536" w14:textId="77777777" w:rsidR="00C15F2E" w:rsidRPr="00D96063" w:rsidRDefault="00C15F2E" w:rsidP="00D868BF">
      <w:pPr>
        <w:pStyle w:val="BodyText"/>
      </w:pPr>
      <w:r w:rsidRPr="00D96063">
        <w:t xml:space="preserve">Domestic production of natural gas for commercial utilization started in 2015 in the Jubilee field and has grown significantly (Table 4.9). As of 2022, domestic gas is </w:t>
      </w:r>
      <w:r w:rsidRPr="00D96063">
        <w:rPr>
          <w:shd w:val="clear" w:color="auto" w:fill="FFFFFF"/>
        </w:rPr>
        <w:t>sourced from three oil- and gas-producing fields (Jubilee, TEN, and Offshore Cape Three Points). The state-owned Ghana National Gas Company (GNGC) owns and operates the infrastructure for the production and transmission (where the GNGC has a statutory monopoly), whereas Local Distribution Companies (LDCs) licensed by the Energy Commission (EC) participate in the infrastructure for gas distribution.</w:t>
      </w:r>
    </w:p>
    <w:p w14:paraId="6DB53D5C" w14:textId="086BCCED" w:rsidR="00C15F2E" w:rsidRPr="00D96063" w:rsidRDefault="00C15F2E" w:rsidP="00D868BF">
      <w:pPr>
        <w:pStyle w:val="Caption"/>
        <w:rPr>
          <w:b w:val="0"/>
          <w:bCs w:val="0"/>
        </w:rPr>
      </w:pPr>
      <w:bookmarkStart w:id="213" w:name="_Toc103607905"/>
      <w:bookmarkStart w:id="214" w:name="_Hlk83894203"/>
      <w:r w:rsidRPr="00D96063">
        <w:t xml:space="preserve">Table </w:t>
      </w:r>
      <w:fldSimple w:instr=" STYLEREF 1 \s ">
        <w:r w:rsidR="004B63B1">
          <w:rPr>
            <w:noProof/>
          </w:rPr>
          <w:t>4</w:t>
        </w:r>
      </w:fldSimple>
      <w:r w:rsidR="00BF3184">
        <w:t>.</w:t>
      </w:r>
      <w:fldSimple w:instr=" SEQ Table \* ARABIC \s 1 ">
        <w:r w:rsidR="004B63B1">
          <w:rPr>
            <w:noProof/>
          </w:rPr>
          <w:t>9</w:t>
        </w:r>
      </w:fldSimple>
      <w:r w:rsidRPr="00D96063">
        <w:t xml:space="preserve"> Natural gas production and imports, 2014-20</w:t>
      </w:r>
      <w:bookmarkEnd w:id="213"/>
    </w:p>
    <w:p w14:paraId="5CFFDCF8" w14:textId="77777777" w:rsidR="00C15F2E" w:rsidRPr="00D96063" w:rsidRDefault="00C15F2E" w:rsidP="00D868BF">
      <w:pPr>
        <w:rPr>
          <w:sz w:val="16"/>
          <w:szCs w:val="16"/>
        </w:rPr>
      </w:pPr>
      <w:r w:rsidRPr="00D96063">
        <w:rPr>
          <w:sz w:val="16"/>
          <w:szCs w:val="16"/>
        </w:rPr>
        <w:t>(Trillion BTUs)</w:t>
      </w:r>
    </w:p>
    <w:tbl>
      <w:tblPr>
        <w:tblStyle w:val="WTOTable1"/>
        <w:tblW w:w="5000" w:type="pct"/>
        <w:jc w:val="right"/>
        <w:tblLook w:val="04A0" w:firstRow="1" w:lastRow="0" w:firstColumn="1" w:lastColumn="0" w:noHBand="0" w:noVBand="1"/>
      </w:tblPr>
      <w:tblGrid>
        <w:gridCol w:w="3057"/>
        <w:gridCol w:w="2980"/>
        <w:gridCol w:w="2979"/>
      </w:tblGrid>
      <w:tr w:rsidR="00C15F2E" w:rsidRPr="00D96063" w14:paraId="36ED422A" w14:textId="77777777" w:rsidTr="00053198">
        <w:trPr>
          <w:cnfStyle w:val="100000000000" w:firstRow="1" w:lastRow="0" w:firstColumn="0" w:lastColumn="0" w:oddVBand="0" w:evenVBand="0" w:oddHBand="0" w:evenHBand="0" w:firstRowFirstColumn="0" w:firstRowLastColumn="0" w:lastRowFirstColumn="0" w:lastRowLastColumn="0"/>
          <w:jc w:val="right"/>
        </w:trPr>
        <w:tc>
          <w:tcPr>
            <w:tcW w:w="1695" w:type="pct"/>
            <w:tcBorders>
              <w:top w:val="single" w:sz="4" w:space="0" w:color="auto"/>
              <w:left w:val="single" w:sz="4" w:space="0" w:color="auto"/>
              <w:bottom w:val="nil"/>
              <w:right w:val="single" w:sz="4" w:space="0" w:color="auto"/>
            </w:tcBorders>
            <w:hideMark/>
          </w:tcPr>
          <w:p w14:paraId="5ECCFB52" w14:textId="77777777" w:rsidR="00C15F2E" w:rsidRPr="00D96063" w:rsidRDefault="00C15F2E" w:rsidP="00053198">
            <w:pPr>
              <w:jc w:val="center"/>
              <w:rPr>
                <w:color w:val="FFFFFF" w:themeColor="background1"/>
                <w:sz w:val="16"/>
              </w:rPr>
            </w:pPr>
            <w:r w:rsidRPr="00D96063">
              <w:rPr>
                <w:color w:val="FFFFFF" w:themeColor="background1"/>
                <w:sz w:val="16"/>
              </w:rPr>
              <w:t>Year</w:t>
            </w:r>
          </w:p>
        </w:tc>
        <w:tc>
          <w:tcPr>
            <w:tcW w:w="1652" w:type="pct"/>
            <w:tcBorders>
              <w:top w:val="single" w:sz="4" w:space="0" w:color="auto"/>
              <w:left w:val="single" w:sz="4" w:space="0" w:color="auto"/>
              <w:bottom w:val="nil"/>
              <w:right w:val="single" w:sz="4" w:space="0" w:color="auto"/>
            </w:tcBorders>
            <w:hideMark/>
          </w:tcPr>
          <w:p w14:paraId="78D261D6" w14:textId="77777777" w:rsidR="00C15F2E" w:rsidRPr="00D96063" w:rsidRDefault="00C15F2E" w:rsidP="00053198">
            <w:pPr>
              <w:jc w:val="center"/>
              <w:rPr>
                <w:color w:val="FFFFFF" w:themeColor="background1"/>
                <w:sz w:val="16"/>
              </w:rPr>
            </w:pPr>
            <w:r w:rsidRPr="00D96063">
              <w:rPr>
                <w:color w:val="FFFFFF" w:themeColor="background1"/>
                <w:sz w:val="16"/>
              </w:rPr>
              <w:t>Production</w:t>
            </w:r>
          </w:p>
        </w:tc>
        <w:tc>
          <w:tcPr>
            <w:tcW w:w="1652" w:type="pct"/>
            <w:tcBorders>
              <w:top w:val="single" w:sz="4" w:space="0" w:color="auto"/>
              <w:left w:val="single" w:sz="4" w:space="0" w:color="auto"/>
              <w:bottom w:val="nil"/>
              <w:right w:val="single" w:sz="4" w:space="0" w:color="auto"/>
            </w:tcBorders>
            <w:hideMark/>
          </w:tcPr>
          <w:p w14:paraId="3A0041E8" w14:textId="77777777" w:rsidR="00C15F2E" w:rsidRPr="00D96063" w:rsidRDefault="00C15F2E" w:rsidP="00053198">
            <w:pPr>
              <w:jc w:val="center"/>
              <w:rPr>
                <w:color w:val="FFFFFF" w:themeColor="background1"/>
                <w:sz w:val="16"/>
              </w:rPr>
            </w:pPr>
            <w:r w:rsidRPr="00D96063">
              <w:rPr>
                <w:color w:val="FFFFFF" w:themeColor="background1"/>
                <w:sz w:val="16"/>
              </w:rPr>
              <w:t>Imports</w:t>
            </w:r>
          </w:p>
        </w:tc>
      </w:tr>
      <w:tr w:rsidR="00C15F2E" w:rsidRPr="00D96063" w14:paraId="353A20B1" w14:textId="77777777" w:rsidTr="00053198">
        <w:trPr>
          <w:jc w:val="right"/>
        </w:trPr>
        <w:tc>
          <w:tcPr>
            <w:tcW w:w="1695" w:type="pct"/>
            <w:tcBorders>
              <w:top w:val="nil"/>
              <w:left w:val="single" w:sz="4" w:space="0" w:color="auto"/>
              <w:bottom w:val="nil"/>
              <w:right w:val="single" w:sz="4" w:space="0" w:color="auto"/>
            </w:tcBorders>
            <w:hideMark/>
          </w:tcPr>
          <w:p w14:paraId="471019C7" w14:textId="77777777" w:rsidR="00C15F2E" w:rsidRPr="00D96063" w:rsidRDefault="00C15F2E" w:rsidP="00A8139E">
            <w:pPr>
              <w:ind w:right="1191"/>
              <w:jc w:val="right"/>
              <w:rPr>
                <w:sz w:val="16"/>
                <w:szCs w:val="16"/>
              </w:rPr>
            </w:pPr>
            <w:r w:rsidRPr="00D96063">
              <w:rPr>
                <w:sz w:val="16"/>
                <w:szCs w:val="16"/>
              </w:rPr>
              <w:t>2014</w:t>
            </w:r>
          </w:p>
        </w:tc>
        <w:tc>
          <w:tcPr>
            <w:tcW w:w="1652" w:type="pct"/>
            <w:tcBorders>
              <w:top w:val="nil"/>
              <w:left w:val="single" w:sz="4" w:space="0" w:color="auto"/>
              <w:bottom w:val="nil"/>
              <w:right w:val="single" w:sz="4" w:space="0" w:color="auto"/>
            </w:tcBorders>
            <w:hideMark/>
          </w:tcPr>
          <w:p w14:paraId="4FB9BCEF" w14:textId="77777777" w:rsidR="00C15F2E" w:rsidRPr="00D96063" w:rsidRDefault="00C15F2E" w:rsidP="00053198">
            <w:pPr>
              <w:ind w:right="1077"/>
              <w:jc w:val="right"/>
              <w:rPr>
                <w:sz w:val="16"/>
                <w:szCs w:val="16"/>
              </w:rPr>
            </w:pPr>
            <w:r w:rsidRPr="00D96063">
              <w:rPr>
                <w:sz w:val="16"/>
                <w:szCs w:val="16"/>
              </w:rPr>
              <w:t>0</w:t>
            </w:r>
          </w:p>
        </w:tc>
        <w:tc>
          <w:tcPr>
            <w:tcW w:w="1652" w:type="pct"/>
            <w:tcBorders>
              <w:top w:val="nil"/>
              <w:left w:val="single" w:sz="4" w:space="0" w:color="auto"/>
              <w:bottom w:val="nil"/>
              <w:right w:val="single" w:sz="4" w:space="0" w:color="auto"/>
            </w:tcBorders>
            <w:hideMark/>
          </w:tcPr>
          <w:p w14:paraId="23920E45" w14:textId="77777777" w:rsidR="00C15F2E" w:rsidRPr="00D96063" w:rsidRDefault="00C15F2E" w:rsidP="00053198">
            <w:pPr>
              <w:ind w:right="1077"/>
              <w:jc w:val="right"/>
              <w:rPr>
                <w:sz w:val="16"/>
                <w:szCs w:val="16"/>
              </w:rPr>
            </w:pPr>
            <w:r w:rsidRPr="00D96063">
              <w:rPr>
                <w:sz w:val="16"/>
                <w:szCs w:val="16"/>
              </w:rPr>
              <w:t>22.5</w:t>
            </w:r>
          </w:p>
        </w:tc>
      </w:tr>
      <w:tr w:rsidR="00C15F2E" w:rsidRPr="00D96063" w14:paraId="64027BEA" w14:textId="77777777" w:rsidTr="00053198">
        <w:trPr>
          <w:cnfStyle w:val="000000010000" w:firstRow="0" w:lastRow="0" w:firstColumn="0" w:lastColumn="0" w:oddVBand="0" w:evenVBand="0" w:oddHBand="0" w:evenHBand="1" w:firstRowFirstColumn="0" w:firstRowLastColumn="0" w:lastRowFirstColumn="0" w:lastRowLastColumn="0"/>
          <w:jc w:val="right"/>
        </w:trPr>
        <w:tc>
          <w:tcPr>
            <w:tcW w:w="1695" w:type="pct"/>
            <w:tcBorders>
              <w:top w:val="nil"/>
              <w:left w:val="single" w:sz="4" w:space="0" w:color="auto"/>
              <w:bottom w:val="nil"/>
              <w:right w:val="single" w:sz="4" w:space="0" w:color="auto"/>
            </w:tcBorders>
            <w:hideMark/>
          </w:tcPr>
          <w:p w14:paraId="120505EA" w14:textId="77777777" w:rsidR="00C15F2E" w:rsidRPr="00D96063" w:rsidRDefault="00C15F2E" w:rsidP="00A8139E">
            <w:pPr>
              <w:ind w:right="1191"/>
              <w:jc w:val="right"/>
              <w:rPr>
                <w:sz w:val="16"/>
                <w:szCs w:val="16"/>
              </w:rPr>
            </w:pPr>
            <w:r w:rsidRPr="00D96063">
              <w:rPr>
                <w:sz w:val="16"/>
                <w:szCs w:val="16"/>
              </w:rPr>
              <w:t>2015</w:t>
            </w:r>
          </w:p>
        </w:tc>
        <w:tc>
          <w:tcPr>
            <w:tcW w:w="1652" w:type="pct"/>
            <w:tcBorders>
              <w:top w:val="nil"/>
              <w:left w:val="single" w:sz="4" w:space="0" w:color="auto"/>
              <w:bottom w:val="nil"/>
              <w:right w:val="single" w:sz="4" w:space="0" w:color="auto"/>
            </w:tcBorders>
            <w:hideMark/>
          </w:tcPr>
          <w:p w14:paraId="65C08CCA" w14:textId="77777777" w:rsidR="00C15F2E" w:rsidRPr="00D96063" w:rsidRDefault="00C15F2E" w:rsidP="00053198">
            <w:pPr>
              <w:ind w:right="1077"/>
              <w:jc w:val="right"/>
              <w:rPr>
                <w:sz w:val="16"/>
                <w:szCs w:val="16"/>
              </w:rPr>
            </w:pPr>
            <w:r w:rsidRPr="00D96063">
              <w:rPr>
                <w:sz w:val="16"/>
                <w:szCs w:val="16"/>
              </w:rPr>
              <w:t>26.4</w:t>
            </w:r>
          </w:p>
        </w:tc>
        <w:tc>
          <w:tcPr>
            <w:tcW w:w="1652" w:type="pct"/>
            <w:tcBorders>
              <w:top w:val="nil"/>
              <w:left w:val="single" w:sz="4" w:space="0" w:color="auto"/>
              <w:bottom w:val="nil"/>
              <w:right w:val="single" w:sz="4" w:space="0" w:color="auto"/>
            </w:tcBorders>
            <w:hideMark/>
          </w:tcPr>
          <w:p w14:paraId="26E616B9" w14:textId="77777777" w:rsidR="00C15F2E" w:rsidRPr="00D96063" w:rsidRDefault="00C15F2E" w:rsidP="00053198">
            <w:pPr>
              <w:ind w:right="1077"/>
              <w:jc w:val="right"/>
              <w:rPr>
                <w:sz w:val="16"/>
                <w:szCs w:val="16"/>
              </w:rPr>
            </w:pPr>
            <w:r w:rsidRPr="00D96063">
              <w:rPr>
                <w:sz w:val="16"/>
                <w:szCs w:val="16"/>
              </w:rPr>
              <w:t>20.6</w:t>
            </w:r>
          </w:p>
        </w:tc>
      </w:tr>
      <w:tr w:rsidR="00C15F2E" w:rsidRPr="00D96063" w14:paraId="491B4F70" w14:textId="77777777" w:rsidTr="00053198">
        <w:trPr>
          <w:jc w:val="right"/>
        </w:trPr>
        <w:tc>
          <w:tcPr>
            <w:tcW w:w="1695" w:type="pct"/>
            <w:tcBorders>
              <w:top w:val="nil"/>
              <w:left w:val="single" w:sz="4" w:space="0" w:color="auto"/>
              <w:bottom w:val="nil"/>
              <w:right w:val="single" w:sz="4" w:space="0" w:color="auto"/>
            </w:tcBorders>
            <w:hideMark/>
          </w:tcPr>
          <w:p w14:paraId="4E58AF80" w14:textId="77777777" w:rsidR="00C15F2E" w:rsidRPr="00D96063" w:rsidRDefault="00C15F2E" w:rsidP="00A8139E">
            <w:pPr>
              <w:ind w:right="1191"/>
              <w:jc w:val="right"/>
              <w:rPr>
                <w:sz w:val="16"/>
                <w:szCs w:val="16"/>
              </w:rPr>
            </w:pPr>
            <w:r w:rsidRPr="00D96063">
              <w:rPr>
                <w:sz w:val="16"/>
                <w:szCs w:val="16"/>
              </w:rPr>
              <w:t>2016</w:t>
            </w:r>
          </w:p>
        </w:tc>
        <w:tc>
          <w:tcPr>
            <w:tcW w:w="1652" w:type="pct"/>
            <w:tcBorders>
              <w:top w:val="nil"/>
              <w:left w:val="single" w:sz="4" w:space="0" w:color="auto"/>
              <w:bottom w:val="nil"/>
              <w:right w:val="single" w:sz="4" w:space="0" w:color="auto"/>
            </w:tcBorders>
            <w:hideMark/>
          </w:tcPr>
          <w:p w14:paraId="3B51A621" w14:textId="77777777" w:rsidR="00C15F2E" w:rsidRPr="00D96063" w:rsidRDefault="00C15F2E" w:rsidP="00053198">
            <w:pPr>
              <w:ind w:right="1077"/>
              <w:jc w:val="right"/>
              <w:rPr>
                <w:sz w:val="16"/>
                <w:szCs w:val="16"/>
              </w:rPr>
            </w:pPr>
            <w:r w:rsidRPr="00D96063">
              <w:rPr>
                <w:sz w:val="16"/>
                <w:szCs w:val="16"/>
              </w:rPr>
              <w:t>23.5</w:t>
            </w:r>
          </w:p>
        </w:tc>
        <w:tc>
          <w:tcPr>
            <w:tcW w:w="1652" w:type="pct"/>
            <w:tcBorders>
              <w:top w:val="nil"/>
              <w:left w:val="single" w:sz="4" w:space="0" w:color="auto"/>
              <w:bottom w:val="nil"/>
              <w:right w:val="single" w:sz="4" w:space="0" w:color="auto"/>
            </w:tcBorders>
            <w:hideMark/>
          </w:tcPr>
          <w:p w14:paraId="465F17A8" w14:textId="77777777" w:rsidR="00C15F2E" w:rsidRPr="00D96063" w:rsidRDefault="00C15F2E" w:rsidP="00053198">
            <w:pPr>
              <w:ind w:right="1077"/>
              <w:jc w:val="right"/>
              <w:rPr>
                <w:sz w:val="16"/>
                <w:szCs w:val="16"/>
              </w:rPr>
            </w:pPr>
            <w:r w:rsidRPr="00D96063">
              <w:rPr>
                <w:sz w:val="16"/>
                <w:szCs w:val="16"/>
              </w:rPr>
              <w:t>4.0</w:t>
            </w:r>
          </w:p>
        </w:tc>
      </w:tr>
      <w:tr w:rsidR="00C15F2E" w:rsidRPr="00D96063" w14:paraId="08E0F9FD" w14:textId="77777777" w:rsidTr="00053198">
        <w:trPr>
          <w:cnfStyle w:val="000000010000" w:firstRow="0" w:lastRow="0" w:firstColumn="0" w:lastColumn="0" w:oddVBand="0" w:evenVBand="0" w:oddHBand="0" w:evenHBand="1" w:firstRowFirstColumn="0" w:firstRowLastColumn="0" w:lastRowFirstColumn="0" w:lastRowLastColumn="0"/>
          <w:jc w:val="right"/>
        </w:trPr>
        <w:tc>
          <w:tcPr>
            <w:tcW w:w="1695" w:type="pct"/>
            <w:tcBorders>
              <w:top w:val="nil"/>
              <w:left w:val="single" w:sz="4" w:space="0" w:color="auto"/>
              <w:bottom w:val="nil"/>
              <w:right w:val="single" w:sz="4" w:space="0" w:color="auto"/>
            </w:tcBorders>
            <w:hideMark/>
          </w:tcPr>
          <w:p w14:paraId="37C35980" w14:textId="77777777" w:rsidR="00C15F2E" w:rsidRPr="00D96063" w:rsidRDefault="00C15F2E" w:rsidP="00A8139E">
            <w:pPr>
              <w:ind w:right="1191"/>
              <w:jc w:val="right"/>
              <w:rPr>
                <w:sz w:val="16"/>
                <w:szCs w:val="16"/>
              </w:rPr>
            </w:pPr>
            <w:r w:rsidRPr="00D96063">
              <w:rPr>
                <w:sz w:val="16"/>
                <w:szCs w:val="16"/>
              </w:rPr>
              <w:t>2017</w:t>
            </w:r>
          </w:p>
        </w:tc>
        <w:tc>
          <w:tcPr>
            <w:tcW w:w="1652" w:type="pct"/>
            <w:tcBorders>
              <w:top w:val="nil"/>
              <w:left w:val="single" w:sz="4" w:space="0" w:color="auto"/>
              <w:bottom w:val="nil"/>
              <w:right w:val="single" w:sz="4" w:space="0" w:color="auto"/>
            </w:tcBorders>
            <w:hideMark/>
          </w:tcPr>
          <w:p w14:paraId="5C4D46DC" w14:textId="77777777" w:rsidR="00C15F2E" w:rsidRPr="00D96063" w:rsidRDefault="00C15F2E" w:rsidP="00053198">
            <w:pPr>
              <w:ind w:right="1077"/>
              <w:jc w:val="right"/>
              <w:rPr>
                <w:sz w:val="16"/>
                <w:szCs w:val="16"/>
              </w:rPr>
            </w:pPr>
            <w:r w:rsidRPr="00D96063">
              <w:rPr>
                <w:sz w:val="16"/>
                <w:szCs w:val="16"/>
              </w:rPr>
              <w:t>33.7</w:t>
            </w:r>
          </w:p>
        </w:tc>
        <w:tc>
          <w:tcPr>
            <w:tcW w:w="1652" w:type="pct"/>
            <w:tcBorders>
              <w:top w:val="nil"/>
              <w:left w:val="single" w:sz="4" w:space="0" w:color="auto"/>
              <w:bottom w:val="nil"/>
              <w:right w:val="single" w:sz="4" w:space="0" w:color="auto"/>
            </w:tcBorders>
            <w:hideMark/>
          </w:tcPr>
          <w:p w14:paraId="1BA44B14" w14:textId="77777777" w:rsidR="00C15F2E" w:rsidRPr="00D96063" w:rsidRDefault="00C15F2E" w:rsidP="00053198">
            <w:pPr>
              <w:ind w:right="1077"/>
              <w:jc w:val="right"/>
              <w:rPr>
                <w:sz w:val="16"/>
                <w:szCs w:val="16"/>
              </w:rPr>
            </w:pPr>
            <w:r w:rsidRPr="00D96063">
              <w:rPr>
                <w:sz w:val="16"/>
                <w:szCs w:val="16"/>
              </w:rPr>
              <w:t>11.7</w:t>
            </w:r>
          </w:p>
        </w:tc>
      </w:tr>
      <w:tr w:rsidR="00C15F2E" w:rsidRPr="00D96063" w14:paraId="2119A768" w14:textId="77777777" w:rsidTr="00053198">
        <w:trPr>
          <w:jc w:val="right"/>
        </w:trPr>
        <w:tc>
          <w:tcPr>
            <w:tcW w:w="1695" w:type="pct"/>
            <w:tcBorders>
              <w:top w:val="nil"/>
              <w:left w:val="single" w:sz="4" w:space="0" w:color="auto"/>
              <w:bottom w:val="nil"/>
              <w:right w:val="single" w:sz="4" w:space="0" w:color="auto"/>
            </w:tcBorders>
            <w:hideMark/>
          </w:tcPr>
          <w:p w14:paraId="39E30978" w14:textId="77777777" w:rsidR="00C15F2E" w:rsidRPr="00D96063" w:rsidRDefault="00C15F2E" w:rsidP="00A8139E">
            <w:pPr>
              <w:ind w:right="1191"/>
              <w:jc w:val="right"/>
              <w:rPr>
                <w:sz w:val="16"/>
                <w:szCs w:val="16"/>
              </w:rPr>
            </w:pPr>
            <w:r w:rsidRPr="00D96063">
              <w:rPr>
                <w:sz w:val="16"/>
                <w:szCs w:val="16"/>
              </w:rPr>
              <w:t>2018</w:t>
            </w:r>
          </w:p>
        </w:tc>
        <w:tc>
          <w:tcPr>
            <w:tcW w:w="1652" w:type="pct"/>
            <w:tcBorders>
              <w:top w:val="nil"/>
              <w:left w:val="single" w:sz="4" w:space="0" w:color="auto"/>
              <w:bottom w:val="nil"/>
              <w:right w:val="single" w:sz="4" w:space="0" w:color="auto"/>
            </w:tcBorders>
            <w:hideMark/>
          </w:tcPr>
          <w:p w14:paraId="55EF2107" w14:textId="77777777" w:rsidR="00C15F2E" w:rsidRPr="00D96063" w:rsidRDefault="00C15F2E" w:rsidP="00053198">
            <w:pPr>
              <w:ind w:right="1077"/>
              <w:jc w:val="right"/>
              <w:rPr>
                <w:sz w:val="16"/>
                <w:szCs w:val="16"/>
              </w:rPr>
            </w:pPr>
            <w:r w:rsidRPr="00D96063">
              <w:rPr>
                <w:sz w:val="16"/>
                <w:szCs w:val="16"/>
              </w:rPr>
              <w:t>39.1</w:t>
            </w:r>
          </w:p>
        </w:tc>
        <w:tc>
          <w:tcPr>
            <w:tcW w:w="1652" w:type="pct"/>
            <w:tcBorders>
              <w:top w:val="nil"/>
              <w:left w:val="single" w:sz="4" w:space="0" w:color="auto"/>
              <w:bottom w:val="nil"/>
              <w:right w:val="single" w:sz="4" w:space="0" w:color="auto"/>
            </w:tcBorders>
            <w:hideMark/>
          </w:tcPr>
          <w:p w14:paraId="51D2DA9D" w14:textId="77777777" w:rsidR="00C15F2E" w:rsidRPr="00D96063" w:rsidRDefault="00C15F2E" w:rsidP="00053198">
            <w:pPr>
              <w:ind w:right="1077"/>
              <w:jc w:val="right"/>
              <w:rPr>
                <w:sz w:val="16"/>
                <w:szCs w:val="16"/>
              </w:rPr>
            </w:pPr>
            <w:r w:rsidRPr="00D96063">
              <w:rPr>
                <w:sz w:val="16"/>
                <w:szCs w:val="16"/>
              </w:rPr>
              <w:t>26.0</w:t>
            </w:r>
          </w:p>
        </w:tc>
      </w:tr>
      <w:tr w:rsidR="00C15F2E" w:rsidRPr="00D96063" w14:paraId="5476BA8C" w14:textId="77777777" w:rsidTr="00053198">
        <w:trPr>
          <w:cnfStyle w:val="000000010000" w:firstRow="0" w:lastRow="0" w:firstColumn="0" w:lastColumn="0" w:oddVBand="0" w:evenVBand="0" w:oddHBand="0" w:evenHBand="1" w:firstRowFirstColumn="0" w:firstRowLastColumn="0" w:lastRowFirstColumn="0" w:lastRowLastColumn="0"/>
          <w:jc w:val="right"/>
        </w:trPr>
        <w:tc>
          <w:tcPr>
            <w:tcW w:w="1695" w:type="pct"/>
            <w:tcBorders>
              <w:top w:val="nil"/>
              <w:left w:val="single" w:sz="4" w:space="0" w:color="auto"/>
              <w:bottom w:val="nil"/>
              <w:right w:val="single" w:sz="4" w:space="0" w:color="auto"/>
            </w:tcBorders>
            <w:hideMark/>
          </w:tcPr>
          <w:p w14:paraId="7038099C" w14:textId="77777777" w:rsidR="00C15F2E" w:rsidRPr="00D96063" w:rsidRDefault="00C15F2E" w:rsidP="00A8139E">
            <w:pPr>
              <w:ind w:right="1191"/>
              <w:jc w:val="right"/>
              <w:rPr>
                <w:sz w:val="16"/>
                <w:szCs w:val="16"/>
              </w:rPr>
            </w:pPr>
            <w:r w:rsidRPr="00D96063">
              <w:rPr>
                <w:sz w:val="16"/>
                <w:szCs w:val="16"/>
              </w:rPr>
              <w:t>2019</w:t>
            </w:r>
          </w:p>
        </w:tc>
        <w:tc>
          <w:tcPr>
            <w:tcW w:w="1652" w:type="pct"/>
            <w:tcBorders>
              <w:top w:val="nil"/>
              <w:left w:val="single" w:sz="4" w:space="0" w:color="auto"/>
              <w:bottom w:val="nil"/>
              <w:right w:val="single" w:sz="4" w:space="0" w:color="auto"/>
            </w:tcBorders>
            <w:hideMark/>
          </w:tcPr>
          <w:p w14:paraId="30D594CB" w14:textId="77777777" w:rsidR="00C15F2E" w:rsidRPr="00D96063" w:rsidRDefault="00C15F2E" w:rsidP="00053198">
            <w:pPr>
              <w:ind w:right="1077"/>
              <w:jc w:val="right"/>
              <w:rPr>
                <w:sz w:val="16"/>
                <w:szCs w:val="16"/>
              </w:rPr>
            </w:pPr>
            <w:r w:rsidRPr="00D96063">
              <w:rPr>
                <w:sz w:val="16"/>
                <w:szCs w:val="16"/>
              </w:rPr>
              <w:t>55.3</w:t>
            </w:r>
          </w:p>
        </w:tc>
        <w:tc>
          <w:tcPr>
            <w:tcW w:w="1652" w:type="pct"/>
            <w:tcBorders>
              <w:top w:val="nil"/>
              <w:left w:val="single" w:sz="4" w:space="0" w:color="auto"/>
              <w:bottom w:val="nil"/>
              <w:right w:val="single" w:sz="4" w:space="0" w:color="auto"/>
            </w:tcBorders>
            <w:hideMark/>
          </w:tcPr>
          <w:p w14:paraId="0CB9F19D" w14:textId="77777777" w:rsidR="00C15F2E" w:rsidRPr="00D96063" w:rsidRDefault="00C15F2E" w:rsidP="00053198">
            <w:pPr>
              <w:ind w:right="1077"/>
              <w:jc w:val="right"/>
              <w:rPr>
                <w:sz w:val="16"/>
                <w:szCs w:val="16"/>
              </w:rPr>
            </w:pPr>
            <w:r w:rsidRPr="00D96063">
              <w:rPr>
                <w:sz w:val="16"/>
                <w:szCs w:val="16"/>
              </w:rPr>
              <w:t>23.8</w:t>
            </w:r>
          </w:p>
        </w:tc>
      </w:tr>
      <w:tr w:rsidR="00C15F2E" w:rsidRPr="00D96063" w14:paraId="5EC15ACF" w14:textId="77777777" w:rsidTr="00053198">
        <w:trPr>
          <w:jc w:val="right"/>
        </w:trPr>
        <w:tc>
          <w:tcPr>
            <w:tcW w:w="1695" w:type="pct"/>
            <w:tcBorders>
              <w:top w:val="nil"/>
              <w:left w:val="single" w:sz="4" w:space="0" w:color="auto"/>
              <w:bottom w:val="single" w:sz="4" w:space="0" w:color="auto"/>
              <w:right w:val="single" w:sz="4" w:space="0" w:color="auto"/>
            </w:tcBorders>
            <w:hideMark/>
          </w:tcPr>
          <w:p w14:paraId="69DF74A2" w14:textId="77777777" w:rsidR="00C15F2E" w:rsidRPr="00D96063" w:rsidRDefault="00C15F2E" w:rsidP="00A8139E">
            <w:pPr>
              <w:ind w:right="1191"/>
              <w:jc w:val="right"/>
              <w:rPr>
                <w:sz w:val="16"/>
                <w:szCs w:val="16"/>
              </w:rPr>
            </w:pPr>
            <w:r w:rsidRPr="00D96063">
              <w:rPr>
                <w:sz w:val="16"/>
                <w:szCs w:val="16"/>
              </w:rPr>
              <w:t>2020</w:t>
            </w:r>
          </w:p>
        </w:tc>
        <w:tc>
          <w:tcPr>
            <w:tcW w:w="1652" w:type="pct"/>
            <w:tcBorders>
              <w:top w:val="nil"/>
              <w:left w:val="single" w:sz="4" w:space="0" w:color="auto"/>
              <w:bottom w:val="single" w:sz="4" w:space="0" w:color="auto"/>
              <w:right w:val="single" w:sz="4" w:space="0" w:color="auto"/>
            </w:tcBorders>
            <w:hideMark/>
          </w:tcPr>
          <w:p w14:paraId="3C8A5AA5" w14:textId="77777777" w:rsidR="00C15F2E" w:rsidRPr="00D96063" w:rsidRDefault="00C15F2E" w:rsidP="00053198">
            <w:pPr>
              <w:ind w:right="1077"/>
              <w:jc w:val="right"/>
              <w:rPr>
                <w:sz w:val="16"/>
                <w:szCs w:val="16"/>
              </w:rPr>
            </w:pPr>
            <w:r w:rsidRPr="00D96063">
              <w:rPr>
                <w:sz w:val="16"/>
                <w:szCs w:val="16"/>
              </w:rPr>
              <w:t>95.2</w:t>
            </w:r>
          </w:p>
        </w:tc>
        <w:tc>
          <w:tcPr>
            <w:tcW w:w="1652" w:type="pct"/>
            <w:tcBorders>
              <w:top w:val="nil"/>
              <w:left w:val="single" w:sz="4" w:space="0" w:color="auto"/>
              <w:bottom w:val="single" w:sz="4" w:space="0" w:color="auto"/>
              <w:right w:val="single" w:sz="4" w:space="0" w:color="auto"/>
            </w:tcBorders>
            <w:hideMark/>
          </w:tcPr>
          <w:p w14:paraId="22C44615" w14:textId="77777777" w:rsidR="00C15F2E" w:rsidRPr="00D96063" w:rsidRDefault="00C15F2E" w:rsidP="00053198">
            <w:pPr>
              <w:ind w:right="1077"/>
              <w:jc w:val="right"/>
              <w:rPr>
                <w:sz w:val="16"/>
                <w:szCs w:val="16"/>
              </w:rPr>
            </w:pPr>
            <w:r w:rsidRPr="00D96063">
              <w:rPr>
                <w:sz w:val="16"/>
                <w:szCs w:val="16"/>
              </w:rPr>
              <w:t>24.4</w:t>
            </w:r>
          </w:p>
        </w:tc>
      </w:tr>
    </w:tbl>
    <w:p w14:paraId="3AC5A678" w14:textId="3AED39BF" w:rsidR="00C15F2E" w:rsidRPr="00D96063" w:rsidRDefault="00C15F2E" w:rsidP="00D868BF">
      <w:pPr>
        <w:pStyle w:val="NoteText"/>
        <w:spacing w:before="120" w:after="240"/>
      </w:pPr>
      <w:r w:rsidRPr="00D96063">
        <w:t>Source:</w:t>
      </w:r>
      <w:r w:rsidRPr="00D96063">
        <w:tab/>
        <w:t xml:space="preserve">EC (2021), </w:t>
      </w:r>
      <w:r w:rsidRPr="00D96063">
        <w:rPr>
          <w:i/>
          <w:iCs/>
        </w:rPr>
        <w:t>National Energy Statistics, 2020 Edition</w:t>
      </w:r>
      <w:r w:rsidRPr="00D96063">
        <w:t xml:space="preserve">. Viewed at: </w:t>
      </w:r>
      <w:hyperlink r:id="rId91" w:history="1">
        <w:r w:rsidRPr="00D02D58">
          <w:rPr>
            <w:rStyle w:val="Hyperlink"/>
          </w:rPr>
          <w:t>http://energycom.gov.gh/files/National%20Energy%20Statistics%202021.pdf</w:t>
        </w:r>
      </w:hyperlink>
      <w:r w:rsidRPr="00D96063">
        <w:t>.</w:t>
      </w:r>
    </w:p>
    <w:bookmarkEnd w:id="214"/>
    <w:p w14:paraId="4B901951" w14:textId="77777777" w:rsidR="00C15F2E" w:rsidRPr="00D96063" w:rsidRDefault="00C15F2E" w:rsidP="00A8139E">
      <w:pPr>
        <w:pStyle w:val="BodyText"/>
        <w:spacing w:after="200"/>
        <w:rPr>
          <w:shd w:val="clear" w:color="auto" w:fill="FFFFFF"/>
        </w:rPr>
      </w:pPr>
      <w:r w:rsidRPr="00D96063">
        <w:t xml:space="preserve">The natural gas sector is regulated by the EC, which grants operating licences </w:t>
      </w:r>
      <w:r w:rsidRPr="00D96063">
        <w:rPr>
          <w:shd w:val="clear" w:color="auto" w:fill="FFFFFF"/>
        </w:rPr>
        <w:t>for the transmission, wholesale, supply, distribution, and sale of natural gas, and electricity.</w:t>
      </w:r>
      <w:r w:rsidRPr="00D96063">
        <w:rPr>
          <w:rStyle w:val="FootnoteReference"/>
          <w:rFonts w:cs="Arial"/>
          <w:color w:val="333333"/>
          <w:shd w:val="clear" w:color="auto" w:fill="FFFFFF"/>
        </w:rPr>
        <w:footnoteReference w:id="167"/>
      </w:r>
      <w:r w:rsidRPr="00D96063">
        <w:rPr>
          <w:shd w:val="clear" w:color="auto" w:fill="FFFFFF"/>
        </w:rPr>
        <w:t xml:space="preserve"> The Public Utilities Regulatory Commission (</w:t>
      </w:r>
      <w:r w:rsidRPr="00D96063">
        <w:t>PURC</w:t>
      </w:r>
      <w:r w:rsidRPr="00D96063">
        <w:rPr>
          <w:shd w:val="clear" w:color="auto" w:fill="FFFFFF"/>
        </w:rPr>
        <w:t xml:space="preserve">) regulates the provision of utility services in the electricity </w:t>
      </w:r>
      <w:r w:rsidRPr="00D96063">
        <w:rPr>
          <w:shd w:val="clear" w:color="auto" w:fill="FFFFFF"/>
        </w:rPr>
        <w:lastRenderedPageBreak/>
        <w:t>and water sectors.</w:t>
      </w:r>
      <w:r w:rsidRPr="00D96063">
        <w:rPr>
          <w:rStyle w:val="FootnoteReference"/>
          <w:rFonts w:cs="Arial"/>
          <w:color w:val="333333"/>
          <w:shd w:val="clear" w:color="auto" w:fill="FFFFFF"/>
        </w:rPr>
        <w:footnoteReference w:id="168"/>
      </w:r>
      <w:r w:rsidRPr="00D96063">
        <w:rPr>
          <w:shd w:val="clear" w:color="auto" w:fill="FFFFFF"/>
        </w:rPr>
        <w:t xml:space="preserve"> PURC is also responsible for the regulation of the natural gas pipeline transmission tariff and publishes aggregated prices charged by the </w:t>
      </w:r>
      <w:r w:rsidRPr="00D96063">
        <w:rPr>
          <w:rFonts w:cs="Arial"/>
          <w:color w:val="333333"/>
          <w:shd w:val="clear" w:color="auto" w:fill="FFFFFF"/>
        </w:rPr>
        <w:t>GNGC</w:t>
      </w:r>
      <w:r w:rsidRPr="00D96063">
        <w:rPr>
          <w:shd w:val="clear" w:color="auto" w:fill="FFFFFF"/>
        </w:rPr>
        <w:t>. A 2016 Gas Master Plan (GMP) further guides the sector.</w:t>
      </w:r>
      <w:r w:rsidRPr="00D96063">
        <w:rPr>
          <w:rStyle w:val="FootnoteReference"/>
          <w:shd w:val="clear" w:color="auto" w:fill="FFFFFF"/>
        </w:rPr>
        <w:footnoteReference w:id="169"/>
      </w:r>
    </w:p>
    <w:p w14:paraId="72281C74" w14:textId="39CD369E" w:rsidR="00C15F2E" w:rsidRPr="00D96063" w:rsidRDefault="00C15F2E" w:rsidP="00A8139E">
      <w:pPr>
        <w:pStyle w:val="BodyText"/>
        <w:spacing w:after="200"/>
      </w:pPr>
      <w:r w:rsidRPr="00D96063">
        <w:t xml:space="preserve">Natural </w:t>
      </w:r>
      <w:r w:rsidRPr="00D96063">
        <w:rPr>
          <w:shd w:val="clear" w:color="auto" w:fill="FFFFFF"/>
        </w:rPr>
        <w:t>gas</w:t>
      </w:r>
      <w:r w:rsidRPr="00D96063">
        <w:t xml:space="preserve"> is imported from Nigeria through the West African Gas Pipeline.</w:t>
      </w:r>
      <w:r w:rsidRPr="00D96063">
        <w:rPr>
          <w:rStyle w:val="FootnoteReference"/>
        </w:rPr>
        <w:footnoteReference w:id="170"/>
      </w:r>
      <w:r w:rsidRPr="00D96063">
        <w:t xml:space="preserve"> Most imported gas is used for electricity generation, with only a small proportion (less than 2%) used for non</w:t>
      </w:r>
      <w:r w:rsidR="00E66257">
        <w:noBreakHyphen/>
      </w:r>
      <w:r w:rsidRPr="00D96063">
        <w:t>power activities.</w:t>
      </w:r>
    </w:p>
    <w:p w14:paraId="07D87ACA" w14:textId="77777777" w:rsidR="00C15F2E" w:rsidRPr="00D96063" w:rsidRDefault="00C15F2E" w:rsidP="00A8139E">
      <w:pPr>
        <w:pStyle w:val="BodyText"/>
        <w:spacing w:after="200"/>
      </w:pPr>
      <w:r w:rsidRPr="00D96063">
        <w:t>The financial difficulties mentioned above have their origins in Ghana's response to the domestic energy crisis in 2014, characterized by severe shortages and power cuts. The Government responded by contracting a daily supply of 665 billion BTUs of liquified natural gas (LNG) and other gas by 2023, considerably more than demand, which is projected to reach about 450 billion BTUs per day by 2023.</w:t>
      </w:r>
    </w:p>
    <w:p w14:paraId="16EB598C" w14:textId="77777777" w:rsidR="00C15F2E" w:rsidRPr="00D96063" w:rsidRDefault="00C15F2E" w:rsidP="00A8139E">
      <w:pPr>
        <w:pStyle w:val="BodyText"/>
        <w:spacing w:after="200"/>
      </w:pPr>
      <w:r w:rsidRPr="00D96063">
        <w:t>The natural gas tariffs are set by PURC, following negotiations between the GNPC and the gas developers. They turned out to be below the recovery cost.</w:t>
      </w:r>
      <w:r w:rsidRPr="00D96063">
        <w:rPr>
          <w:rStyle w:val="FootnoteReference"/>
        </w:rPr>
        <w:footnoteReference w:id="171"/>
      </w:r>
    </w:p>
    <w:p w14:paraId="5DD7123F" w14:textId="77777777" w:rsidR="00C15F2E" w:rsidRPr="00D96063" w:rsidRDefault="00C15F2E" w:rsidP="00A8139E">
      <w:pPr>
        <w:pStyle w:val="Heading3"/>
        <w:numPr>
          <w:ilvl w:val="2"/>
          <w:numId w:val="32"/>
        </w:numPr>
        <w:spacing w:after="200"/>
      </w:pPr>
      <w:bookmarkStart w:id="215" w:name="_Toc103607719"/>
      <w:r w:rsidRPr="00D96063">
        <w:t>Electricity</w:t>
      </w:r>
      <w:bookmarkEnd w:id="215"/>
    </w:p>
    <w:p w14:paraId="1EE3D22E" w14:textId="77777777" w:rsidR="00C15F2E" w:rsidRPr="00D96063" w:rsidRDefault="00C15F2E" w:rsidP="00A8139E">
      <w:pPr>
        <w:pStyle w:val="BodyText"/>
        <w:spacing w:after="200"/>
      </w:pPr>
      <w:r w:rsidRPr="00D96063">
        <w:t>The electricity sector is regulated by the EC and PURC (see above). The EC Act, 1997 (Act 541) is the main legislation, while the PURC Act, 1997 (Act 538) and its amendment (Act 800 of 2010) govern electricity pricing and services.</w:t>
      </w:r>
      <w:r w:rsidRPr="00D96063">
        <w:rPr>
          <w:rStyle w:val="FootnoteReference"/>
        </w:rPr>
        <w:footnoteReference w:id="172"/>
      </w:r>
    </w:p>
    <w:p w14:paraId="2502F9A4" w14:textId="77777777" w:rsidR="00C15F2E" w:rsidRPr="00D96063" w:rsidRDefault="00C15F2E" w:rsidP="00A8139E">
      <w:pPr>
        <w:pStyle w:val="BodyText"/>
        <w:spacing w:after="200"/>
      </w:pPr>
      <w:bookmarkStart w:id="216" w:name="_Hlk83894582"/>
      <w:r w:rsidRPr="00D96063">
        <w:t>The country's electricity generation mix is mainly based on thermal and hydropower, with 2.4% of renewable energy as at the end of 2021. Ghana has excess power generating capacity, as a result of the 2014 energy crisis in Ghana, when the Government contracted emergency generation capacity far in excess of national demand.</w:t>
      </w:r>
      <w:r w:rsidRPr="00D96063">
        <w:rPr>
          <w:rStyle w:val="FootnoteReference"/>
        </w:rPr>
        <w:footnoteReference w:id="173"/>
      </w:r>
      <w:r w:rsidRPr="00D96063">
        <w:rPr>
          <w:vertAlign w:val="superscript"/>
        </w:rPr>
        <w:t xml:space="preserve"> </w:t>
      </w:r>
      <w:r w:rsidRPr="00D96063">
        <w:t>However, domestic power outages are common, even in the capital city, because of works on the electricity network, according to the authorities.</w:t>
      </w:r>
    </w:p>
    <w:p w14:paraId="7E2FD4A0" w14:textId="77777777" w:rsidR="00C15F2E" w:rsidRPr="00D96063" w:rsidRDefault="00C15F2E" w:rsidP="00A8139E">
      <w:pPr>
        <w:pStyle w:val="BodyText"/>
        <w:spacing w:after="200"/>
      </w:pPr>
      <w:r w:rsidRPr="00D96063">
        <w:t>The installed capacity stood at about 5,288 MW in 2020, up from 2,831 MW in 2014 (Table 4.10). However, the peak load demand was 2,893 MW during the first half of 2021. According to the IMF, Ghana pays close to USD 500 million annually for power generation capacity contracted with IPPs that it does not use.</w:t>
      </w:r>
      <w:r w:rsidRPr="00D96063">
        <w:rPr>
          <w:rStyle w:val="FootnoteReference"/>
        </w:rPr>
        <w:footnoteReference w:id="174"/>
      </w:r>
      <w:r w:rsidRPr="00D96063">
        <w:rPr>
          <w:vertAlign w:val="superscript"/>
        </w:rPr>
        <w:t xml:space="preserve"> </w:t>
      </w:r>
      <w:r w:rsidRPr="00D96063">
        <w:t>According to the authorities, excess power generation capacity was contracted from 2015 through long-term power purchase agreements based on a take-or-pay clause that required the country to pay for the contracted capacity, whether or not it was used.</w:t>
      </w:r>
    </w:p>
    <w:p w14:paraId="0BFD0C58" w14:textId="0905225F" w:rsidR="00C15F2E" w:rsidRPr="00D96063" w:rsidRDefault="00C15F2E" w:rsidP="00D868BF">
      <w:pPr>
        <w:pStyle w:val="Caption"/>
      </w:pPr>
      <w:bookmarkStart w:id="217" w:name="_Toc103607906"/>
      <w:r w:rsidRPr="00D96063">
        <w:t xml:space="preserve">Table </w:t>
      </w:r>
      <w:fldSimple w:instr=" STYLEREF 1 \s ">
        <w:r w:rsidR="004B63B1">
          <w:rPr>
            <w:noProof/>
          </w:rPr>
          <w:t>4</w:t>
        </w:r>
      </w:fldSimple>
      <w:r w:rsidR="00BF3184">
        <w:t>.</w:t>
      </w:r>
      <w:fldSimple w:instr=" SEQ Table \* ARABIC \s 1 ">
        <w:r w:rsidR="004B63B1">
          <w:rPr>
            <w:noProof/>
          </w:rPr>
          <w:t>10</w:t>
        </w:r>
      </w:fldSimple>
      <w:r w:rsidRPr="00D96063">
        <w:t xml:space="preserve"> Electricity generation capacity, 2014-20</w:t>
      </w:r>
      <w:bookmarkEnd w:id="217"/>
    </w:p>
    <w:p w14:paraId="05CF3628" w14:textId="77777777" w:rsidR="00C15F2E" w:rsidRPr="00D96063" w:rsidRDefault="00C15F2E" w:rsidP="00D868BF">
      <w:pPr>
        <w:pStyle w:val="NoteText"/>
      </w:pPr>
      <w:r w:rsidRPr="00D96063">
        <w:t>(MW)</w:t>
      </w:r>
    </w:p>
    <w:tbl>
      <w:tblPr>
        <w:tblStyle w:val="WTOTable1"/>
        <w:tblW w:w="5000" w:type="pct"/>
        <w:tblLook w:val="04A0" w:firstRow="1" w:lastRow="0" w:firstColumn="1" w:lastColumn="0" w:noHBand="0" w:noVBand="1"/>
      </w:tblPr>
      <w:tblGrid>
        <w:gridCol w:w="1000"/>
        <w:gridCol w:w="1000"/>
        <w:gridCol w:w="893"/>
        <w:gridCol w:w="1161"/>
        <w:gridCol w:w="952"/>
        <w:gridCol w:w="1003"/>
        <w:gridCol w:w="1001"/>
        <w:gridCol w:w="1113"/>
        <w:gridCol w:w="893"/>
      </w:tblGrid>
      <w:tr w:rsidR="00C15F2E" w:rsidRPr="00D96063" w14:paraId="626886E2" w14:textId="77777777" w:rsidTr="00DA47B4">
        <w:trPr>
          <w:cnfStyle w:val="100000000000" w:firstRow="1" w:lastRow="0" w:firstColumn="0" w:lastColumn="0" w:oddVBand="0" w:evenVBand="0" w:oddHBand="0" w:evenHBand="0" w:firstRowFirstColumn="0" w:firstRowLastColumn="0" w:lastRowFirstColumn="0" w:lastRowLastColumn="0"/>
          <w:tblHeader/>
        </w:trPr>
        <w:tc>
          <w:tcPr>
            <w:tcW w:w="555" w:type="pct"/>
            <w:tcBorders>
              <w:top w:val="single" w:sz="4" w:space="0" w:color="auto"/>
              <w:left w:val="single" w:sz="4" w:space="0" w:color="auto"/>
              <w:bottom w:val="nil"/>
              <w:right w:val="single" w:sz="4" w:space="0" w:color="auto"/>
            </w:tcBorders>
            <w:tcMar>
              <w:top w:w="0" w:type="dxa"/>
              <w:left w:w="57" w:type="dxa"/>
              <w:bottom w:w="0" w:type="dxa"/>
              <w:right w:w="57" w:type="dxa"/>
            </w:tcMar>
          </w:tcPr>
          <w:p w14:paraId="795D5A1E" w14:textId="77777777" w:rsidR="00C15F2E" w:rsidRPr="00D96063" w:rsidRDefault="00C15F2E" w:rsidP="00053198">
            <w:pPr>
              <w:ind w:firstLineChars="100" w:firstLine="161"/>
              <w:jc w:val="center"/>
              <w:rPr>
                <w:rFonts w:eastAsia="Times New Roman" w:cs="Calibri"/>
                <w:sz w:val="16"/>
                <w:szCs w:val="16"/>
              </w:rPr>
            </w:pPr>
          </w:p>
        </w:tc>
        <w:tc>
          <w:tcPr>
            <w:tcW w:w="2222"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573CF1" w14:textId="77777777" w:rsidR="00C15F2E" w:rsidRPr="00D96063" w:rsidRDefault="00C15F2E" w:rsidP="00053198">
            <w:pPr>
              <w:ind w:firstLineChars="100" w:firstLine="161"/>
              <w:jc w:val="center"/>
              <w:rPr>
                <w:rFonts w:eastAsia="Times New Roman" w:cs="Calibri"/>
                <w:color w:val="000000"/>
                <w:sz w:val="16"/>
                <w:szCs w:val="16"/>
              </w:rPr>
            </w:pPr>
            <w:r w:rsidRPr="00D96063">
              <w:rPr>
                <w:rFonts w:eastAsia="Times New Roman" w:cs="Calibri"/>
                <w:sz w:val="16"/>
                <w:szCs w:val="16"/>
              </w:rPr>
              <w:t>Installed capacity</w:t>
            </w:r>
          </w:p>
        </w:tc>
        <w:tc>
          <w:tcPr>
            <w:tcW w:w="2223"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C9AFC2" w14:textId="77777777" w:rsidR="00C15F2E" w:rsidRPr="00D96063" w:rsidRDefault="00C15F2E" w:rsidP="00053198">
            <w:pPr>
              <w:jc w:val="center"/>
              <w:rPr>
                <w:rFonts w:eastAsia="Times New Roman" w:cs="Calibri"/>
                <w:color w:val="000000"/>
                <w:sz w:val="16"/>
                <w:szCs w:val="16"/>
              </w:rPr>
            </w:pPr>
            <w:r w:rsidRPr="00D96063">
              <w:rPr>
                <w:rFonts w:eastAsia="Times New Roman" w:cs="Calibri"/>
                <w:sz w:val="16"/>
                <w:szCs w:val="16"/>
              </w:rPr>
              <w:t>Dependable capacity</w:t>
            </w:r>
          </w:p>
        </w:tc>
      </w:tr>
      <w:tr w:rsidR="00BE526B" w:rsidRPr="00D96063" w14:paraId="4EF9ED92" w14:textId="77777777" w:rsidTr="00DA47B4">
        <w:trPr>
          <w:cnfStyle w:val="100000000000" w:firstRow="1" w:lastRow="0" w:firstColumn="0" w:lastColumn="0" w:oddVBand="0" w:evenVBand="0" w:oddHBand="0" w:evenHBand="0" w:firstRowFirstColumn="0" w:firstRowLastColumn="0" w:lastRowFirstColumn="0" w:lastRowLastColumn="0"/>
          <w:tblHeader/>
        </w:trPr>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5F0B6B09" w14:textId="77777777" w:rsidR="00C15F2E" w:rsidRPr="00D96063" w:rsidRDefault="00C15F2E" w:rsidP="00053198">
            <w:pPr>
              <w:ind w:firstLineChars="100" w:firstLine="161"/>
              <w:jc w:val="left"/>
              <w:rPr>
                <w:rFonts w:eastAsia="Times New Roman" w:cs="Calibri"/>
                <w:b w:val="0"/>
                <w:color w:val="FFFFFF" w:themeColor="background1"/>
                <w:sz w:val="16"/>
                <w:szCs w:val="16"/>
              </w:rPr>
            </w:pPr>
            <w:r w:rsidRPr="00D96063">
              <w:rPr>
                <w:rFonts w:eastAsia="Times New Roman" w:cs="Calibri"/>
                <w:color w:val="FFFFFF" w:themeColor="background1"/>
                <w:sz w:val="16"/>
                <w:szCs w:val="16"/>
              </w:rPr>
              <w:t>Year</w:t>
            </w:r>
          </w:p>
        </w:tc>
        <w:tc>
          <w:tcPr>
            <w:tcW w:w="555" w:type="pct"/>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5416176D" w14:textId="77777777" w:rsidR="00C15F2E" w:rsidRPr="00D96063" w:rsidRDefault="00C15F2E" w:rsidP="00A8139E">
            <w:pPr>
              <w:jc w:val="center"/>
              <w:rPr>
                <w:rFonts w:eastAsia="Times New Roman" w:cs="Calibri"/>
                <w:b w:val="0"/>
                <w:color w:val="FFFFFF" w:themeColor="background1"/>
                <w:sz w:val="16"/>
                <w:szCs w:val="16"/>
              </w:rPr>
            </w:pPr>
            <w:r w:rsidRPr="00D96063">
              <w:rPr>
                <w:rFonts w:eastAsia="Times New Roman" w:cs="Calibri"/>
                <w:color w:val="FFFFFF" w:themeColor="background1"/>
                <w:sz w:val="16"/>
                <w:szCs w:val="16"/>
              </w:rPr>
              <w:t>Hydro</w:t>
            </w:r>
          </w:p>
        </w:tc>
        <w:tc>
          <w:tcPr>
            <w:tcW w:w="495" w:type="pct"/>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E8DA4A9" w14:textId="77777777" w:rsidR="00C15F2E" w:rsidRPr="00D96063" w:rsidRDefault="00C15F2E" w:rsidP="00A8139E">
            <w:pPr>
              <w:jc w:val="left"/>
              <w:rPr>
                <w:rFonts w:eastAsia="Times New Roman" w:cs="Calibri"/>
                <w:b w:val="0"/>
                <w:color w:val="FFFFFF" w:themeColor="background1"/>
                <w:sz w:val="16"/>
                <w:szCs w:val="16"/>
              </w:rPr>
            </w:pPr>
            <w:r w:rsidRPr="00D96063">
              <w:rPr>
                <w:rFonts w:eastAsia="Times New Roman" w:cs="Calibri"/>
                <w:color w:val="FFFFFF" w:themeColor="background1"/>
                <w:sz w:val="16"/>
                <w:szCs w:val="16"/>
              </w:rPr>
              <w:t>Thermal</w:t>
            </w:r>
          </w:p>
        </w:tc>
        <w:tc>
          <w:tcPr>
            <w:tcW w:w="644" w:type="pct"/>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AF2CF18" w14:textId="77777777" w:rsidR="00C15F2E" w:rsidRPr="00D96063" w:rsidRDefault="00C15F2E" w:rsidP="00A8139E">
            <w:pPr>
              <w:jc w:val="center"/>
              <w:rPr>
                <w:rFonts w:eastAsia="Times New Roman" w:cs="Calibri"/>
                <w:b w:val="0"/>
                <w:color w:val="FFFFFF" w:themeColor="background1"/>
                <w:sz w:val="16"/>
                <w:szCs w:val="16"/>
              </w:rPr>
            </w:pPr>
            <w:r w:rsidRPr="00D96063">
              <w:rPr>
                <w:rFonts w:eastAsia="Times New Roman" w:cs="Calibri"/>
                <w:color w:val="FFFFFF" w:themeColor="background1"/>
                <w:sz w:val="16"/>
                <w:szCs w:val="16"/>
              </w:rPr>
              <w:t>Other renewable</w:t>
            </w:r>
          </w:p>
        </w:tc>
        <w:tc>
          <w:tcPr>
            <w:tcW w:w="528" w:type="pct"/>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5FFFB48B" w14:textId="77777777" w:rsidR="00C15F2E" w:rsidRPr="00D96063" w:rsidRDefault="00C15F2E" w:rsidP="00A8139E">
            <w:pPr>
              <w:jc w:val="center"/>
              <w:rPr>
                <w:rFonts w:eastAsia="Times New Roman" w:cs="Calibri"/>
                <w:b w:val="0"/>
                <w:color w:val="FFFFFF" w:themeColor="background1"/>
                <w:sz w:val="16"/>
                <w:szCs w:val="16"/>
              </w:rPr>
            </w:pPr>
            <w:r w:rsidRPr="00D96063">
              <w:rPr>
                <w:rFonts w:eastAsia="Times New Roman" w:cs="Calibri"/>
                <w:color w:val="FFFFFF" w:themeColor="background1"/>
                <w:sz w:val="16"/>
                <w:szCs w:val="16"/>
              </w:rPr>
              <w:t>Total</w:t>
            </w:r>
          </w:p>
        </w:tc>
        <w:tc>
          <w:tcPr>
            <w:tcW w:w="556" w:type="pct"/>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FBE16C1" w14:textId="77777777" w:rsidR="00C15F2E" w:rsidRPr="00D96063" w:rsidRDefault="00C15F2E" w:rsidP="00A8139E">
            <w:pPr>
              <w:jc w:val="center"/>
              <w:rPr>
                <w:rFonts w:eastAsia="Times New Roman" w:cs="Calibri"/>
                <w:b w:val="0"/>
                <w:color w:val="FFFFFF" w:themeColor="background1"/>
                <w:sz w:val="16"/>
                <w:szCs w:val="16"/>
              </w:rPr>
            </w:pPr>
            <w:r w:rsidRPr="00D96063">
              <w:rPr>
                <w:rFonts w:eastAsia="Times New Roman" w:cs="Calibri"/>
                <w:color w:val="FFFFFF" w:themeColor="background1"/>
                <w:sz w:val="16"/>
                <w:szCs w:val="16"/>
              </w:rPr>
              <w:t>Hydro</w:t>
            </w:r>
          </w:p>
        </w:tc>
        <w:tc>
          <w:tcPr>
            <w:tcW w:w="555" w:type="pct"/>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A7BD748" w14:textId="77777777" w:rsidR="00C15F2E" w:rsidRPr="00D96063" w:rsidRDefault="00C15F2E" w:rsidP="00A8139E">
            <w:pPr>
              <w:jc w:val="center"/>
              <w:rPr>
                <w:rFonts w:eastAsia="Times New Roman" w:cs="Calibri"/>
                <w:b w:val="0"/>
                <w:color w:val="FFFFFF" w:themeColor="background1"/>
                <w:sz w:val="16"/>
                <w:szCs w:val="16"/>
              </w:rPr>
            </w:pPr>
            <w:r w:rsidRPr="00D96063">
              <w:rPr>
                <w:rFonts w:eastAsia="Times New Roman" w:cs="Calibri"/>
                <w:color w:val="FFFFFF" w:themeColor="background1"/>
                <w:sz w:val="16"/>
                <w:szCs w:val="16"/>
              </w:rPr>
              <w:t>Thermal</w:t>
            </w:r>
          </w:p>
        </w:tc>
        <w:tc>
          <w:tcPr>
            <w:tcW w:w="617" w:type="pct"/>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2BFED806" w14:textId="77777777" w:rsidR="00C15F2E" w:rsidRPr="00D96063" w:rsidRDefault="00C15F2E" w:rsidP="00A8139E">
            <w:pPr>
              <w:jc w:val="center"/>
              <w:rPr>
                <w:rFonts w:eastAsia="Times New Roman" w:cs="Calibri"/>
                <w:b w:val="0"/>
                <w:color w:val="FFFFFF" w:themeColor="background1"/>
                <w:sz w:val="16"/>
                <w:szCs w:val="16"/>
              </w:rPr>
            </w:pPr>
            <w:r w:rsidRPr="00D96063">
              <w:rPr>
                <w:rFonts w:eastAsia="Times New Roman" w:cs="Calibri"/>
                <w:color w:val="FFFFFF" w:themeColor="background1"/>
                <w:sz w:val="16"/>
                <w:szCs w:val="16"/>
              </w:rPr>
              <w:t>Other renewable</w:t>
            </w:r>
          </w:p>
        </w:tc>
        <w:tc>
          <w:tcPr>
            <w:tcW w:w="495" w:type="pct"/>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AB2231D" w14:textId="77777777" w:rsidR="00C15F2E" w:rsidRPr="00D96063" w:rsidRDefault="00C15F2E" w:rsidP="00A8139E">
            <w:pPr>
              <w:jc w:val="center"/>
              <w:rPr>
                <w:rFonts w:eastAsia="Times New Roman" w:cs="Calibri"/>
                <w:b w:val="0"/>
                <w:color w:val="FFFFFF" w:themeColor="background1"/>
                <w:sz w:val="16"/>
                <w:szCs w:val="16"/>
              </w:rPr>
            </w:pPr>
            <w:r w:rsidRPr="00D96063">
              <w:rPr>
                <w:rFonts w:eastAsia="Times New Roman" w:cs="Calibri"/>
                <w:color w:val="FFFFFF" w:themeColor="background1"/>
                <w:sz w:val="16"/>
                <w:szCs w:val="16"/>
              </w:rPr>
              <w:t>Total</w:t>
            </w:r>
          </w:p>
        </w:tc>
      </w:tr>
      <w:tr w:rsidR="00C15F2E" w:rsidRPr="00D96063" w14:paraId="4B2A2A2A" w14:textId="77777777" w:rsidTr="00BE526B">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651BD24D" w14:textId="77777777" w:rsidR="00C15F2E" w:rsidRPr="00D96063" w:rsidRDefault="00C15F2E" w:rsidP="00053198">
            <w:pPr>
              <w:ind w:right="227"/>
              <w:jc w:val="right"/>
              <w:rPr>
                <w:rFonts w:eastAsia="Times New Roman" w:cs="Calibri"/>
                <w:bCs/>
                <w:color w:val="000000"/>
                <w:sz w:val="16"/>
                <w:szCs w:val="16"/>
              </w:rPr>
            </w:pPr>
            <w:r w:rsidRPr="00D96063">
              <w:rPr>
                <w:rFonts w:eastAsia="Times New Roman" w:cs="Calibri"/>
                <w:bCs/>
                <w:color w:val="000000"/>
                <w:sz w:val="16"/>
                <w:szCs w:val="16"/>
              </w:rPr>
              <w:t>2014</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775FD31F"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1,580</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323355D5" w14:textId="77777777" w:rsidR="00C15F2E" w:rsidRPr="00D96063" w:rsidRDefault="00C15F2E" w:rsidP="00053198">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1,248</w:t>
            </w:r>
          </w:p>
        </w:tc>
        <w:tc>
          <w:tcPr>
            <w:tcW w:w="644" w:type="pct"/>
            <w:tcBorders>
              <w:top w:val="nil"/>
              <w:left w:val="single" w:sz="4" w:space="0" w:color="auto"/>
              <w:bottom w:val="nil"/>
              <w:right w:val="single" w:sz="4" w:space="0" w:color="auto"/>
            </w:tcBorders>
            <w:tcMar>
              <w:top w:w="0" w:type="dxa"/>
              <w:left w:w="57" w:type="dxa"/>
              <w:bottom w:w="0" w:type="dxa"/>
              <w:right w:w="57" w:type="dxa"/>
            </w:tcMar>
            <w:hideMark/>
          </w:tcPr>
          <w:p w14:paraId="767092BC" w14:textId="77777777" w:rsidR="00C15F2E" w:rsidRPr="00D96063" w:rsidRDefault="00C15F2E" w:rsidP="00A8139E">
            <w:pPr>
              <w:ind w:right="454" w:firstLineChars="100" w:firstLine="160"/>
              <w:jc w:val="right"/>
              <w:rPr>
                <w:rFonts w:eastAsia="Times New Roman" w:cs="Calibri"/>
                <w:bCs/>
                <w:color w:val="000000"/>
                <w:sz w:val="16"/>
                <w:szCs w:val="16"/>
              </w:rPr>
            </w:pPr>
            <w:r w:rsidRPr="00D96063">
              <w:rPr>
                <w:rFonts w:eastAsia="Times New Roman" w:cs="Calibri"/>
                <w:bCs/>
                <w:color w:val="000000"/>
                <w:sz w:val="16"/>
                <w:szCs w:val="16"/>
              </w:rPr>
              <w:t>3</w:t>
            </w:r>
          </w:p>
        </w:tc>
        <w:tc>
          <w:tcPr>
            <w:tcW w:w="528" w:type="pct"/>
            <w:tcBorders>
              <w:top w:val="nil"/>
              <w:left w:val="single" w:sz="4" w:space="0" w:color="auto"/>
              <w:bottom w:val="nil"/>
              <w:right w:val="single" w:sz="4" w:space="0" w:color="auto"/>
            </w:tcBorders>
            <w:tcMar>
              <w:top w:w="0" w:type="dxa"/>
              <w:left w:w="57" w:type="dxa"/>
              <w:bottom w:w="0" w:type="dxa"/>
              <w:right w:w="57" w:type="dxa"/>
            </w:tcMar>
            <w:hideMark/>
          </w:tcPr>
          <w:p w14:paraId="57BA25A4"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2,831</w:t>
            </w:r>
          </w:p>
        </w:tc>
        <w:tc>
          <w:tcPr>
            <w:tcW w:w="556" w:type="pct"/>
            <w:tcBorders>
              <w:top w:val="nil"/>
              <w:left w:val="single" w:sz="4" w:space="0" w:color="auto"/>
              <w:bottom w:val="nil"/>
              <w:right w:val="single" w:sz="4" w:space="0" w:color="auto"/>
            </w:tcBorders>
            <w:tcMar>
              <w:top w:w="0" w:type="dxa"/>
              <w:left w:w="57" w:type="dxa"/>
              <w:bottom w:w="0" w:type="dxa"/>
              <w:right w:w="57" w:type="dxa"/>
            </w:tcMar>
            <w:hideMark/>
          </w:tcPr>
          <w:p w14:paraId="1B42DB6C"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1,380</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6EE885B7"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1,187</w:t>
            </w:r>
          </w:p>
        </w:tc>
        <w:tc>
          <w:tcPr>
            <w:tcW w:w="617" w:type="pct"/>
            <w:tcBorders>
              <w:top w:val="nil"/>
              <w:left w:val="single" w:sz="4" w:space="0" w:color="auto"/>
              <w:bottom w:val="nil"/>
              <w:right w:val="single" w:sz="4" w:space="0" w:color="auto"/>
            </w:tcBorders>
            <w:tcMar>
              <w:top w:w="0" w:type="dxa"/>
              <w:left w:w="57" w:type="dxa"/>
              <w:bottom w:w="0" w:type="dxa"/>
              <w:right w:w="57" w:type="dxa"/>
            </w:tcMar>
            <w:hideMark/>
          </w:tcPr>
          <w:p w14:paraId="695EA242" w14:textId="77777777" w:rsidR="00C15F2E" w:rsidRPr="00D96063" w:rsidRDefault="00C15F2E" w:rsidP="00A8139E">
            <w:pPr>
              <w:ind w:right="397" w:firstLineChars="100" w:firstLine="160"/>
              <w:jc w:val="right"/>
              <w:rPr>
                <w:rFonts w:eastAsia="Times New Roman" w:cs="Calibri"/>
                <w:bCs/>
                <w:color w:val="000000"/>
                <w:sz w:val="16"/>
                <w:szCs w:val="16"/>
              </w:rPr>
            </w:pPr>
            <w:r w:rsidRPr="00D96063">
              <w:rPr>
                <w:rFonts w:eastAsia="Times New Roman" w:cs="Calibri"/>
                <w:bCs/>
                <w:color w:val="000000"/>
                <w:sz w:val="16"/>
                <w:szCs w:val="16"/>
              </w:rPr>
              <w:t>2</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6E83A3A7" w14:textId="77777777" w:rsidR="00C15F2E" w:rsidRPr="00D96063" w:rsidRDefault="00C15F2E" w:rsidP="0013519C">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2,569</w:t>
            </w:r>
          </w:p>
        </w:tc>
      </w:tr>
      <w:tr w:rsidR="00BE526B" w:rsidRPr="00D96063" w14:paraId="2958E7B0" w14:textId="77777777" w:rsidTr="00A8139E">
        <w:trPr>
          <w:cnfStyle w:val="000000010000" w:firstRow="0" w:lastRow="0" w:firstColumn="0" w:lastColumn="0" w:oddVBand="0" w:evenVBand="0" w:oddHBand="0" w:evenHBand="1" w:firstRowFirstColumn="0" w:firstRowLastColumn="0" w:lastRowFirstColumn="0" w:lastRowLastColumn="0"/>
        </w:trPr>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2BA067B3" w14:textId="77777777" w:rsidR="00C15F2E" w:rsidRPr="00D96063" w:rsidRDefault="00C15F2E" w:rsidP="00053198">
            <w:pPr>
              <w:ind w:right="227"/>
              <w:jc w:val="right"/>
              <w:rPr>
                <w:rFonts w:eastAsia="Times New Roman" w:cs="Calibri"/>
                <w:bCs/>
                <w:color w:val="000000"/>
                <w:sz w:val="16"/>
                <w:szCs w:val="16"/>
              </w:rPr>
            </w:pPr>
            <w:r w:rsidRPr="00D96063">
              <w:rPr>
                <w:rFonts w:eastAsia="Times New Roman" w:cs="Calibri"/>
                <w:bCs/>
                <w:sz w:val="16"/>
                <w:szCs w:val="16"/>
              </w:rPr>
              <w:t>2015</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43B6FAB8"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sz w:val="16"/>
                <w:szCs w:val="16"/>
              </w:rPr>
              <w:t>1,580</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5DBD43A0" w14:textId="77777777" w:rsidR="00C15F2E" w:rsidRPr="00D96063" w:rsidRDefault="00C15F2E" w:rsidP="00053198">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2,053</w:t>
            </w:r>
          </w:p>
        </w:tc>
        <w:tc>
          <w:tcPr>
            <w:tcW w:w="644" w:type="pct"/>
            <w:tcBorders>
              <w:top w:val="nil"/>
              <w:left w:val="single" w:sz="4" w:space="0" w:color="auto"/>
              <w:bottom w:val="nil"/>
              <w:right w:val="single" w:sz="4" w:space="0" w:color="auto"/>
            </w:tcBorders>
            <w:tcMar>
              <w:top w:w="0" w:type="dxa"/>
              <w:left w:w="57" w:type="dxa"/>
              <w:bottom w:w="0" w:type="dxa"/>
              <w:right w:w="57" w:type="dxa"/>
            </w:tcMar>
            <w:hideMark/>
          </w:tcPr>
          <w:p w14:paraId="40D848B6" w14:textId="77777777" w:rsidR="00C15F2E" w:rsidRPr="00D96063" w:rsidRDefault="00C15F2E" w:rsidP="00A8139E">
            <w:pPr>
              <w:ind w:right="454" w:firstLineChars="100" w:firstLine="160"/>
              <w:jc w:val="right"/>
              <w:rPr>
                <w:rFonts w:eastAsia="Times New Roman" w:cs="Calibri"/>
                <w:bCs/>
                <w:color w:val="000000"/>
                <w:sz w:val="16"/>
                <w:szCs w:val="16"/>
              </w:rPr>
            </w:pPr>
            <w:r w:rsidRPr="00D96063">
              <w:rPr>
                <w:rFonts w:eastAsia="Times New Roman" w:cs="Calibri"/>
                <w:bCs/>
                <w:color w:val="000000"/>
                <w:sz w:val="16"/>
                <w:szCs w:val="16"/>
              </w:rPr>
              <w:t>23</w:t>
            </w:r>
          </w:p>
        </w:tc>
        <w:tc>
          <w:tcPr>
            <w:tcW w:w="528" w:type="pct"/>
            <w:tcBorders>
              <w:top w:val="nil"/>
              <w:left w:val="single" w:sz="4" w:space="0" w:color="auto"/>
              <w:bottom w:val="nil"/>
              <w:right w:val="single" w:sz="4" w:space="0" w:color="auto"/>
            </w:tcBorders>
            <w:tcMar>
              <w:top w:w="0" w:type="dxa"/>
              <w:left w:w="57" w:type="dxa"/>
              <w:bottom w:w="0" w:type="dxa"/>
              <w:right w:w="57" w:type="dxa"/>
            </w:tcMar>
            <w:hideMark/>
          </w:tcPr>
          <w:p w14:paraId="446A440F"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3,656</w:t>
            </w:r>
          </w:p>
        </w:tc>
        <w:tc>
          <w:tcPr>
            <w:tcW w:w="556" w:type="pct"/>
            <w:tcBorders>
              <w:top w:val="nil"/>
              <w:left w:val="single" w:sz="4" w:space="0" w:color="auto"/>
              <w:bottom w:val="nil"/>
              <w:right w:val="single" w:sz="4" w:space="0" w:color="auto"/>
            </w:tcBorders>
            <w:tcMar>
              <w:top w:w="0" w:type="dxa"/>
              <w:left w:w="57" w:type="dxa"/>
              <w:bottom w:w="0" w:type="dxa"/>
              <w:right w:w="57" w:type="dxa"/>
            </w:tcMar>
            <w:hideMark/>
          </w:tcPr>
          <w:p w14:paraId="3BC1DA67"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1,380</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16E46AED"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1,957</w:t>
            </w:r>
          </w:p>
        </w:tc>
        <w:tc>
          <w:tcPr>
            <w:tcW w:w="617" w:type="pct"/>
            <w:tcBorders>
              <w:top w:val="nil"/>
              <w:left w:val="single" w:sz="4" w:space="0" w:color="auto"/>
              <w:bottom w:val="nil"/>
              <w:right w:val="single" w:sz="4" w:space="0" w:color="auto"/>
            </w:tcBorders>
            <w:tcMar>
              <w:top w:w="0" w:type="dxa"/>
              <w:left w:w="57" w:type="dxa"/>
              <w:bottom w:w="0" w:type="dxa"/>
              <w:right w:w="57" w:type="dxa"/>
            </w:tcMar>
            <w:hideMark/>
          </w:tcPr>
          <w:p w14:paraId="53E6C0D7" w14:textId="77777777" w:rsidR="00C15F2E" w:rsidRPr="00D96063" w:rsidRDefault="00C15F2E" w:rsidP="00A8139E">
            <w:pPr>
              <w:ind w:right="397" w:firstLineChars="100" w:firstLine="160"/>
              <w:jc w:val="right"/>
              <w:rPr>
                <w:rFonts w:eastAsia="Times New Roman" w:cs="Calibri"/>
                <w:bCs/>
                <w:color w:val="000000"/>
                <w:sz w:val="16"/>
                <w:szCs w:val="16"/>
              </w:rPr>
            </w:pPr>
            <w:r w:rsidRPr="00D96063">
              <w:rPr>
                <w:rFonts w:eastAsia="Times New Roman" w:cs="Calibri"/>
                <w:bCs/>
                <w:color w:val="000000"/>
                <w:sz w:val="16"/>
                <w:szCs w:val="16"/>
              </w:rPr>
              <w:t>22</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5680E187" w14:textId="77777777" w:rsidR="00C15F2E" w:rsidRPr="00D96063" w:rsidRDefault="00C15F2E" w:rsidP="0013519C">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3,359</w:t>
            </w:r>
          </w:p>
        </w:tc>
      </w:tr>
      <w:tr w:rsidR="00C15F2E" w:rsidRPr="00D96063" w14:paraId="4B1F7D36" w14:textId="77777777" w:rsidTr="00A8139E">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52BD1724" w14:textId="77777777" w:rsidR="00C15F2E" w:rsidRPr="00D96063" w:rsidRDefault="00C15F2E" w:rsidP="00053198">
            <w:pPr>
              <w:ind w:right="227"/>
              <w:jc w:val="right"/>
              <w:rPr>
                <w:rFonts w:eastAsia="Times New Roman" w:cs="Calibri"/>
                <w:bCs/>
                <w:color w:val="000000"/>
                <w:sz w:val="16"/>
                <w:szCs w:val="16"/>
              </w:rPr>
            </w:pPr>
            <w:r w:rsidRPr="00D96063">
              <w:rPr>
                <w:rFonts w:eastAsia="Times New Roman" w:cs="Calibri"/>
                <w:bCs/>
                <w:color w:val="000000"/>
                <w:sz w:val="16"/>
                <w:szCs w:val="16"/>
              </w:rPr>
              <w:t>2016</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3B2D8F81"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1,580</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5DE71005" w14:textId="77777777" w:rsidR="00C15F2E" w:rsidRPr="00D96063" w:rsidRDefault="00C15F2E" w:rsidP="00053198">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2,192</w:t>
            </w:r>
          </w:p>
        </w:tc>
        <w:tc>
          <w:tcPr>
            <w:tcW w:w="644" w:type="pct"/>
            <w:tcBorders>
              <w:top w:val="nil"/>
              <w:left w:val="single" w:sz="4" w:space="0" w:color="auto"/>
              <w:bottom w:val="nil"/>
              <w:right w:val="single" w:sz="4" w:space="0" w:color="auto"/>
            </w:tcBorders>
            <w:tcMar>
              <w:top w:w="0" w:type="dxa"/>
              <w:left w:w="57" w:type="dxa"/>
              <w:bottom w:w="0" w:type="dxa"/>
              <w:right w:w="57" w:type="dxa"/>
            </w:tcMar>
            <w:hideMark/>
          </w:tcPr>
          <w:p w14:paraId="045E6696" w14:textId="77777777" w:rsidR="00C15F2E" w:rsidRPr="00D96063" w:rsidRDefault="00C15F2E" w:rsidP="00A8139E">
            <w:pPr>
              <w:ind w:right="454" w:firstLineChars="100" w:firstLine="160"/>
              <w:jc w:val="right"/>
              <w:rPr>
                <w:rFonts w:eastAsia="Times New Roman" w:cs="Calibri"/>
                <w:bCs/>
                <w:color w:val="000000"/>
                <w:sz w:val="16"/>
                <w:szCs w:val="16"/>
              </w:rPr>
            </w:pPr>
            <w:r w:rsidRPr="00D96063">
              <w:rPr>
                <w:rFonts w:eastAsia="Times New Roman" w:cs="Calibri"/>
                <w:bCs/>
                <w:color w:val="000000"/>
                <w:sz w:val="16"/>
                <w:szCs w:val="16"/>
              </w:rPr>
              <w:t>23</w:t>
            </w:r>
          </w:p>
        </w:tc>
        <w:tc>
          <w:tcPr>
            <w:tcW w:w="528" w:type="pct"/>
            <w:tcBorders>
              <w:top w:val="nil"/>
              <w:left w:val="single" w:sz="4" w:space="0" w:color="auto"/>
              <w:bottom w:val="nil"/>
              <w:right w:val="single" w:sz="4" w:space="0" w:color="auto"/>
            </w:tcBorders>
            <w:tcMar>
              <w:top w:w="0" w:type="dxa"/>
              <w:left w:w="57" w:type="dxa"/>
              <w:bottom w:w="0" w:type="dxa"/>
              <w:right w:w="57" w:type="dxa"/>
            </w:tcMar>
            <w:hideMark/>
          </w:tcPr>
          <w:p w14:paraId="34924902"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3,795</w:t>
            </w:r>
          </w:p>
        </w:tc>
        <w:tc>
          <w:tcPr>
            <w:tcW w:w="556" w:type="pct"/>
            <w:tcBorders>
              <w:top w:val="nil"/>
              <w:left w:val="single" w:sz="4" w:space="0" w:color="auto"/>
              <w:bottom w:val="nil"/>
              <w:right w:val="single" w:sz="4" w:space="0" w:color="auto"/>
            </w:tcBorders>
            <w:tcMar>
              <w:top w:w="0" w:type="dxa"/>
              <w:left w:w="57" w:type="dxa"/>
              <w:bottom w:w="0" w:type="dxa"/>
              <w:right w:w="57" w:type="dxa"/>
            </w:tcMar>
            <w:hideMark/>
          </w:tcPr>
          <w:p w14:paraId="6B079443"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1,380</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1CCFB392"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2,119</w:t>
            </w:r>
          </w:p>
        </w:tc>
        <w:tc>
          <w:tcPr>
            <w:tcW w:w="617" w:type="pct"/>
            <w:tcBorders>
              <w:top w:val="nil"/>
              <w:left w:val="single" w:sz="4" w:space="0" w:color="auto"/>
              <w:bottom w:val="nil"/>
              <w:right w:val="single" w:sz="4" w:space="0" w:color="auto"/>
            </w:tcBorders>
            <w:tcMar>
              <w:top w:w="0" w:type="dxa"/>
              <w:left w:w="57" w:type="dxa"/>
              <w:bottom w:w="0" w:type="dxa"/>
              <w:right w:w="57" w:type="dxa"/>
            </w:tcMar>
            <w:hideMark/>
          </w:tcPr>
          <w:p w14:paraId="6728AACC" w14:textId="77777777" w:rsidR="00C15F2E" w:rsidRPr="00D96063" w:rsidRDefault="00C15F2E" w:rsidP="00A8139E">
            <w:pPr>
              <w:ind w:right="397" w:firstLineChars="100" w:firstLine="160"/>
              <w:jc w:val="right"/>
              <w:rPr>
                <w:rFonts w:eastAsia="Times New Roman" w:cs="Calibri"/>
                <w:bCs/>
                <w:color w:val="000000"/>
                <w:sz w:val="16"/>
                <w:szCs w:val="16"/>
              </w:rPr>
            </w:pPr>
            <w:r w:rsidRPr="00D96063">
              <w:rPr>
                <w:rFonts w:eastAsia="Times New Roman" w:cs="Calibri"/>
                <w:bCs/>
                <w:color w:val="000000"/>
                <w:sz w:val="16"/>
                <w:szCs w:val="16"/>
              </w:rPr>
              <w:t>22</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1E2D4E3F" w14:textId="77777777" w:rsidR="00C15F2E" w:rsidRPr="00D96063" w:rsidRDefault="00C15F2E" w:rsidP="0013519C">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3,521</w:t>
            </w:r>
          </w:p>
        </w:tc>
      </w:tr>
      <w:tr w:rsidR="00BE526B" w:rsidRPr="00D96063" w14:paraId="018CD817" w14:textId="77777777" w:rsidTr="00A8139E">
        <w:trPr>
          <w:cnfStyle w:val="000000010000" w:firstRow="0" w:lastRow="0" w:firstColumn="0" w:lastColumn="0" w:oddVBand="0" w:evenVBand="0" w:oddHBand="0" w:evenHBand="1" w:firstRowFirstColumn="0" w:firstRowLastColumn="0" w:lastRowFirstColumn="0" w:lastRowLastColumn="0"/>
        </w:trPr>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12134E8C" w14:textId="77777777" w:rsidR="00C15F2E" w:rsidRPr="00D96063" w:rsidRDefault="00C15F2E" w:rsidP="00053198">
            <w:pPr>
              <w:ind w:right="227"/>
              <w:jc w:val="right"/>
              <w:rPr>
                <w:rFonts w:eastAsia="Times New Roman" w:cs="Calibri"/>
                <w:bCs/>
                <w:color w:val="000000"/>
                <w:sz w:val="16"/>
                <w:szCs w:val="16"/>
              </w:rPr>
            </w:pPr>
            <w:r w:rsidRPr="00D96063">
              <w:rPr>
                <w:rFonts w:eastAsia="Times New Roman" w:cs="Calibri"/>
                <w:bCs/>
                <w:sz w:val="16"/>
                <w:szCs w:val="16"/>
              </w:rPr>
              <w:t>2017</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09B900BE"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sz w:val="16"/>
                <w:szCs w:val="16"/>
              </w:rPr>
              <w:t>1,580</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195E2F20" w14:textId="77777777" w:rsidR="00C15F2E" w:rsidRPr="00D96063" w:rsidRDefault="00C15F2E" w:rsidP="00053198">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2,785</w:t>
            </w:r>
          </w:p>
        </w:tc>
        <w:tc>
          <w:tcPr>
            <w:tcW w:w="644" w:type="pct"/>
            <w:tcBorders>
              <w:top w:val="nil"/>
              <w:left w:val="single" w:sz="4" w:space="0" w:color="auto"/>
              <w:bottom w:val="nil"/>
              <w:right w:val="single" w:sz="4" w:space="0" w:color="auto"/>
            </w:tcBorders>
            <w:tcMar>
              <w:top w:w="0" w:type="dxa"/>
              <w:left w:w="57" w:type="dxa"/>
              <w:bottom w:w="0" w:type="dxa"/>
              <w:right w:w="57" w:type="dxa"/>
            </w:tcMar>
            <w:hideMark/>
          </w:tcPr>
          <w:p w14:paraId="4D4297A5" w14:textId="77777777" w:rsidR="00C15F2E" w:rsidRPr="00D96063" w:rsidRDefault="00C15F2E" w:rsidP="00A8139E">
            <w:pPr>
              <w:ind w:right="454" w:firstLineChars="100" w:firstLine="160"/>
              <w:jc w:val="right"/>
              <w:rPr>
                <w:rFonts w:eastAsia="Times New Roman" w:cs="Calibri"/>
                <w:bCs/>
                <w:color w:val="000000"/>
                <w:sz w:val="16"/>
                <w:szCs w:val="16"/>
              </w:rPr>
            </w:pPr>
            <w:r w:rsidRPr="00D96063">
              <w:rPr>
                <w:rFonts w:eastAsia="Times New Roman" w:cs="Calibri"/>
                <w:bCs/>
                <w:color w:val="000000"/>
                <w:sz w:val="16"/>
                <w:szCs w:val="16"/>
              </w:rPr>
              <w:t>23</w:t>
            </w:r>
          </w:p>
        </w:tc>
        <w:tc>
          <w:tcPr>
            <w:tcW w:w="528" w:type="pct"/>
            <w:tcBorders>
              <w:top w:val="nil"/>
              <w:left w:val="single" w:sz="4" w:space="0" w:color="auto"/>
              <w:bottom w:val="nil"/>
              <w:right w:val="single" w:sz="4" w:space="0" w:color="auto"/>
            </w:tcBorders>
            <w:tcMar>
              <w:top w:w="0" w:type="dxa"/>
              <w:left w:w="57" w:type="dxa"/>
              <w:bottom w:w="0" w:type="dxa"/>
              <w:right w:w="57" w:type="dxa"/>
            </w:tcMar>
            <w:hideMark/>
          </w:tcPr>
          <w:p w14:paraId="0EC0778D"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4,388</w:t>
            </w:r>
          </w:p>
        </w:tc>
        <w:tc>
          <w:tcPr>
            <w:tcW w:w="556" w:type="pct"/>
            <w:tcBorders>
              <w:top w:val="nil"/>
              <w:left w:val="single" w:sz="4" w:space="0" w:color="auto"/>
              <w:bottom w:val="nil"/>
              <w:right w:val="single" w:sz="4" w:space="0" w:color="auto"/>
            </w:tcBorders>
            <w:tcMar>
              <w:top w:w="0" w:type="dxa"/>
              <w:left w:w="57" w:type="dxa"/>
              <w:bottom w:w="0" w:type="dxa"/>
              <w:right w:w="57" w:type="dxa"/>
            </w:tcMar>
            <w:hideMark/>
          </w:tcPr>
          <w:p w14:paraId="08B71133"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1,380</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721B951C"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2,568</w:t>
            </w:r>
          </w:p>
        </w:tc>
        <w:tc>
          <w:tcPr>
            <w:tcW w:w="617" w:type="pct"/>
            <w:tcBorders>
              <w:top w:val="nil"/>
              <w:left w:val="single" w:sz="4" w:space="0" w:color="auto"/>
              <w:bottom w:val="nil"/>
              <w:right w:val="single" w:sz="4" w:space="0" w:color="auto"/>
            </w:tcBorders>
            <w:tcMar>
              <w:top w:w="0" w:type="dxa"/>
              <w:left w:w="57" w:type="dxa"/>
              <w:bottom w:w="0" w:type="dxa"/>
              <w:right w:w="57" w:type="dxa"/>
            </w:tcMar>
            <w:hideMark/>
          </w:tcPr>
          <w:p w14:paraId="27344D3B" w14:textId="77777777" w:rsidR="00C15F2E" w:rsidRPr="00D96063" w:rsidRDefault="00C15F2E" w:rsidP="00A8139E">
            <w:pPr>
              <w:ind w:right="397" w:firstLineChars="100" w:firstLine="160"/>
              <w:jc w:val="right"/>
              <w:rPr>
                <w:rFonts w:eastAsia="Times New Roman" w:cs="Calibri"/>
                <w:bCs/>
                <w:color w:val="000000"/>
                <w:sz w:val="16"/>
                <w:szCs w:val="16"/>
              </w:rPr>
            </w:pPr>
            <w:r w:rsidRPr="00D96063">
              <w:rPr>
                <w:rFonts w:eastAsia="Times New Roman" w:cs="Calibri"/>
                <w:bCs/>
                <w:color w:val="000000"/>
                <w:sz w:val="16"/>
                <w:szCs w:val="16"/>
              </w:rPr>
              <w:t>18</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1C83A63B" w14:textId="77777777" w:rsidR="00C15F2E" w:rsidRPr="00D96063" w:rsidRDefault="00C15F2E" w:rsidP="0013519C">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3,966</w:t>
            </w:r>
          </w:p>
        </w:tc>
      </w:tr>
      <w:tr w:rsidR="00C15F2E" w:rsidRPr="00D96063" w14:paraId="4189EB8F" w14:textId="77777777" w:rsidTr="00BE526B">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134A95BE" w14:textId="77777777" w:rsidR="00C15F2E" w:rsidRPr="00D96063" w:rsidRDefault="00C15F2E" w:rsidP="00053198">
            <w:pPr>
              <w:ind w:right="227"/>
              <w:jc w:val="right"/>
              <w:rPr>
                <w:rFonts w:eastAsia="Times New Roman" w:cs="Calibri"/>
                <w:bCs/>
                <w:color w:val="000000"/>
                <w:sz w:val="16"/>
                <w:szCs w:val="16"/>
              </w:rPr>
            </w:pPr>
            <w:r w:rsidRPr="00D96063">
              <w:rPr>
                <w:rFonts w:eastAsia="Times New Roman" w:cs="Calibri"/>
                <w:bCs/>
                <w:color w:val="000000"/>
                <w:sz w:val="16"/>
                <w:szCs w:val="16"/>
              </w:rPr>
              <w:t>2018</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2F5F5405"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1,580</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7727196B" w14:textId="77777777" w:rsidR="00C15F2E" w:rsidRPr="00D96063" w:rsidRDefault="00C15F2E" w:rsidP="00053198">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3,266</w:t>
            </w:r>
          </w:p>
        </w:tc>
        <w:tc>
          <w:tcPr>
            <w:tcW w:w="644" w:type="pct"/>
            <w:tcBorders>
              <w:top w:val="nil"/>
              <w:left w:val="single" w:sz="4" w:space="0" w:color="auto"/>
              <w:bottom w:val="nil"/>
              <w:right w:val="single" w:sz="4" w:space="0" w:color="auto"/>
            </w:tcBorders>
            <w:tcMar>
              <w:top w:w="0" w:type="dxa"/>
              <w:left w:w="57" w:type="dxa"/>
              <w:bottom w:w="0" w:type="dxa"/>
              <w:right w:w="57" w:type="dxa"/>
            </w:tcMar>
            <w:hideMark/>
          </w:tcPr>
          <w:p w14:paraId="32071F03" w14:textId="77777777" w:rsidR="00C15F2E" w:rsidRPr="00D96063" w:rsidRDefault="00C15F2E" w:rsidP="00A8139E">
            <w:pPr>
              <w:ind w:right="454" w:firstLineChars="100" w:firstLine="160"/>
              <w:jc w:val="right"/>
              <w:rPr>
                <w:rFonts w:eastAsia="Times New Roman" w:cs="Calibri"/>
                <w:bCs/>
                <w:color w:val="000000"/>
                <w:sz w:val="16"/>
                <w:szCs w:val="16"/>
              </w:rPr>
            </w:pPr>
            <w:r w:rsidRPr="00D96063">
              <w:rPr>
                <w:rFonts w:eastAsia="Times New Roman" w:cs="Calibri"/>
                <w:bCs/>
                <w:color w:val="000000"/>
                <w:sz w:val="16"/>
                <w:szCs w:val="16"/>
              </w:rPr>
              <w:t>43</w:t>
            </w:r>
          </w:p>
        </w:tc>
        <w:tc>
          <w:tcPr>
            <w:tcW w:w="528" w:type="pct"/>
            <w:tcBorders>
              <w:top w:val="nil"/>
              <w:left w:val="single" w:sz="4" w:space="0" w:color="auto"/>
              <w:bottom w:val="nil"/>
              <w:right w:val="single" w:sz="4" w:space="0" w:color="auto"/>
            </w:tcBorders>
            <w:tcMar>
              <w:top w:w="0" w:type="dxa"/>
              <w:left w:w="57" w:type="dxa"/>
              <w:bottom w:w="0" w:type="dxa"/>
              <w:right w:w="57" w:type="dxa"/>
            </w:tcMar>
            <w:hideMark/>
          </w:tcPr>
          <w:p w14:paraId="563D7EFE"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4,889</w:t>
            </w:r>
          </w:p>
        </w:tc>
        <w:tc>
          <w:tcPr>
            <w:tcW w:w="556" w:type="pct"/>
            <w:tcBorders>
              <w:top w:val="nil"/>
              <w:left w:val="single" w:sz="4" w:space="0" w:color="auto"/>
              <w:bottom w:val="nil"/>
              <w:right w:val="single" w:sz="4" w:space="0" w:color="auto"/>
            </w:tcBorders>
            <w:tcMar>
              <w:top w:w="0" w:type="dxa"/>
              <w:left w:w="57" w:type="dxa"/>
              <w:bottom w:w="0" w:type="dxa"/>
              <w:right w:w="57" w:type="dxa"/>
            </w:tcMar>
            <w:hideMark/>
          </w:tcPr>
          <w:p w14:paraId="103DCC5D"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1,380</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2DD5C974"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3,058</w:t>
            </w:r>
          </w:p>
        </w:tc>
        <w:tc>
          <w:tcPr>
            <w:tcW w:w="617" w:type="pct"/>
            <w:tcBorders>
              <w:top w:val="nil"/>
              <w:left w:val="single" w:sz="4" w:space="0" w:color="auto"/>
              <w:bottom w:val="nil"/>
              <w:right w:val="single" w:sz="4" w:space="0" w:color="auto"/>
            </w:tcBorders>
            <w:tcMar>
              <w:top w:w="0" w:type="dxa"/>
              <w:left w:w="57" w:type="dxa"/>
              <w:bottom w:w="0" w:type="dxa"/>
              <w:right w:w="57" w:type="dxa"/>
            </w:tcMar>
            <w:hideMark/>
          </w:tcPr>
          <w:p w14:paraId="7D9E2D6C" w14:textId="77777777" w:rsidR="00C15F2E" w:rsidRPr="00D96063" w:rsidRDefault="00C15F2E" w:rsidP="00A8139E">
            <w:pPr>
              <w:ind w:right="397" w:firstLineChars="100" w:firstLine="160"/>
              <w:jc w:val="right"/>
              <w:rPr>
                <w:rFonts w:eastAsia="Times New Roman" w:cs="Calibri"/>
                <w:bCs/>
                <w:color w:val="000000"/>
                <w:sz w:val="16"/>
                <w:szCs w:val="16"/>
              </w:rPr>
            </w:pPr>
            <w:r w:rsidRPr="00D96063">
              <w:rPr>
                <w:rFonts w:eastAsia="Times New Roman" w:cs="Calibri"/>
                <w:bCs/>
                <w:color w:val="000000"/>
                <w:sz w:val="16"/>
                <w:szCs w:val="16"/>
              </w:rPr>
              <w:t>34</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3841709C" w14:textId="77777777" w:rsidR="00C15F2E" w:rsidRPr="00D96063" w:rsidRDefault="00C15F2E" w:rsidP="0013519C">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4,472</w:t>
            </w:r>
          </w:p>
        </w:tc>
      </w:tr>
      <w:tr w:rsidR="00BE526B" w:rsidRPr="00D96063" w14:paraId="77CBF48E" w14:textId="77777777" w:rsidTr="00BE526B">
        <w:trPr>
          <w:cnfStyle w:val="000000010000" w:firstRow="0" w:lastRow="0" w:firstColumn="0" w:lastColumn="0" w:oddVBand="0" w:evenVBand="0" w:oddHBand="0" w:evenHBand="1" w:firstRowFirstColumn="0" w:firstRowLastColumn="0" w:lastRowFirstColumn="0" w:lastRowLastColumn="0"/>
        </w:trPr>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631EB373" w14:textId="77777777" w:rsidR="00C15F2E" w:rsidRPr="00D96063" w:rsidRDefault="00C15F2E" w:rsidP="00053198">
            <w:pPr>
              <w:ind w:right="227"/>
              <w:jc w:val="right"/>
              <w:rPr>
                <w:rFonts w:eastAsia="Times New Roman" w:cs="Calibri"/>
                <w:bCs/>
                <w:color w:val="000000"/>
                <w:sz w:val="16"/>
                <w:szCs w:val="16"/>
              </w:rPr>
            </w:pPr>
            <w:r w:rsidRPr="00D96063">
              <w:rPr>
                <w:rFonts w:eastAsia="Times New Roman" w:cs="Calibri"/>
                <w:bCs/>
                <w:sz w:val="16"/>
                <w:szCs w:val="16"/>
              </w:rPr>
              <w:t>2019</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2BD72F33"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sz w:val="16"/>
                <w:szCs w:val="16"/>
              </w:rPr>
              <w:t>1,580</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793A8AFF" w14:textId="77777777" w:rsidR="00C15F2E" w:rsidRPr="00D96063" w:rsidRDefault="00C15F2E" w:rsidP="00053198">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3,549</w:t>
            </w:r>
          </w:p>
        </w:tc>
        <w:tc>
          <w:tcPr>
            <w:tcW w:w="644" w:type="pct"/>
            <w:tcBorders>
              <w:top w:val="nil"/>
              <w:left w:val="single" w:sz="4" w:space="0" w:color="auto"/>
              <w:bottom w:val="nil"/>
              <w:right w:val="single" w:sz="4" w:space="0" w:color="auto"/>
            </w:tcBorders>
            <w:tcMar>
              <w:top w:w="0" w:type="dxa"/>
              <w:left w:w="57" w:type="dxa"/>
              <w:bottom w:w="0" w:type="dxa"/>
              <w:right w:w="57" w:type="dxa"/>
            </w:tcMar>
            <w:hideMark/>
          </w:tcPr>
          <w:p w14:paraId="55F33FD0" w14:textId="77777777" w:rsidR="00C15F2E" w:rsidRPr="00D96063" w:rsidRDefault="00C15F2E" w:rsidP="00A8139E">
            <w:pPr>
              <w:ind w:right="454" w:firstLineChars="100" w:firstLine="160"/>
              <w:jc w:val="right"/>
              <w:rPr>
                <w:rFonts w:eastAsia="Times New Roman" w:cs="Calibri"/>
                <w:bCs/>
                <w:color w:val="000000"/>
                <w:sz w:val="16"/>
                <w:szCs w:val="16"/>
              </w:rPr>
            </w:pPr>
            <w:r w:rsidRPr="00D96063">
              <w:rPr>
                <w:rFonts w:eastAsia="Times New Roman" w:cs="Calibri"/>
                <w:bCs/>
                <w:color w:val="000000"/>
                <w:sz w:val="16"/>
                <w:szCs w:val="16"/>
              </w:rPr>
              <w:t>43</w:t>
            </w:r>
          </w:p>
        </w:tc>
        <w:tc>
          <w:tcPr>
            <w:tcW w:w="528" w:type="pct"/>
            <w:tcBorders>
              <w:top w:val="nil"/>
              <w:left w:val="single" w:sz="4" w:space="0" w:color="auto"/>
              <w:bottom w:val="nil"/>
              <w:right w:val="single" w:sz="4" w:space="0" w:color="auto"/>
            </w:tcBorders>
            <w:tcMar>
              <w:top w:w="0" w:type="dxa"/>
              <w:left w:w="57" w:type="dxa"/>
              <w:bottom w:w="0" w:type="dxa"/>
              <w:right w:w="57" w:type="dxa"/>
            </w:tcMar>
            <w:hideMark/>
          </w:tcPr>
          <w:p w14:paraId="6FE3ED0B"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5,172</w:t>
            </w:r>
          </w:p>
        </w:tc>
        <w:tc>
          <w:tcPr>
            <w:tcW w:w="556" w:type="pct"/>
            <w:tcBorders>
              <w:top w:val="nil"/>
              <w:left w:val="single" w:sz="4" w:space="0" w:color="auto"/>
              <w:bottom w:val="nil"/>
              <w:right w:val="single" w:sz="4" w:space="0" w:color="auto"/>
            </w:tcBorders>
            <w:tcMar>
              <w:top w:w="0" w:type="dxa"/>
              <w:left w:w="57" w:type="dxa"/>
              <w:bottom w:w="0" w:type="dxa"/>
              <w:right w:w="57" w:type="dxa"/>
            </w:tcMar>
            <w:hideMark/>
          </w:tcPr>
          <w:p w14:paraId="1609C113"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1,365</w:t>
            </w:r>
          </w:p>
        </w:tc>
        <w:tc>
          <w:tcPr>
            <w:tcW w:w="555" w:type="pct"/>
            <w:tcBorders>
              <w:top w:val="nil"/>
              <w:left w:val="single" w:sz="4" w:space="0" w:color="auto"/>
              <w:bottom w:val="nil"/>
              <w:right w:val="single" w:sz="4" w:space="0" w:color="auto"/>
            </w:tcBorders>
            <w:tcMar>
              <w:top w:w="0" w:type="dxa"/>
              <w:left w:w="57" w:type="dxa"/>
              <w:bottom w:w="0" w:type="dxa"/>
              <w:right w:w="57" w:type="dxa"/>
            </w:tcMar>
            <w:hideMark/>
          </w:tcPr>
          <w:p w14:paraId="0F40B5F8"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3,296</w:t>
            </w:r>
          </w:p>
        </w:tc>
        <w:tc>
          <w:tcPr>
            <w:tcW w:w="617" w:type="pct"/>
            <w:tcBorders>
              <w:top w:val="nil"/>
              <w:left w:val="single" w:sz="4" w:space="0" w:color="auto"/>
              <w:bottom w:val="nil"/>
              <w:right w:val="single" w:sz="4" w:space="0" w:color="auto"/>
            </w:tcBorders>
            <w:tcMar>
              <w:top w:w="0" w:type="dxa"/>
              <w:left w:w="57" w:type="dxa"/>
              <w:bottom w:w="0" w:type="dxa"/>
              <w:right w:w="57" w:type="dxa"/>
            </w:tcMar>
            <w:hideMark/>
          </w:tcPr>
          <w:p w14:paraId="4091AA2F" w14:textId="77777777" w:rsidR="00C15F2E" w:rsidRPr="00D96063" w:rsidRDefault="00C15F2E" w:rsidP="00A8139E">
            <w:pPr>
              <w:ind w:right="397" w:firstLineChars="100" w:firstLine="160"/>
              <w:jc w:val="right"/>
              <w:rPr>
                <w:rFonts w:eastAsia="Times New Roman" w:cs="Calibri"/>
                <w:bCs/>
                <w:color w:val="000000"/>
                <w:sz w:val="16"/>
                <w:szCs w:val="16"/>
              </w:rPr>
            </w:pPr>
            <w:r w:rsidRPr="00D96063">
              <w:rPr>
                <w:rFonts w:eastAsia="Times New Roman" w:cs="Calibri"/>
                <w:bCs/>
                <w:color w:val="000000"/>
                <w:sz w:val="16"/>
                <w:szCs w:val="16"/>
              </w:rPr>
              <w:t>34</w:t>
            </w:r>
          </w:p>
        </w:tc>
        <w:tc>
          <w:tcPr>
            <w:tcW w:w="495" w:type="pct"/>
            <w:tcBorders>
              <w:top w:val="nil"/>
              <w:left w:val="single" w:sz="4" w:space="0" w:color="auto"/>
              <w:bottom w:val="nil"/>
              <w:right w:val="single" w:sz="4" w:space="0" w:color="auto"/>
            </w:tcBorders>
            <w:tcMar>
              <w:top w:w="0" w:type="dxa"/>
              <w:left w:w="57" w:type="dxa"/>
              <w:bottom w:w="0" w:type="dxa"/>
              <w:right w:w="57" w:type="dxa"/>
            </w:tcMar>
            <w:hideMark/>
          </w:tcPr>
          <w:p w14:paraId="2F3AA4AB" w14:textId="77777777" w:rsidR="00C15F2E" w:rsidRPr="00D96063" w:rsidRDefault="00C15F2E" w:rsidP="0013519C">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4,695</w:t>
            </w:r>
          </w:p>
        </w:tc>
      </w:tr>
      <w:tr w:rsidR="00C15F2E" w:rsidRPr="00D96063" w14:paraId="6090633B" w14:textId="77777777" w:rsidTr="00BE526B">
        <w:tc>
          <w:tcPr>
            <w:tcW w:w="555"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6671F3E1" w14:textId="77777777" w:rsidR="00C15F2E" w:rsidRPr="00D96063" w:rsidRDefault="00C15F2E" w:rsidP="00053198">
            <w:pPr>
              <w:ind w:right="227"/>
              <w:jc w:val="right"/>
              <w:rPr>
                <w:rFonts w:eastAsia="Times New Roman" w:cs="Calibri"/>
                <w:bCs/>
                <w:color w:val="000000"/>
                <w:sz w:val="16"/>
                <w:szCs w:val="16"/>
              </w:rPr>
            </w:pPr>
            <w:r w:rsidRPr="00D96063">
              <w:rPr>
                <w:rFonts w:eastAsia="Times New Roman" w:cs="Calibri"/>
                <w:bCs/>
                <w:color w:val="000000"/>
                <w:sz w:val="16"/>
                <w:szCs w:val="16"/>
              </w:rPr>
              <w:t>2020</w:t>
            </w:r>
          </w:p>
        </w:tc>
        <w:tc>
          <w:tcPr>
            <w:tcW w:w="555"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3CA5E82A"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1,580</w:t>
            </w:r>
          </w:p>
        </w:tc>
        <w:tc>
          <w:tcPr>
            <w:tcW w:w="495"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43C85C8A" w14:textId="77777777" w:rsidR="00C15F2E" w:rsidRPr="00D96063" w:rsidRDefault="00C15F2E" w:rsidP="00053198">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3,649</w:t>
            </w:r>
          </w:p>
        </w:tc>
        <w:tc>
          <w:tcPr>
            <w:tcW w:w="644"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7892E655" w14:textId="77777777" w:rsidR="00C15F2E" w:rsidRPr="00D96063" w:rsidRDefault="00C15F2E" w:rsidP="00A8139E">
            <w:pPr>
              <w:ind w:right="454" w:firstLineChars="100" w:firstLine="160"/>
              <w:jc w:val="right"/>
              <w:rPr>
                <w:rFonts w:eastAsia="Times New Roman" w:cs="Calibri"/>
                <w:bCs/>
                <w:color w:val="000000"/>
                <w:sz w:val="16"/>
                <w:szCs w:val="16"/>
              </w:rPr>
            </w:pPr>
            <w:r w:rsidRPr="00D96063">
              <w:rPr>
                <w:rFonts w:eastAsia="Times New Roman" w:cs="Calibri"/>
                <w:bCs/>
                <w:color w:val="000000"/>
                <w:sz w:val="16"/>
                <w:szCs w:val="16"/>
              </w:rPr>
              <w:t>59</w:t>
            </w:r>
          </w:p>
        </w:tc>
        <w:tc>
          <w:tcPr>
            <w:tcW w:w="528"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369B40AB"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5,288</w:t>
            </w:r>
          </w:p>
        </w:tc>
        <w:tc>
          <w:tcPr>
            <w:tcW w:w="556"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7D0CA846"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1,400</w:t>
            </w:r>
          </w:p>
        </w:tc>
        <w:tc>
          <w:tcPr>
            <w:tcW w:w="555"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69A0828F" w14:textId="77777777" w:rsidR="00C15F2E" w:rsidRPr="00D96063" w:rsidRDefault="00C15F2E" w:rsidP="00053198">
            <w:pPr>
              <w:ind w:right="170" w:firstLineChars="100" w:firstLine="160"/>
              <w:jc w:val="right"/>
              <w:rPr>
                <w:rFonts w:eastAsia="Times New Roman" w:cs="Calibri"/>
                <w:bCs/>
                <w:color w:val="000000"/>
                <w:sz w:val="16"/>
                <w:szCs w:val="16"/>
              </w:rPr>
            </w:pPr>
            <w:r w:rsidRPr="00D96063">
              <w:rPr>
                <w:rFonts w:eastAsia="Times New Roman" w:cs="Calibri"/>
                <w:bCs/>
                <w:color w:val="000000"/>
                <w:sz w:val="16"/>
                <w:szCs w:val="16"/>
              </w:rPr>
              <w:t>3,395</w:t>
            </w:r>
          </w:p>
        </w:tc>
        <w:tc>
          <w:tcPr>
            <w:tcW w:w="617"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4DBD8EFA" w14:textId="77777777" w:rsidR="00C15F2E" w:rsidRPr="00D96063" w:rsidRDefault="00C15F2E" w:rsidP="00A8139E">
            <w:pPr>
              <w:ind w:right="397" w:firstLineChars="100" w:firstLine="160"/>
              <w:jc w:val="right"/>
              <w:rPr>
                <w:rFonts w:eastAsia="Times New Roman" w:cs="Calibri"/>
                <w:bCs/>
                <w:color w:val="000000"/>
                <w:sz w:val="16"/>
                <w:szCs w:val="16"/>
              </w:rPr>
            </w:pPr>
            <w:r w:rsidRPr="00D96063">
              <w:rPr>
                <w:rFonts w:eastAsia="Times New Roman" w:cs="Calibri"/>
                <w:bCs/>
                <w:color w:val="000000"/>
                <w:sz w:val="16"/>
                <w:szCs w:val="16"/>
              </w:rPr>
              <w:t>34</w:t>
            </w:r>
          </w:p>
        </w:tc>
        <w:tc>
          <w:tcPr>
            <w:tcW w:w="495"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7C22DD4A" w14:textId="77777777" w:rsidR="00C15F2E" w:rsidRPr="00D96063" w:rsidRDefault="00C15F2E" w:rsidP="0013519C">
            <w:pPr>
              <w:ind w:right="113" w:firstLineChars="100" w:firstLine="160"/>
              <w:jc w:val="right"/>
              <w:rPr>
                <w:rFonts w:eastAsia="Times New Roman" w:cs="Calibri"/>
                <w:bCs/>
                <w:color w:val="000000"/>
                <w:sz w:val="16"/>
                <w:szCs w:val="16"/>
              </w:rPr>
            </w:pPr>
            <w:r w:rsidRPr="00D96063">
              <w:rPr>
                <w:rFonts w:eastAsia="Times New Roman" w:cs="Calibri"/>
                <w:bCs/>
                <w:color w:val="000000"/>
                <w:sz w:val="16"/>
                <w:szCs w:val="16"/>
              </w:rPr>
              <w:t>4,842</w:t>
            </w:r>
          </w:p>
        </w:tc>
      </w:tr>
    </w:tbl>
    <w:p w14:paraId="1E3BB84F" w14:textId="1122FE2C" w:rsidR="00C15F2E" w:rsidRPr="00D96063" w:rsidRDefault="00C15F2E" w:rsidP="00A8139E">
      <w:pPr>
        <w:pStyle w:val="NoteText"/>
        <w:spacing w:before="120" w:after="120"/>
      </w:pPr>
      <w:r w:rsidRPr="00D96063">
        <w:t>Source:</w:t>
      </w:r>
      <w:r w:rsidRPr="00D96063">
        <w:tab/>
        <w:t xml:space="preserve">EC (2021), </w:t>
      </w:r>
      <w:r w:rsidRPr="00D96063">
        <w:rPr>
          <w:i/>
          <w:iCs/>
        </w:rPr>
        <w:t>National Energy Statistics 2021 Edition</w:t>
      </w:r>
      <w:r w:rsidRPr="00D96063">
        <w:t>.</w:t>
      </w:r>
    </w:p>
    <w:p w14:paraId="741A7B6C" w14:textId="77777777" w:rsidR="00C15F2E" w:rsidRPr="00D96063" w:rsidRDefault="00C15F2E" w:rsidP="00D868BF">
      <w:pPr>
        <w:pStyle w:val="BodyText"/>
      </w:pPr>
      <w:r w:rsidRPr="00D96063">
        <w:lastRenderedPageBreak/>
        <w:t>The main power generating companies are the state-owned Volta River Authority and the Bui Power Authority. Electricity generation is open to competition, including foreign, and licensed and regulated by the EC; procedures for licensing are available on the EC's website. Under Act 541, only one entity can hold the transmission licence at any one time and the state-owned Ghana Grid Company (GRIDCO) is the current holder.</w:t>
      </w:r>
      <w:r w:rsidRPr="00D96063">
        <w:rPr>
          <w:rStyle w:val="FootnoteReference"/>
          <w:rFonts w:cs="Verdana"/>
          <w:color w:val="000000"/>
          <w:szCs w:val="18"/>
        </w:rPr>
        <w:t xml:space="preserve"> </w:t>
      </w:r>
      <w:r w:rsidRPr="00D96063">
        <w:rPr>
          <w:rStyle w:val="FootnoteReference"/>
          <w:rFonts w:cs="Verdana"/>
          <w:color w:val="000000"/>
          <w:szCs w:val="18"/>
        </w:rPr>
        <w:footnoteReference w:id="175"/>
      </w:r>
    </w:p>
    <w:p w14:paraId="36FDDE70" w14:textId="51180566" w:rsidR="00C15F2E" w:rsidRPr="00D96063" w:rsidRDefault="00C15F2E" w:rsidP="00D868BF">
      <w:pPr>
        <w:pStyle w:val="Caption"/>
      </w:pPr>
      <w:bookmarkStart w:id="218" w:name="_Toc103607907"/>
      <w:r w:rsidRPr="00D96063">
        <w:t xml:space="preserve">Table </w:t>
      </w:r>
      <w:fldSimple w:instr=" STYLEREF 1 \s ">
        <w:r w:rsidR="004B63B1">
          <w:rPr>
            <w:noProof/>
          </w:rPr>
          <w:t>4</w:t>
        </w:r>
      </w:fldSimple>
      <w:r w:rsidR="00BF3184">
        <w:t>.</w:t>
      </w:r>
      <w:fldSimple w:instr=" SEQ Table \* ARABIC \s 1 ">
        <w:r w:rsidR="004B63B1">
          <w:rPr>
            <w:noProof/>
          </w:rPr>
          <w:t>11</w:t>
        </w:r>
      </w:fldSimple>
      <w:r w:rsidRPr="00D96063">
        <w:t xml:space="preserve"> Electricity generation and trade, 2014-20</w:t>
      </w:r>
      <w:bookmarkEnd w:id="218"/>
    </w:p>
    <w:p w14:paraId="444B406F" w14:textId="77777777" w:rsidR="00C15F2E" w:rsidRPr="00D96063" w:rsidRDefault="00C15F2E" w:rsidP="00D868BF">
      <w:pPr>
        <w:pStyle w:val="NoteText"/>
      </w:pPr>
      <w:r w:rsidRPr="00D96063">
        <w:t>(GWh)</w:t>
      </w:r>
    </w:p>
    <w:tbl>
      <w:tblPr>
        <w:tblStyle w:val="WTOTable1"/>
        <w:tblW w:w="0" w:type="auto"/>
        <w:tblLook w:val="04A0" w:firstRow="1" w:lastRow="0" w:firstColumn="1" w:lastColumn="0" w:noHBand="0" w:noVBand="1"/>
      </w:tblPr>
      <w:tblGrid>
        <w:gridCol w:w="1095"/>
        <w:gridCol w:w="1980"/>
        <w:gridCol w:w="1980"/>
        <w:gridCol w:w="1980"/>
        <w:gridCol w:w="1981"/>
      </w:tblGrid>
      <w:tr w:rsidR="00C15F2E" w:rsidRPr="00D96063" w14:paraId="577CBCBF" w14:textId="77777777" w:rsidTr="0013519C">
        <w:trPr>
          <w:cnfStyle w:val="100000000000" w:firstRow="1" w:lastRow="0" w:firstColumn="0" w:lastColumn="0" w:oddVBand="0" w:evenVBand="0" w:oddHBand="0" w:evenHBand="0" w:firstRowFirstColumn="0" w:firstRowLastColumn="0" w:lastRowFirstColumn="0" w:lastRowLastColumn="0"/>
          <w:tblHeader/>
        </w:trPr>
        <w:tc>
          <w:tcPr>
            <w:tcW w:w="1095" w:type="dxa"/>
          </w:tcPr>
          <w:p w14:paraId="15F3C2AF" w14:textId="77777777" w:rsidR="00C15F2E" w:rsidRPr="00D96063" w:rsidRDefault="00C15F2E" w:rsidP="00053198">
            <w:pPr>
              <w:rPr>
                <w:color w:val="FFFFFF" w:themeColor="background1"/>
                <w:sz w:val="16"/>
              </w:rPr>
            </w:pPr>
          </w:p>
        </w:tc>
        <w:tc>
          <w:tcPr>
            <w:tcW w:w="1980" w:type="dxa"/>
            <w:hideMark/>
          </w:tcPr>
          <w:p w14:paraId="43807DAE" w14:textId="77777777" w:rsidR="00C15F2E" w:rsidRPr="00D96063" w:rsidRDefault="00C15F2E" w:rsidP="00053198">
            <w:pPr>
              <w:jc w:val="center"/>
              <w:rPr>
                <w:color w:val="FFFFFF" w:themeColor="background1"/>
                <w:sz w:val="16"/>
              </w:rPr>
            </w:pPr>
            <w:r w:rsidRPr="00D96063">
              <w:rPr>
                <w:color w:val="FFFFFF" w:themeColor="background1"/>
                <w:sz w:val="16"/>
              </w:rPr>
              <w:t>Imports</w:t>
            </w:r>
          </w:p>
        </w:tc>
        <w:tc>
          <w:tcPr>
            <w:tcW w:w="1980" w:type="dxa"/>
            <w:hideMark/>
          </w:tcPr>
          <w:p w14:paraId="33624857" w14:textId="77777777" w:rsidR="00C15F2E" w:rsidRPr="00D96063" w:rsidRDefault="00C15F2E" w:rsidP="00053198">
            <w:pPr>
              <w:jc w:val="center"/>
              <w:rPr>
                <w:color w:val="FFFFFF" w:themeColor="background1"/>
                <w:sz w:val="16"/>
              </w:rPr>
            </w:pPr>
            <w:r w:rsidRPr="00D96063">
              <w:rPr>
                <w:color w:val="FFFFFF" w:themeColor="background1"/>
                <w:sz w:val="16"/>
              </w:rPr>
              <w:t>Exports</w:t>
            </w:r>
          </w:p>
        </w:tc>
        <w:tc>
          <w:tcPr>
            <w:tcW w:w="1980" w:type="dxa"/>
            <w:hideMark/>
          </w:tcPr>
          <w:p w14:paraId="5C7DFA0F" w14:textId="77777777" w:rsidR="00C15F2E" w:rsidRPr="00D96063" w:rsidRDefault="00C15F2E" w:rsidP="00053198">
            <w:pPr>
              <w:jc w:val="center"/>
              <w:rPr>
                <w:color w:val="FFFFFF" w:themeColor="background1"/>
                <w:sz w:val="16"/>
              </w:rPr>
            </w:pPr>
            <w:r w:rsidRPr="00D96063">
              <w:rPr>
                <w:color w:val="FFFFFF" w:themeColor="background1"/>
                <w:sz w:val="16"/>
              </w:rPr>
              <w:t>Net exports</w:t>
            </w:r>
          </w:p>
        </w:tc>
        <w:tc>
          <w:tcPr>
            <w:tcW w:w="1981" w:type="dxa"/>
            <w:hideMark/>
          </w:tcPr>
          <w:p w14:paraId="67EF0416" w14:textId="77777777" w:rsidR="00C15F2E" w:rsidRPr="00D96063" w:rsidRDefault="00C15F2E" w:rsidP="00053198">
            <w:pPr>
              <w:jc w:val="center"/>
              <w:rPr>
                <w:color w:val="FFFFFF" w:themeColor="background1"/>
                <w:sz w:val="16"/>
              </w:rPr>
            </w:pPr>
            <w:r w:rsidRPr="00D96063">
              <w:rPr>
                <w:color w:val="FFFFFF" w:themeColor="background1"/>
                <w:sz w:val="16"/>
              </w:rPr>
              <w:t>Generation</w:t>
            </w:r>
          </w:p>
        </w:tc>
      </w:tr>
      <w:tr w:rsidR="00C15F2E" w:rsidRPr="00D96063" w14:paraId="2769E606" w14:textId="77777777" w:rsidTr="00053198">
        <w:tc>
          <w:tcPr>
            <w:tcW w:w="1095" w:type="dxa"/>
            <w:hideMark/>
          </w:tcPr>
          <w:p w14:paraId="6761D5C8" w14:textId="77777777" w:rsidR="00C15F2E" w:rsidRPr="00D96063" w:rsidRDefault="00C15F2E" w:rsidP="00053198">
            <w:pPr>
              <w:rPr>
                <w:sz w:val="16"/>
                <w:szCs w:val="16"/>
              </w:rPr>
            </w:pPr>
            <w:r w:rsidRPr="00D96063">
              <w:rPr>
                <w:sz w:val="16"/>
                <w:szCs w:val="16"/>
              </w:rPr>
              <w:t>2014</w:t>
            </w:r>
          </w:p>
        </w:tc>
        <w:tc>
          <w:tcPr>
            <w:tcW w:w="1980" w:type="dxa"/>
            <w:hideMark/>
          </w:tcPr>
          <w:p w14:paraId="2F53572A" w14:textId="77777777" w:rsidR="00C15F2E" w:rsidRPr="00D96063" w:rsidRDefault="00C15F2E" w:rsidP="003B702C">
            <w:pPr>
              <w:ind w:right="680"/>
              <w:jc w:val="right"/>
              <w:rPr>
                <w:sz w:val="16"/>
                <w:szCs w:val="16"/>
              </w:rPr>
            </w:pPr>
            <w:r w:rsidRPr="00D96063">
              <w:rPr>
                <w:sz w:val="16"/>
                <w:szCs w:val="16"/>
              </w:rPr>
              <w:t>51</w:t>
            </w:r>
          </w:p>
        </w:tc>
        <w:tc>
          <w:tcPr>
            <w:tcW w:w="1980" w:type="dxa"/>
            <w:hideMark/>
          </w:tcPr>
          <w:p w14:paraId="2B43A340" w14:textId="77777777" w:rsidR="00C15F2E" w:rsidRPr="00D96063" w:rsidRDefault="00C15F2E" w:rsidP="003B702C">
            <w:pPr>
              <w:ind w:right="680"/>
              <w:jc w:val="right"/>
              <w:rPr>
                <w:sz w:val="16"/>
                <w:szCs w:val="16"/>
              </w:rPr>
            </w:pPr>
            <w:r w:rsidRPr="00D96063">
              <w:rPr>
                <w:sz w:val="16"/>
                <w:szCs w:val="16"/>
              </w:rPr>
              <w:t>522</w:t>
            </w:r>
          </w:p>
        </w:tc>
        <w:tc>
          <w:tcPr>
            <w:tcW w:w="1980" w:type="dxa"/>
            <w:hideMark/>
          </w:tcPr>
          <w:p w14:paraId="5CDAA28B" w14:textId="77777777" w:rsidR="00C15F2E" w:rsidRPr="00D96063" w:rsidRDefault="00C15F2E" w:rsidP="003B702C">
            <w:pPr>
              <w:ind w:right="680"/>
              <w:jc w:val="right"/>
              <w:rPr>
                <w:sz w:val="16"/>
                <w:szCs w:val="16"/>
              </w:rPr>
            </w:pPr>
            <w:r w:rsidRPr="00D96063">
              <w:rPr>
                <w:sz w:val="16"/>
                <w:szCs w:val="16"/>
              </w:rPr>
              <w:t>471</w:t>
            </w:r>
          </w:p>
        </w:tc>
        <w:tc>
          <w:tcPr>
            <w:tcW w:w="1981" w:type="dxa"/>
            <w:hideMark/>
          </w:tcPr>
          <w:p w14:paraId="4A9A9599" w14:textId="77777777" w:rsidR="00C15F2E" w:rsidRPr="00D96063" w:rsidRDefault="00C15F2E" w:rsidP="00053198">
            <w:pPr>
              <w:ind w:right="454"/>
              <w:jc w:val="right"/>
              <w:rPr>
                <w:sz w:val="16"/>
                <w:szCs w:val="16"/>
              </w:rPr>
            </w:pPr>
            <w:r w:rsidRPr="00D96063">
              <w:rPr>
                <w:sz w:val="16"/>
                <w:szCs w:val="16"/>
              </w:rPr>
              <w:t>12,963</w:t>
            </w:r>
          </w:p>
        </w:tc>
      </w:tr>
      <w:tr w:rsidR="00C15F2E" w:rsidRPr="00D96063" w14:paraId="7F8675FF" w14:textId="77777777" w:rsidTr="00053198">
        <w:trPr>
          <w:cnfStyle w:val="000000010000" w:firstRow="0" w:lastRow="0" w:firstColumn="0" w:lastColumn="0" w:oddVBand="0" w:evenVBand="0" w:oddHBand="0" w:evenHBand="1" w:firstRowFirstColumn="0" w:firstRowLastColumn="0" w:lastRowFirstColumn="0" w:lastRowLastColumn="0"/>
        </w:trPr>
        <w:tc>
          <w:tcPr>
            <w:tcW w:w="1095" w:type="dxa"/>
            <w:hideMark/>
          </w:tcPr>
          <w:p w14:paraId="24AA4D0C" w14:textId="77777777" w:rsidR="00C15F2E" w:rsidRPr="00D96063" w:rsidRDefault="00C15F2E" w:rsidP="00053198">
            <w:pPr>
              <w:rPr>
                <w:sz w:val="16"/>
                <w:szCs w:val="16"/>
              </w:rPr>
            </w:pPr>
            <w:r w:rsidRPr="00D96063">
              <w:rPr>
                <w:sz w:val="16"/>
                <w:szCs w:val="16"/>
              </w:rPr>
              <w:t>2015</w:t>
            </w:r>
          </w:p>
        </w:tc>
        <w:tc>
          <w:tcPr>
            <w:tcW w:w="1980" w:type="dxa"/>
            <w:hideMark/>
          </w:tcPr>
          <w:p w14:paraId="345A892C" w14:textId="77777777" w:rsidR="00C15F2E" w:rsidRPr="00D96063" w:rsidRDefault="00C15F2E" w:rsidP="003B702C">
            <w:pPr>
              <w:ind w:right="680"/>
              <w:jc w:val="right"/>
              <w:rPr>
                <w:sz w:val="16"/>
                <w:szCs w:val="16"/>
              </w:rPr>
            </w:pPr>
            <w:r w:rsidRPr="00D96063">
              <w:rPr>
                <w:sz w:val="16"/>
                <w:szCs w:val="16"/>
              </w:rPr>
              <w:t>223</w:t>
            </w:r>
          </w:p>
        </w:tc>
        <w:tc>
          <w:tcPr>
            <w:tcW w:w="1980" w:type="dxa"/>
            <w:hideMark/>
          </w:tcPr>
          <w:p w14:paraId="104D1F39" w14:textId="77777777" w:rsidR="00C15F2E" w:rsidRPr="00D96063" w:rsidRDefault="00C15F2E" w:rsidP="003B702C">
            <w:pPr>
              <w:ind w:right="680"/>
              <w:jc w:val="right"/>
              <w:rPr>
                <w:sz w:val="16"/>
                <w:szCs w:val="16"/>
              </w:rPr>
            </w:pPr>
            <w:r w:rsidRPr="00D96063">
              <w:rPr>
                <w:sz w:val="16"/>
                <w:szCs w:val="16"/>
              </w:rPr>
              <w:t>587</w:t>
            </w:r>
          </w:p>
        </w:tc>
        <w:tc>
          <w:tcPr>
            <w:tcW w:w="1980" w:type="dxa"/>
            <w:hideMark/>
          </w:tcPr>
          <w:p w14:paraId="79B3970F" w14:textId="77777777" w:rsidR="00C15F2E" w:rsidRPr="00D96063" w:rsidRDefault="00C15F2E" w:rsidP="003B702C">
            <w:pPr>
              <w:ind w:right="680"/>
              <w:jc w:val="right"/>
              <w:rPr>
                <w:sz w:val="16"/>
                <w:szCs w:val="16"/>
              </w:rPr>
            </w:pPr>
            <w:r w:rsidRPr="00D96063">
              <w:rPr>
                <w:sz w:val="16"/>
                <w:szCs w:val="16"/>
              </w:rPr>
              <w:t>364</w:t>
            </w:r>
          </w:p>
        </w:tc>
        <w:tc>
          <w:tcPr>
            <w:tcW w:w="1981" w:type="dxa"/>
            <w:hideMark/>
          </w:tcPr>
          <w:p w14:paraId="79B713FB" w14:textId="77777777" w:rsidR="00C15F2E" w:rsidRPr="00D96063" w:rsidRDefault="00C15F2E" w:rsidP="00053198">
            <w:pPr>
              <w:ind w:right="454"/>
              <w:jc w:val="right"/>
              <w:rPr>
                <w:sz w:val="16"/>
                <w:szCs w:val="16"/>
              </w:rPr>
            </w:pPr>
            <w:r w:rsidRPr="00D96063">
              <w:rPr>
                <w:sz w:val="16"/>
                <w:szCs w:val="16"/>
              </w:rPr>
              <w:t>11,491</w:t>
            </w:r>
          </w:p>
        </w:tc>
      </w:tr>
      <w:tr w:rsidR="00C15F2E" w:rsidRPr="00D96063" w14:paraId="166C6289" w14:textId="77777777" w:rsidTr="00053198">
        <w:tc>
          <w:tcPr>
            <w:tcW w:w="1095" w:type="dxa"/>
            <w:hideMark/>
          </w:tcPr>
          <w:p w14:paraId="6469B48A" w14:textId="77777777" w:rsidR="00C15F2E" w:rsidRPr="00D96063" w:rsidRDefault="00C15F2E" w:rsidP="00053198">
            <w:pPr>
              <w:rPr>
                <w:sz w:val="16"/>
                <w:szCs w:val="16"/>
              </w:rPr>
            </w:pPr>
            <w:r w:rsidRPr="00D96063">
              <w:rPr>
                <w:sz w:val="16"/>
                <w:szCs w:val="16"/>
              </w:rPr>
              <w:t>2016</w:t>
            </w:r>
          </w:p>
        </w:tc>
        <w:tc>
          <w:tcPr>
            <w:tcW w:w="1980" w:type="dxa"/>
            <w:hideMark/>
          </w:tcPr>
          <w:p w14:paraId="46400A8B" w14:textId="77777777" w:rsidR="00C15F2E" w:rsidRPr="00D96063" w:rsidRDefault="00C15F2E" w:rsidP="003B702C">
            <w:pPr>
              <w:ind w:right="680"/>
              <w:jc w:val="right"/>
              <w:rPr>
                <w:sz w:val="16"/>
                <w:szCs w:val="16"/>
              </w:rPr>
            </w:pPr>
            <w:r w:rsidRPr="00D96063">
              <w:rPr>
                <w:sz w:val="16"/>
                <w:szCs w:val="16"/>
              </w:rPr>
              <w:t>745</w:t>
            </w:r>
          </w:p>
        </w:tc>
        <w:tc>
          <w:tcPr>
            <w:tcW w:w="1980" w:type="dxa"/>
            <w:hideMark/>
          </w:tcPr>
          <w:p w14:paraId="21E14C5E" w14:textId="77777777" w:rsidR="00C15F2E" w:rsidRPr="00D96063" w:rsidRDefault="00C15F2E" w:rsidP="003B702C">
            <w:pPr>
              <w:ind w:right="680"/>
              <w:jc w:val="right"/>
              <w:rPr>
                <w:sz w:val="16"/>
                <w:szCs w:val="16"/>
              </w:rPr>
            </w:pPr>
            <w:r w:rsidRPr="00D96063">
              <w:rPr>
                <w:sz w:val="16"/>
                <w:szCs w:val="16"/>
              </w:rPr>
              <w:t>187</w:t>
            </w:r>
          </w:p>
        </w:tc>
        <w:tc>
          <w:tcPr>
            <w:tcW w:w="1980" w:type="dxa"/>
            <w:hideMark/>
          </w:tcPr>
          <w:p w14:paraId="5B3B6BC4" w14:textId="77777777" w:rsidR="00C15F2E" w:rsidRPr="00D96063" w:rsidRDefault="00C15F2E" w:rsidP="003B702C">
            <w:pPr>
              <w:ind w:right="680"/>
              <w:jc w:val="right"/>
              <w:rPr>
                <w:sz w:val="16"/>
                <w:szCs w:val="16"/>
              </w:rPr>
            </w:pPr>
            <w:r w:rsidRPr="00D96063">
              <w:rPr>
                <w:sz w:val="16"/>
                <w:szCs w:val="16"/>
              </w:rPr>
              <w:t>-558</w:t>
            </w:r>
          </w:p>
        </w:tc>
        <w:tc>
          <w:tcPr>
            <w:tcW w:w="1981" w:type="dxa"/>
            <w:hideMark/>
          </w:tcPr>
          <w:p w14:paraId="11A23232" w14:textId="77777777" w:rsidR="00C15F2E" w:rsidRPr="00D96063" w:rsidRDefault="00C15F2E" w:rsidP="00053198">
            <w:pPr>
              <w:ind w:right="454"/>
              <w:jc w:val="right"/>
              <w:rPr>
                <w:sz w:val="16"/>
                <w:szCs w:val="16"/>
              </w:rPr>
            </w:pPr>
            <w:r w:rsidRPr="00D96063">
              <w:rPr>
                <w:sz w:val="16"/>
                <w:szCs w:val="16"/>
              </w:rPr>
              <w:t>13,023</w:t>
            </w:r>
          </w:p>
        </w:tc>
      </w:tr>
      <w:tr w:rsidR="00C15F2E" w:rsidRPr="00D96063" w14:paraId="6E864978" w14:textId="77777777" w:rsidTr="00053198">
        <w:trPr>
          <w:cnfStyle w:val="000000010000" w:firstRow="0" w:lastRow="0" w:firstColumn="0" w:lastColumn="0" w:oddVBand="0" w:evenVBand="0" w:oddHBand="0" w:evenHBand="1" w:firstRowFirstColumn="0" w:firstRowLastColumn="0" w:lastRowFirstColumn="0" w:lastRowLastColumn="0"/>
        </w:trPr>
        <w:tc>
          <w:tcPr>
            <w:tcW w:w="1095" w:type="dxa"/>
            <w:hideMark/>
          </w:tcPr>
          <w:p w14:paraId="570CE85A" w14:textId="77777777" w:rsidR="00C15F2E" w:rsidRPr="00D96063" w:rsidRDefault="00C15F2E" w:rsidP="00053198">
            <w:pPr>
              <w:rPr>
                <w:sz w:val="16"/>
                <w:szCs w:val="16"/>
              </w:rPr>
            </w:pPr>
            <w:r w:rsidRPr="00D96063">
              <w:rPr>
                <w:sz w:val="16"/>
                <w:szCs w:val="16"/>
              </w:rPr>
              <w:t>2017</w:t>
            </w:r>
          </w:p>
        </w:tc>
        <w:tc>
          <w:tcPr>
            <w:tcW w:w="1980" w:type="dxa"/>
            <w:hideMark/>
          </w:tcPr>
          <w:p w14:paraId="253AA295" w14:textId="77777777" w:rsidR="00C15F2E" w:rsidRPr="00D96063" w:rsidRDefault="00C15F2E" w:rsidP="003B702C">
            <w:pPr>
              <w:ind w:right="680"/>
              <w:jc w:val="right"/>
              <w:rPr>
                <w:sz w:val="16"/>
                <w:szCs w:val="16"/>
              </w:rPr>
            </w:pPr>
            <w:r w:rsidRPr="00D96063">
              <w:rPr>
                <w:sz w:val="16"/>
                <w:szCs w:val="16"/>
              </w:rPr>
              <w:t>320</w:t>
            </w:r>
          </w:p>
        </w:tc>
        <w:tc>
          <w:tcPr>
            <w:tcW w:w="1980" w:type="dxa"/>
            <w:hideMark/>
          </w:tcPr>
          <w:p w14:paraId="557BF875" w14:textId="77777777" w:rsidR="00C15F2E" w:rsidRPr="00D96063" w:rsidRDefault="00C15F2E" w:rsidP="003B702C">
            <w:pPr>
              <w:ind w:right="680"/>
              <w:jc w:val="right"/>
              <w:rPr>
                <w:sz w:val="16"/>
                <w:szCs w:val="16"/>
              </w:rPr>
            </w:pPr>
            <w:r w:rsidRPr="00D96063">
              <w:rPr>
                <w:sz w:val="16"/>
                <w:szCs w:val="16"/>
              </w:rPr>
              <w:t>268</w:t>
            </w:r>
          </w:p>
        </w:tc>
        <w:tc>
          <w:tcPr>
            <w:tcW w:w="1980" w:type="dxa"/>
            <w:hideMark/>
          </w:tcPr>
          <w:p w14:paraId="0FF7818A" w14:textId="77777777" w:rsidR="00C15F2E" w:rsidRPr="00D96063" w:rsidRDefault="00C15F2E" w:rsidP="003B702C">
            <w:pPr>
              <w:ind w:right="680"/>
              <w:jc w:val="right"/>
              <w:rPr>
                <w:sz w:val="16"/>
                <w:szCs w:val="16"/>
              </w:rPr>
            </w:pPr>
            <w:r w:rsidRPr="00D96063">
              <w:rPr>
                <w:sz w:val="16"/>
                <w:szCs w:val="16"/>
              </w:rPr>
              <w:t>-52</w:t>
            </w:r>
          </w:p>
        </w:tc>
        <w:tc>
          <w:tcPr>
            <w:tcW w:w="1981" w:type="dxa"/>
            <w:hideMark/>
          </w:tcPr>
          <w:p w14:paraId="2531473A" w14:textId="77777777" w:rsidR="00C15F2E" w:rsidRPr="00D96063" w:rsidRDefault="00C15F2E" w:rsidP="00053198">
            <w:pPr>
              <w:ind w:right="454"/>
              <w:jc w:val="right"/>
              <w:rPr>
                <w:sz w:val="16"/>
                <w:szCs w:val="16"/>
              </w:rPr>
            </w:pPr>
            <w:r w:rsidRPr="00D96063">
              <w:rPr>
                <w:sz w:val="16"/>
                <w:szCs w:val="16"/>
              </w:rPr>
              <w:t>14,067</w:t>
            </w:r>
          </w:p>
        </w:tc>
      </w:tr>
      <w:tr w:rsidR="00C15F2E" w:rsidRPr="00D96063" w14:paraId="77E3F623" w14:textId="77777777" w:rsidTr="00053198">
        <w:tc>
          <w:tcPr>
            <w:tcW w:w="1095" w:type="dxa"/>
            <w:hideMark/>
          </w:tcPr>
          <w:p w14:paraId="30BD72C9" w14:textId="77777777" w:rsidR="00C15F2E" w:rsidRPr="00D96063" w:rsidRDefault="00C15F2E" w:rsidP="00053198">
            <w:pPr>
              <w:rPr>
                <w:sz w:val="16"/>
                <w:szCs w:val="16"/>
              </w:rPr>
            </w:pPr>
            <w:r w:rsidRPr="00D96063">
              <w:rPr>
                <w:sz w:val="16"/>
                <w:szCs w:val="16"/>
              </w:rPr>
              <w:t>2018</w:t>
            </w:r>
          </w:p>
        </w:tc>
        <w:tc>
          <w:tcPr>
            <w:tcW w:w="1980" w:type="dxa"/>
            <w:hideMark/>
          </w:tcPr>
          <w:p w14:paraId="6EE95BF6" w14:textId="77777777" w:rsidR="00C15F2E" w:rsidRPr="00D96063" w:rsidRDefault="00C15F2E" w:rsidP="003B702C">
            <w:pPr>
              <w:ind w:right="680"/>
              <w:jc w:val="right"/>
              <w:rPr>
                <w:sz w:val="16"/>
                <w:szCs w:val="16"/>
              </w:rPr>
            </w:pPr>
            <w:r w:rsidRPr="00D96063">
              <w:rPr>
                <w:sz w:val="16"/>
                <w:szCs w:val="16"/>
              </w:rPr>
              <w:t>140</w:t>
            </w:r>
          </w:p>
        </w:tc>
        <w:tc>
          <w:tcPr>
            <w:tcW w:w="1980" w:type="dxa"/>
            <w:hideMark/>
          </w:tcPr>
          <w:p w14:paraId="0979EF7F" w14:textId="77777777" w:rsidR="00C15F2E" w:rsidRPr="00D96063" w:rsidRDefault="00C15F2E" w:rsidP="003B702C">
            <w:pPr>
              <w:ind w:right="680"/>
              <w:jc w:val="right"/>
              <w:rPr>
                <w:sz w:val="16"/>
                <w:szCs w:val="16"/>
              </w:rPr>
            </w:pPr>
            <w:r w:rsidRPr="00D96063">
              <w:rPr>
                <w:sz w:val="16"/>
                <w:szCs w:val="16"/>
              </w:rPr>
              <w:t>740</w:t>
            </w:r>
          </w:p>
        </w:tc>
        <w:tc>
          <w:tcPr>
            <w:tcW w:w="1980" w:type="dxa"/>
            <w:hideMark/>
          </w:tcPr>
          <w:p w14:paraId="25E589D2" w14:textId="77777777" w:rsidR="00C15F2E" w:rsidRPr="00D96063" w:rsidRDefault="00C15F2E" w:rsidP="003B702C">
            <w:pPr>
              <w:ind w:right="680"/>
              <w:jc w:val="right"/>
              <w:rPr>
                <w:sz w:val="16"/>
                <w:szCs w:val="16"/>
              </w:rPr>
            </w:pPr>
            <w:r w:rsidRPr="00D96063">
              <w:rPr>
                <w:sz w:val="16"/>
                <w:szCs w:val="16"/>
              </w:rPr>
              <w:t>600</w:t>
            </w:r>
          </w:p>
        </w:tc>
        <w:tc>
          <w:tcPr>
            <w:tcW w:w="1981" w:type="dxa"/>
            <w:hideMark/>
          </w:tcPr>
          <w:p w14:paraId="71E4F6FB" w14:textId="77777777" w:rsidR="00C15F2E" w:rsidRPr="00D96063" w:rsidRDefault="00C15F2E" w:rsidP="00053198">
            <w:pPr>
              <w:ind w:right="454"/>
              <w:jc w:val="right"/>
              <w:rPr>
                <w:sz w:val="16"/>
                <w:szCs w:val="16"/>
              </w:rPr>
            </w:pPr>
            <w:r w:rsidRPr="00D96063">
              <w:rPr>
                <w:sz w:val="16"/>
                <w:szCs w:val="16"/>
              </w:rPr>
              <w:t>16,246</w:t>
            </w:r>
          </w:p>
        </w:tc>
      </w:tr>
      <w:tr w:rsidR="00C15F2E" w:rsidRPr="00D96063" w14:paraId="466CE494" w14:textId="77777777" w:rsidTr="00972A1E">
        <w:trPr>
          <w:cnfStyle w:val="000000010000" w:firstRow="0" w:lastRow="0" w:firstColumn="0" w:lastColumn="0" w:oddVBand="0" w:evenVBand="0" w:oddHBand="0" w:evenHBand="1" w:firstRowFirstColumn="0" w:firstRowLastColumn="0" w:lastRowFirstColumn="0" w:lastRowLastColumn="0"/>
        </w:trPr>
        <w:tc>
          <w:tcPr>
            <w:tcW w:w="1095" w:type="dxa"/>
            <w:tcBorders>
              <w:bottom w:val="nil"/>
            </w:tcBorders>
            <w:hideMark/>
          </w:tcPr>
          <w:p w14:paraId="7F669FC3" w14:textId="77777777" w:rsidR="00C15F2E" w:rsidRPr="00D96063" w:rsidRDefault="00C15F2E" w:rsidP="00053198">
            <w:pPr>
              <w:rPr>
                <w:sz w:val="16"/>
                <w:szCs w:val="16"/>
              </w:rPr>
            </w:pPr>
            <w:r w:rsidRPr="00D96063">
              <w:rPr>
                <w:sz w:val="16"/>
                <w:szCs w:val="16"/>
              </w:rPr>
              <w:t>2019</w:t>
            </w:r>
          </w:p>
        </w:tc>
        <w:tc>
          <w:tcPr>
            <w:tcW w:w="1980" w:type="dxa"/>
            <w:tcBorders>
              <w:bottom w:val="nil"/>
            </w:tcBorders>
            <w:hideMark/>
          </w:tcPr>
          <w:p w14:paraId="1F0BF035" w14:textId="77777777" w:rsidR="00C15F2E" w:rsidRPr="00D96063" w:rsidRDefault="00C15F2E" w:rsidP="003B702C">
            <w:pPr>
              <w:ind w:right="680"/>
              <w:jc w:val="right"/>
              <w:rPr>
                <w:sz w:val="16"/>
                <w:szCs w:val="16"/>
              </w:rPr>
            </w:pPr>
            <w:r w:rsidRPr="00D96063">
              <w:rPr>
                <w:sz w:val="16"/>
                <w:szCs w:val="16"/>
              </w:rPr>
              <w:t>127</w:t>
            </w:r>
          </w:p>
        </w:tc>
        <w:tc>
          <w:tcPr>
            <w:tcW w:w="1980" w:type="dxa"/>
            <w:tcBorders>
              <w:bottom w:val="nil"/>
            </w:tcBorders>
            <w:hideMark/>
          </w:tcPr>
          <w:p w14:paraId="280AD82E" w14:textId="77777777" w:rsidR="00C15F2E" w:rsidRPr="00D96063" w:rsidRDefault="00C15F2E" w:rsidP="003B702C">
            <w:pPr>
              <w:ind w:right="680"/>
              <w:jc w:val="right"/>
              <w:rPr>
                <w:sz w:val="16"/>
                <w:szCs w:val="16"/>
              </w:rPr>
            </w:pPr>
            <w:r w:rsidRPr="00D96063">
              <w:rPr>
                <w:sz w:val="16"/>
                <w:szCs w:val="16"/>
              </w:rPr>
              <w:t>1,430</w:t>
            </w:r>
          </w:p>
        </w:tc>
        <w:tc>
          <w:tcPr>
            <w:tcW w:w="1980" w:type="dxa"/>
            <w:tcBorders>
              <w:bottom w:val="nil"/>
            </w:tcBorders>
            <w:hideMark/>
          </w:tcPr>
          <w:p w14:paraId="431415A8" w14:textId="77777777" w:rsidR="00C15F2E" w:rsidRPr="00D96063" w:rsidRDefault="00C15F2E" w:rsidP="003B702C">
            <w:pPr>
              <w:ind w:right="680"/>
              <w:jc w:val="right"/>
              <w:rPr>
                <w:sz w:val="16"/>
                <w:szCs w:val="16"/>
              </w:rPr>
            </w:pPr>
            <w:r w:rsidRPr="00D96063">
              <w:rPr>
                <w:sz w:val="16"/>
                <w:szCs w:val="16"/>
              </w:rPr>
              <w:t>1,303</w:t>
            </w:r>
          </w:p>
        </w:tc>
        <w:tc>
          <w:tcPr>
            <w:tcW w:w="1981" w:type="dxa"/>
            <w:tcBorders>
              <w:bottom w:val="nil"/>
            </w:tcBorders>
            <w:hideMark/>
          </w:tcPr>
          <w:p w14:paraId="748FA9AA" w14:textId="77777777" w:rsidR="00C15F2E" w:rsidRPr="00D96063" w:rsidRDefault="00C15F2E" w:rsidP="00053198">
            <w:pPr>
              <w:ind w:right="454"/>
              <w:jc w:val="right"/>
              <w:rPr>
                <w:sz w:val="16"/>
                <w:szCs w:val="16"/>
              </w:rPr>
            </w:pPr>
            <w:r w:rsidRPr="00D96063">
              <w:rPr>
                <w:sz w:val="16"/>
                <w:szCs w:val="16"/>
              </w:rPr>
              <w:t>18,188</w:t>
            </w:r>
          </w:p>
        </w:tc>
      </w:tr>
      <w:tr w:rsidR="00C15F2E" w:rsidRPr="00D96063" w14:paraId="6D91E98E" w14:textId="77777777" w:rsidTr="00972A1E">
        <w:tc>
          <w:tcPr>
            <w:tcW w:w="1095" w:type="dxa"/>
            <w:tcBorders>
              <w:top w:val="nil"/>
              <w:bottom w:val="single" w:sz="4" w:space="0" w:color="auto"/>
            </w:tcBorders>
            <w:hideMark/>
          </w:tcPr>
          <w:p w14:paraId="5A89EB7D" w14:textId="77777777" w:rsidR="00C15F2E" w:rsidRPr="00D96063" w:rsidRDefault="00C15F2E" w:rsidP="00053198">
            <w:pPr>
              <w:rPr>
                <w:sz w:val="16"/>
                <w:szCs w:val="16"/>
              </w:rPr>
            </w:pPr>
            <w:r w:rsidRPr="00D96063">
              <w:rPr>
                <w:sz w:val="16"/>
                <w:szCs w:val="16"/>
              </w:rPr>
              <w:t>2020</w:t>
            </w:r>
          </w:p>
        </w:tc>
        <w:tc>
          <w:tcPr>
            <w:tcW w:w="1980" w:type="dxa"/>
            <w:tcBorders>
              <w:top w:val="nil"/>
              <w:bottom w:val="single" w:sz="4" w:space="0" w:color="auto"/>
            </w:tcBorders>
            <w:hideMark/>
          </w:tcPr>
          <w:p w14:paraId="781BFF8F" w14:textId="77777777" w:rsidR="00C15F2E" w:rsidRPr="00D96063" w:rsidRDefault="00C15F2E" w:rsidP="003B702C">
            <w:pPr>
              <w:ind w:right="680"/>
              <w:jc w:val="right"/>
              <w:rPr>
                <w:sz w:val="16"/>
                <w:szCs w:val="16"/>
              </w:rPr>
            </w:pPr>
            <w:r w:rsidRPr="00D96063">
              <w:rPr>
                <w:sz w:val="16"/>
                <w:szCs w:val="16"/>
              </w:rPr>
              <w:t>58</w:t>
            </w:r>
          </w:p>
        </w:tc>
        <w:tc>
          <w:tcPr>
            <w:tcW w:w="1980" w:type="dxa"/>
            <w:tcBorders>
              <w:top w:val="nil"/>
              <w:bottom w:val="single" w:sz="4" w:space="0" w:color="auto"/>
            </w:tcBorders>
            <w:hideMark/>
          </w:tcPr>
          <w:p w14:paraId="65281964" w14:textId="77777777" w:rsidR="00C15F2E" w:rsidRPr="00D96063" w:rsidRDefault="00C15F2E" w:rsidP="003B702C">
            <w:pPr>
              <w:ind w:right="680"/>
              <w:jc w:val="right"/>
              <w:rPr>
                <w:sz w:val="16"/>
                <w:szCs w:val="16"/>
              </w:rPr>
            </w:pPr>
            <w:r w:rsidRPr="00D96063">
              <w:rPr>
                <w:sz w:val="16"/>
                <w:szCs w:val="16"/>
              </w:rPr>
              <w:t>1,801</w:t>
            </w:r>
          </w:p>
        </w:tc>
        <w:tc>
          <w:tcPr>
            <w:tcW w:w="1980" w:type="dxa"/>
            <w:tcBorders>
              <w:top w:val="nil"/>
              <w:bottom w:val="single" w:sz="4" w:space="0" w:color="auto"/>
            </w:tcBorders>
            <w:hideMark/>
          </w:tcPr>
          <w:p w14:paraId="4E6308B0" w14:textId="77777777" w:rsidR="00C15F2E" w:rsidRPr="00D96063" w:rsidRDefault="00C15F2E" w:rsidP="003B702C">
            <w:pPr>
              <w:ind w:right="680"/>
              <w:jc w:val="right"/>
              <w:rPr>
                <w:sz w:val="16"/>
                <w:szCs w:val="16"/>
              </w:rPr>
            </w:pPr>
            <w:r w:rsidRPr="00D96063">
              <w:rPr>
                <w:sz w:val="16"/>
                <w:szCs w:val="16"/>
              </w:rPr>
              <w:t>1,743</w:t>
            </w:r>
          </w:p>
        </w:tc>
        <w:tc>
          <w:tcPr>
            <w:tcW w:w="1981" w:type="dxa"/>
            <w:tcBorders>
              <w:top w:val="nil"/>
              <w:bottom w:val="single" w:sz="4" w:space="0" w:color="auto"/>
            </w:tcBorders>
            <w:hideMark/>
          </w:tcPr>
          <w:p w14:paraId="48512F57" w14:textId="77777777" w:rsidR="00C15F2E" w:rsidRPr="00D96063" w:rsidRDefault="00C15F2E" w:rsidP="00053198">
            <w:pPr>
              <w:ind w:right="454"/>
              <w:jc w:val="right"/>
              <w:rPr>
                <w:sz w:val="16"/>
                <w:szCs w:val="16"/>
              </w:rPr>
            </w:pPr>
            <w:r w:rsidRPr="00D96063">
              <w:rPr>
                <w:sz w:val="16"/>
                <w:szCs w:val="16"/>
              </w:rPr>
              <w:t>20,170</w:t>
            </w:r>
          </w:p>
        </w:tc>
      </w:tr>
    </w:tbl>
    <w:p w14:paraId="11B9DB55" w14:textId="190E9B61" w:rsidR="00C15F2E" w:rsidRPr="00D96063" w:rsidRDefault="00C15F2E" w:rsidP="00D868BF">
      <w:pPr>
        <w:pStyle w:val="NoteText"/>
        <w:spacing w:before="120" w:after="240"/>
      </w:pPr>
      <w:r w:rsidRPr="00D96063">
        <w:t>Source:</w:t>
      </w:r>
      <w:r w:rsidRPr="00D96063">
        <w:tab/>
        <w:t xml:space="preserve">EC, </w:t>
      </w:r>
      <w:r w:rsidRPr="00D96063">
        <w:rPr>
          <w:i/>
          <w:iCs/>
        </w:rPr>
        <w:t>National Energy Statistics (2014-2020).</w:t>
      </w:r>
    </w:p>
    <w:bookmarkEnd w:id="216"/>
    <w:p w14:paraId="22201157" w14:textId="77777777" w:rsidR="00C15F2E" w:rsidRPr="00D96063" w:rsidRDefault="00C15F2E" w:rsidP="00D868BF">
      <w:pPr>
        <w:pStyle w:val="BodyText"/>
      </w:pPr>
      <w:r w:rsidRPr="00D96063">
        <w:t>IPPs are allowed to build, own, and operate power plants in Ghana. IPPs may supply power to meet the needs of distribution companies, bulk customers, or as part of standing reserves to meet the requirements of the licensed Electricity Transmission Utility. In 2019, IPPs had a combined installed capacity of 2820 MW from solar and fossil fuel sources.</w:t>
      </w:r>
    </w:p>
    <w:p w14:paraId="4345F8B1" w14:textId="77777777" w:rsidR="00C15F2E" w:rsidRPr="00D96063" w:rsidRDefault="00C15F2E" w:rsidP="00D868BF">
      <w:pPr>
        <w:pStyle w:val="BodyText"/>
      </w:pPr>
      <w:r w:rsidRPr="00D96063">
        <w:t xml:space="preserve">IPPs can produce for their own consumption, or sell, or both. However, they </w:t>
      </w:r>
      <w:r w:rsidRPr="00D96063">
        <w:rPr>
          <w:rFonts w:cs="Verdana"/>
          <w:color w:val="000000"/>
          <w:szCs w:val="18"/>
        </w:rPr>
        <w:t>can</w:t>
      </w:r>
      <w:r w:rsidRPr="00D96063">
        <w:t xml:space="preserve"> sell directly to "bulk customers" (defined as those with a maximum demand of at least 500 </w:t>
      </w:r>
      <w:r w:rsidRPr="00D96063">
        <w:rPr>
          <w:szCs w:val="20"/>
        </w:rPr>
        <w:t>kilovolt-amperes</w:t>
      </w:r>
      <w:r w:rsidRPr="00D96063">
        <w:t xml:space="preserve"> consistently for a consecutive period of three months or a minimum annual energy consumption of 1 million kilowatt</w:t>
      </w:r>
      <w:r w:rsidRPr="00D96063">
        <w:noBreakHyphen/>
        <w:t>hours)</w:t>
      </w:r>
      <w:r w:rsidRPr="00D96063">
        <w:rPr>
          <w:rStyle w:val="FootnoteReference"/>
          <w:rFonts w:cs="Verdana"/>
          <w:color w:val="000000"/>
          <w:szCs w:val="18"/>
        </w:rPr>
        <w:footnoteReference w:id="176"/>
      </w:r>
      <w:r w:rsidRPr="00D96063">
        <w:t xml:space="preserve">, at negotiated </w:t>
      </w:r>
      <w:r w:rsidRPr="00D96063">
        <w:rPr>
          <w:rFonts w:cs="Verdana"/>
          <w:color w:val="000000"/>
          <w:szCs w:val="18"/>
        </w:rPr>
        <w:t>prices</w:t>
      </w:r>
      <w:r w:rsidRPr="00D96063">
        <w:t xml:space="preserve"> without any pricing control. Alternatively, they can sell into the grid via one of the three distribution companies. Approximately 75% of the market is currently regulated, and another 25% is sold to bulk customers (such as Enclave Power Company (EPC)) at negotiated prices.</w:t>
      </w:r>
    </w:p>
    <w:p w14:paraId="6E628014" w14:textId="77777777" w:rsidR="00C15F2E" w:rsidRPr="00D96063" w:rsidRDefault="00C15F2E" w:rsidP="00D868BF">
      <w:pPr>
        <w:pStyle w:val="BodyText"/>
        <w:rPr>
          <w:shd w:val="clear" w:color="auto" w:fill="FFFFFF"/>
        </w:rPr>
      </w:pPr>
      <w:r w:rsidRPr="00D96063">
        <w:t>Ghana is well endowed</w:t>
      </w:r>
      <w:r w:rsidRPr="00D96063">
        <w:rPr>
          <w:shd w:val="clear" w:color="auto" w:fill="FFFFFF"/>
        </w:rPr>
        <w:t xml:space="preserve"> with renewable energy resources that are yet to be fully exploited. These include biomass, hydropower, wind along the coast, and high solar irradiation. As at 2020, the i</w:t>
      </w:r>
      <w:r w:rsidRPr="00D96063">
        <w:t>nstalled grid-connected renewable capacity from solar and waste sources stood at 59 MW, an increase from 2.5 MW in 2014 (Table 4.11).</w:t>
      </w:r>
      <w:r w:rsidRPr="00D96063">
        <w:rPr>
          <w:rStyle w:val="FootnoteReference"/>
        </w:rPr>
        <w:footnoteReference w:id="177"/>
      </w:r>
    </w:p>
    <w:p w14:paraId="53D8810A" w14:textId="606B9E38" w:rsidR="00C15F2E" w:rsidRPr="00D96063" w:rsidRDefault="00C15F2E" w:rsidP="00D868BF">
      <w:pPr>
        <w:pStyle w:val="BodyText"/>
        <w:rPr>
          <w:shd w:val="clear" w:color="auto" w:fill="FFFFFF"/>
        </w:rPr>
      </w:pPr>
      <w:r w:rsidRPr="00D96063">
        <w:rPr>
          <w:shd w:val="clear" w:color="auto" w:fill="FFFFFF"/>
        </w:rPr>
        <w:t>The Renewable Energy Act, 2011 (Act 832) is intended to create an enabling environment for attracting private sector investment in the renewable energy sector. The Renewable Energy Master Plan (2019</w:t>
      </w:r>
      <w:r w:rsidRPr="00D96063">
        <w:rPr>
          <w:shd w:val="clear" w:color="auto" w:fill="FFFFFF"/>
        </w:rPr>
        <w:noBreakHyphen/>
        <w:t>2030) guides the renewables sector.</w:t>
      </w:r>
      <w:r w:rsidRPr="00D96063">
        <w:rPr>
          <w:rStyle w:val="FootnoteReference"/>
        </w:rPr>
        <w:footnoteReference w:id="178"/>
      </w:r>
      <w:r w:rsidRPr="00D96063">
        <w:rPr>
          <w:shd w:val="clear" w:color="auto" w:fill="FFFFFF"/>
        </w:rPr>
        <w:t xml:space="preserve"> The incentives for solar energy equipment are:  exemption from import duties and zero-rated VAT, and no licen</w:t>
      </w:r>
      <w:r w:rsidR="00BC518F">
        <w:rPr>
          <w:shd w:val="clear" w:color="auto" w:fill="FFFFFF"/>
        </w:rPr>
        <w:t>c</w:t>
      </w:r>
      <w:r w:rsidRPr="00D96063">
        <w:rPr>
          <w:shd w:val="clear" w:color="auto" w:fill="FFFFFF"/>
        </w:rPr>
        <w:t>e fees for solar manufacturing and assembling companies. For wind-powered components, concessional imports duties are set at 5%, and VAT is zero-rated.</w:t>
      </w:r>
    </w:p>
    <w:p w14:paraId="33DB4D8D" w14:textId="77777777" w:rsidR="00C15F2E" w:rsidRPr="00D96063" w:rsidRDefault="00C15F2E" w:rsidP="00D868BF">
      <w:pPr>
        <w:pStyle w:val="BodyText"/>
        <w:rPr>
          <w:rFonts w:ascii="Times New Roman" w:hAnsi="Times New Roman"/>
          <w:sz w:val="20"/>
          <w:shd w:val="clear" w:color="auto" w:fill="FFFFFF"/>
        </w:rPr>
      </w:pPr>
      <w:r w:rsidRPr="00D96063">
        <w:t>Pursuant to the Energy Commission (Local Content and Local Participation, Electricity Supply Industry) Regulations, 2017 (L.I. 2354), a local content policy in the electricity sector stipulates a minimum 60% local content for the supply of goods and services, and minimum indigenous Ghanaian participation</w:t>
      </w:r>
      <w:r w:rsidRPr="00D96063">
        <w:rPr>
          <w:rStyle w:val="FootnoteReference"/>
          <w:color w:val="000000" w:themeColor="text1"/>
        </w:rPr>
        <w:footnoteReference w:id="179"/>
      </w:r>
      <w:r w:rsidRPr="00D96063">
        <w:t xml:space="preserve"> – the target levels (Table 4.12) with respect to local participation are mandatory. New </w:t>
      </w:r>
      <w:r w:rsidRPr="00D96063">
        <w:lastRenderedPageBreak/>
        <w:t>entities must comply from the start, while existing entities have been notified of the deadline for full compliance by December 2022.</w:t>
      </w:r>
    </w:p>
    <w:p w14:paraId="7F3AE9CB" w14:textId="6A23006E" w:rsidR="00C15F2E" w:rsidRPr="00D96063" w:rsidRDefault="00C15F2E" w:rsidP="00D868BF">
      <w:pPr>
        <w:pStyle w:val="BodyText"/>
        <w:rPr>
          <w:color w:val="333333"/>
          <w:shd w:val="clear" w:color="auto" w:fill="FFFFFF"/>
        </w:rPr>
      </w:pPr>
      <w:r w:rsidRPr="00D96063">
        <w:t>Furthermore, investors must comply with defined percentages of utilization of Ghanaian resources, goods, and services in monetary terms for the systematic development of national capacity and capability. A business entity in the electricity supply industry is mandated to secure its legal, insurance, financial, engineering, technical consultancy, maintenance, and ancillary services from Ghanaian institutions; however, according to the EC the latter may partner with a foreign service provider as long as such partner delivers not more than 49% of the value of the required service. Additionally, the purchase of electrical equipment and building materials must be sourced from local manufacturers, with local materials, labour, and services pursuant to L.I. 2354.</w:t>
      </w:r>
    </w:p>
    <w:p w14:paraId="12280D35" w14:textId="290FFD68" w:rsidR="00C15F2E" w:rsidRPr="00D96063" w:rsidRDefault="00C15F2E" w:rsidP="00D868BF">
      <w:pPr>
        <w:pStyle w:val="Caption"/>
      </w:pPr>
      <w:bookmarkStart w:id="219" w:name="_Toc103607908"/>
      <w:r w:rsidRPr="00D96063">
        <w:t xml:space="preserve">Table </w:t>
      </w:r>
      <w:fldSimple w:instr=" STYLEREF 1 \s ">
        <w:r w:rsidR="004B63B1">
          <w:rPr>
            <w:noProof/>
          </w:rPr>
          <w:t>4</w:t>
        </w:r>
      </w:fldSimple>
      <w:r w:rsidR="00BF3184">
        <w:t>.</w:t>
      </w:r>
      <w:fldSimple w:instr=" SEQ Table \* ARABIC \s 1 ">
        <w:r w:rsidR="004B63B1">
          <w:rPr>
            <w:noProof/>
          </w:rPr>
          <w:t>12</w:t>
        </w:r>
      </w:fldSimple>
      <w:r w:rsidRPr="00D96063">
        <w:t xml:space="preserve"> Local participation requirements in the electricity sector</w:t>
      </w:r>
      <w:bookmarkEnd w:id="219"/>
    </w:p>
    <w:p w14:paraId="258F527E" w14:textId="77777777" w:rsidR="00C15F2E" w:rsidRPr="00D96063" w:rsidRDefault="00C15F2E" w:rsidP="00D868BF">
      <w:pPr>
        <w:rPr>
          <w:sz w:val="16"/>
          <w:szCs w:val="16"/>
        </w:rPr>
      </w:pPr>
      <w:r w:rsidRPr="00D96063">
        <w:rPr>
          <w:sz w:val="16"/>
          <w:szCs w:val="16"/>
        </w:rPr>
        <w:t>(%)</w:t>
      </w:r>
    </w:p>
    <w:tbl>
      <w:tblPr>
        <w:tblStyle w:val="WTOTable11"/>
        <w:tblW w:w="5000" w:type="pct"/>
        <w:tblCellMar>
          <w:left w:w="57" w:type="dxa"/>
          <w:right w:w="57" w:type="dxa"/>
        </w:tblCellMar>
        <w:tblLook w:val="04A0" w:firstRow="1" w:lastRow="0" w:firstColumn="1" w:lastColumn="0" w:noHBand="0" w:noVBand="1"/>
      </w:tblPr>
      <w:tblGrid>
        <w:gridCol w:w="2972"/>
        <w:gridCol w:w="3076"/>
        <w:gridCol w:w="2968"/>
      </w:tblGrid>
      <w:tr w:rsidR="00C15F2E" w:rsidRPr="00D96063" w14:paraId="33B7E004" w14:textId="77777777" w:rsidTr="00053198">
        <w:trPr>
          <w:cnfStyle w:val="100000000000" w:firstRow="1" w:lastRow="0" w:firstColumn="0" w:lastColumn="0" w:oddVBand="0" w:evenVBand="0" w:oddHBand="0" w:evenHBand="0" w:firstRowFirstColumn="0" w:firstRowLastColumn="0" w:lastRowFirstColumn="0" w:lastRowLastColumn="0"/>
          <w:tblHeader/>
        </w:trPr>
        <w:tc>
          <w:tcPr>
            <w:tcW w:w="1648" w:type="pct"/>
            <w:tcBorders>
              <w:top w:val="single" w:sz="4" w:space="0" w:color="auto"/>
              <w:left w:val="single" w:sz="4" w:space="0" w:color="auto"/>
              <w:bottom w:val="nil"/>
              <w:right w:val="single" w:sz="4" w:space="0" w:color="auto"/>
            </w:tcBorders>
          </w:tcPr>
          <w:p w14:paraId="065C7402" w14:textId="77777777" w:rsidR="00C15F2E" w:rsidRPr="00D96063" w:rsidRDefault="00C15F2E" w:rsidP="00053198">
            <w:pPr>
              <w:jc w:val="center"/>
              <w:rPr>
                <w:sz w:val="16"/>
                <w:szCs w:val="18"/>
              </w:rPr>
            </w:pPr>
          </w:p>
        </w:tc>
        <w:tc>
          <w:tcPr>
            <w:tcW w:w="1706" w:type="pct"/>
            <w:tcBorders>
              <w:top w:val="single" w:sz="4" w:space="0" w:color="auto"/>
              <w:left w:val="single" w:sz="4" w:space="0" w:color="auto"/>
              <w:bottom w:val="nil"/>
              <w:right w:val="single" w:sz="4" w:space="0" w:color="auto"/>
            </w:tcBorders>
            <w:hideMark/>
          </w:tcPr>
          <w:p w14:paraId="23DB281A" w14:textId="77777777" w:rsidR="00C15F2E" w:rsidRPr="00D96063" w:rsidRDefault="00C15F2E" w:rsidP="00053198">
            <w:pPr>
              <w:jc w:val="center"/>
              <w:rPr>
                <w:sz w:val="16"/>
                <w:szCs w:val="18"/>
              </w:rPr>
            </w:pPr>
            <w:r w:rsidRPr="00D96063">
              <w:rPr>
                <w:sz w:val="16"/>
                <w:szCs w:val="18"/>
              </w:rPr>
              <w:t>Initial level</w:t>
            </w:r>
          </w:p>
        </w:tc>
        <w:tc>
          <w:tcPr>
            <w:tcW w:w="0" w:type="auto"/>
            <w:tcBorders>
              <w:top w:val="single" w:sz="4" w:space="0" w:color="auto"/>
              <w:left w:val="single" w:sz="4" w:space="0" w:color="auto"/>
              <w:bottom w:val="nil"/>
              <w:right w:val="single" w:sz="4" w:space="0" w:color="auto"/>
            </w:tcBorders>
            <w:hideMark/>
          </w:tcPr>
          <w:p w14:paraId="299E29D7" w14:textId="77777777" w:rsidR="00C15F2E" w:rsidRPr="00D96063" w:rsidRDefault="00C15F2E" w:rsidP="00053198">
            <w:pPr>
              <w:jc w:val="center"/>
              <w:rPr>
                <w:sz w:val="16"/>
                <w:szCs w:val="18"/>
              </w:rPr>
            </w:pPr>
            <w:r w:rsidRPr="00D96063">
              <w:rPr>
                <w:sz w:val="16"/>
                <w:szCs w:val="18"/>
              </w:rPr>
              <w:t>Target level after 10 years</w:t>
            </w:r>
          </w:p>
        </w:tc>
      </w:tr>
      <w:tr w:rsidR="00C15F2E" w:rsidRPr="00D96063" w14:paraId="78DED981" w14:textId="77777777" w:rsidTr="00053198">
        <w:tc>
          <w:tcPr>
            <w:tcW w:w="1648" w:type="pct"/>
            <w:tcBorders>
              <w:top w:val="nil"/>
              <w:left w:val="single" w:sz="4" w:space="0" w:color="auto"/>
              <w:bottom w:val="nil"/>
              <w:right w:val="single" w:sz="4" w:space="0" w:color="auto"/>
            </w:tcBorders>
            <w:hideMark/>
          </w:tcPr>
          <w:p w14:paraId="3019DB29" w14:textId="77777777" w:rsidR="00C15F2E" w:rsidRPr="00D96063" w:rsidRDefault="00C15F2E" w:rsidP="00053198">
            <w:pPr>
              <w:rPr>
                <w:sz w:val="16"/>
                <w:szCs w:val="18"/>
              </w:rPr>
            </w:pPr>
            <w:r w:rsidRPr="00D96063">
              <w:rPr>
                <w:sz w:val="16"/>
                <w:szCs w:val="18"/>
              </w:rPr>
              <w:t>Wholesale power supply</w:t>
            </w:r>
          </w:p>
        </w:tc>
        <w:tc>
          <w:tcPr>
            <w:tcW w:w="1706" w:type="pct"/>
            <w:tcBorders>
              <w:top w:val="nil"/>
              <w:left w:val="single" w:sz="4" w:space="0" w:color="auto"/>
              <w:bottom w:val="nil"/>
              <w:right w:val="single" w:sz="4" w:space="0" w:color="auto"/>
            </w:tcBorders>
            <w:hideMark/>
          </w:tcPr>
          <w:p w14:paraId="6AF98856" w14:textId="77777777" w:rsidR="00C15F2E" w:rsidRPr="00D96063" w:rsidRDefault="00C15F2E" w:rsidP="00053198">
            <w:pPr>
              <w:ind w:right="1247"/>
              <w:jc w:val="right"/>
              <w:rPr>
                <w:sz w:val="16"/>
                <w:szCs w:val="18"/>
              </w:rPr>
            </w:pPr>
            <w:r w:rsidRPr="00D96063">
              <w:rPr>
                <w:sz w:val="16"/>
                <w:szCs w:val="18"/>
              </w:rPr>
              <w:t>15</w:t>
            </w:r>
          </w:p>
        </w:tc>
        <w:tc>
          <w:tcPr>
            <w:tcW w:w="0" w:type="auto"/>
            <w:tcBorders>
              <w:top w:val="nil"/>
              <w:left w:val="single" w:sz="4" w:space="0" w:color="auto"/>
              <w:bottom w:val="nil"/>
              <w:right w:val="single" w:sz="4" w:space="0" w:color="auto"/>
            </w:tcBorders>
            <w:hideMark/>
          </w:tcPr>
          <w:p w14:paraId="01F04049" w14:textId="77777777" w:rsidR="00C15F2E" w:rsidRPr="00D96063" w:rsidRDefault="00C15F2E" w:rsidP="00053198">
            <w:pPr>
              <w:ind w:right="1247"/>
              <w:jc w:val="right"/>
              <w:rPr>
                <w:sz w:val="16"/>
                <w:szCs w:val="18"/>
              </w:rPr>
            </w:pPr>
            <w:r w:rsidRPr="00D96063">
              <w:rPr>
                <w:sz w:val="16"/>
                <w:szCs w:val="18"/>
              </w:rPr>
              <w:t>51</w:t>
            </w:r>
          </w:p>
        </w:tc>
      </w:tr>
      <w:tr w:rsidR="00C15F2E" w:rsidRPr="00D96063" w14:paraId="7029A98B" w14:textId="77777777" w:rsidTr="00053198">
        <w:trPr>
          <w:cnfStyle w:val="000000010000" w:firstRow="0" w:lastRow="0" w:firstColumn="0" w:lastColumn="0" w:oddVBand="0" w:evenVBand="0" w:oddHBand="0" w:evenHBand="1" w:firstRowFirstColumn="0" w:firstRowLastColumn="0" w:lastRowFirstColumn="0" w:lastRowLastColumn="0"/>
        </w:trPr>
        <w:tc>
          <w:tcPr>
            <w:tcW w:w="1648" w:type="pct"/>
            <w:tcBorders>
              <w:top w:val="nil"/>
              <w:left w:val="single" w:sz="4" w:space="0" w:color="auto"/>
              <w:bottom w:val="nil"/>
              <w:right w:val="single" w:sz="4" w:space="0" w:color="auto"/>
            </w:tcBorders>
            <w:hideMark/>
          </w:tcPr>
          <w:p w14:paraId="184B116B" w14:textId="77777777" w:rsidR="00C15F2E" w:rsidRPr="00D96063" w:rsidRDefault="00C15F2E" w:rsidP="00053198">
            <w:pPr>
              <w:rPr>
                <w:sz w:val="16"/>
                <w:szCs w:val="18"/>
              </w:rPr>
            </w:pPr>
            <w:r w:rsidRPr="00D96063">
              <w:rPr>
                <w:sz w:val="16"/>
                <w:szCs w:val="18"/>
              </w:rPr>
              <w:t>Renewable energy subsector</w:t>
            </w:r>
          </w:p>
        </w:tc>
        <w:tc>
          <w:tcPr>
            <w:tcW w:w="1706" w:type="pct"/>
            <w:tcBorders>
              <w:top w:val="nil"/>
              <w:left w:val="single" w:sz="4" w:space="0" w:color="auto"/>
              <w:bottom w:val="nil"/>
              <w:right w:val="single" w:sz="4" w:space="0" w:color="auto"/>
            </w:tcBorders>
            <w:hideMark/>
          </w:tcPr>
          <w:p w14:paraId="12E8017A" w14:textId="77777777" w:rsidR="00C15F2E" w:rsidRPr="00D96063" w:rsidRDefault="00C15F2E" w:rsidP="00053198">
            <w:pPr>
              <w:ind w:right="1247"/>
              <w:jc w:val="right"/>
              <w:rPr>
                <w:sz w:val="16"/>
                <w:szCs w:val="18"/>
              </w:rPr>
            </w:pPr>
            <w:r w:rsidRPr="00D96063">
              <w:rPr>
                <w:sz w:val="16"/>
                <w:szCs w:val="18"/>
              </w:rPr>
              <w:t>15</w:t>
            </w:r>
          </w:p>
        </w:tc>
        <w:tc>
          <w:tcPr>
            <w:tcW w:w="0" w:type="auto"/>
            <w:tcBorders>
              <w:top w:val="nil"/>
              <w:left w:val="single" w:sz="4" w:space="0" w:color="auto"/>
              <w:bottom w:val="nil"/>
              <w:right w:val="single" w:sz="4" w:space="0" w:color="auto"/>
            </w:tcBorders>
            <w:hideMark/>
          </w:tcPr>
          <w:p w14:paraId="698D635C" w14:textId="77777777" w:rsidR="00C15F2E" w:rsidRPr="00D96063" w:rsidRDefault="00C15F2E" w:rsidP="00053198">
            <w:pPr>
              <w:ind w:right="1247"/>
              <w:jc w:val="right"/>
              <w:rPr>
                <w:sz w:val="16"/>
                <w:szCs w:val="18"/>
              </w:rPr>
            </w:pPr>
            <w:r w:rsidRPr="00D96063">
              <w:rPr>
                <w:sz w:val="16"/>
                <w:szCs w:val="18"/>
              </w:rPr>
              <w:t>51</w:t>
            </w:r>
          </w:p>
        </w:tc>
      </w:tr>
      <w:tr w:rsidR="00C15F2E" w:rsidRPr="00D96063" w14:paraId="45F4A774" w14:textId="77777777" w:rsidTr="00053198">
        <w:tc>
          <w:tcPr>
            <w:tcW w:w="1648" w:type="pct"/>
            <w:tcBorders>
              <w:top w:val="nil"/>
              <w:left w:val="single" w:sz="4" w:space="0" w:color="auto"/>
              <w:bottom w:val="nil"/>
              <w:right w:val="single" w:sz="4" w:space="0" w:color="auto"/>
            </w:tcBorders>
            <w:hideMark/>
          </w:tcPr>
          <w:p w14:paraId="095A33A2" w14:textId="77777777" w:rsidR="00C15F2E" w:rsidRPr="00D96063" w:rsidRDefault="00C15F2E" w:rsidP="00053198">
            <w:pPr>
              <w:rPr>
                <w:sz w:val="16"/>
                <w:szCs w:val="18"/>
              </w:rPr>
            </w:pPr>
            <w:r w:rsidRPr="00D96063">
              <w:rPr>
                <w:sz w:val="16"/>
                <w:szCs w:val="18"/>
              </w:rPr>
              <w:t>Electricity distribution</w:t>
            </w:r>
          </w:p>
        </w:tc>
        <w:tc>
          <w:tcPr>
            <w:tcW w:w="1706" w:type="pct"/>
            <w:tcBorders>
              <w:top w:val="nil"/>
              <w:left w:val="single" w:sz="4" w:space="0" w:color="auto"/>
              <w:bottom w:val="nil"/>
              <w:right w:val="single" w:sz="4" w:space="0" w:color="auto"/>
            </w:tcBorders>
            <w:hideMark/>
          </w:tcPr>
          <w:p w14:paraId="647B8453" w14:textId="77777777" w:rsidR="00C15F2E" w:rsidRPr="00D96063" w:rsidRDefault="00C15F2E" w:rsidP="00053198">
            <w:pPr>
              <w:ind w:right="1247"/>
              <w:jc w:val="right"/>
              <w:rPr>
                <w:sz w:val="16"/>
                <w:szCs w:val="18"/>
              </w:rPr>
            </w:pPr>
            <w:r w:rsidRPr="00D96063">
              <w:rPr>
                <w:sz w:val="16"/>
                <w:szCs w:val="18"/>
              </w:rPr>
              <w:t>30</w:t>
            </w:r>
          </w:p>
        </w:tc>
        <w:tc>
          <w:tcPr>
            <w:tcW w:w="0" w:type="auto"/>
            <w:tcBorders>
              <w:top w:val="nil"/>
              <w:left w:val="single" w:sz="4" w:space="0" w:color="auto"/>
              <w:bottom w:val="nil"/>
              <w:right w:val="single" w:sz="4" w:space="0" w:color="auto"/>
            </w:tcBorders>
            <w:hideMark/>
          </w:tcPr>
          <w:p w14:paraId="71904003" w14:textId="77777777" w:rsidR="00C15F2E" w:rsidRPr="00D96063" w:rsidRDefault="00C15F2E" w:rsidP="00053198">
            <w:pPr>
              <w:ind w:right="1247"/>
              <w:jc w:val="right"/>
              <w:rPr>
                <w:sz w:val="16"/>
                <w:szCs w:val="18"/>
              </w:rPr>
            </w:pPr>
            <w:r w:rsidRPr="00D96063">
              <w:rPr>
                <w:sz w:val="16"/>
                <w:szCs w:val="18"/>
              </w:rPr>
              <w:t>51</w:t>
            </w:r>
          </w:p>
        </w:tc>
      </w:tr>
      <w:tr w:rsidR="00C15F2E" w:rsidRPr="00D96063" w14:paraId="34253FD5" w14:textId="77777777" w:rsidTr="00053198">
        <w:trPr>
          <w:cnfStyle w:val="000000010000" w:firstRow="0" w:lastRow="0" w:firstColumn="0" w:lastColumn="0" w:oddVBand="0" w:evenVBand="0" w:oddHBand="0" w:evenHBand="1" w:firstRowFirstColumn="0" w:firstRowLastColumn="0" w:lastRowFirstColumn="0" w:lastRowLastColumn="0"/>
        </w:trPr>
        <w:tc>
          <w:tcPr>
            <w:tcW w:w="1648" w:type="pct"/>
            <w:tcBorders>
              <w:top w:val="nil"/>
              <w:left w:val="single" w:sz="4" w:space="0" w:color="auto"/>
              <w:bottom w:val="nil"/>
              <w:right w:val="single" w:sz="4" w:space="0" w:color="auto"/>
            </w:tcBorders>
            <w:hideMark/>
          </w:tcPr>
          <w:p w14:paraId="55C8EA6D" w14:textId="77777777" w:rsidR="00C15F2E" w:rsidRPr="00D96063" w:rsidRDefault="00C15F2E" w:rsidP="00053198">
            <w:pPr>
              <w:rPr>
                <w:sz w:val="16"/>
                <w:szCs w:val="18"/>
              </w:rPr>
            </w:pPr>
            <w:r w:rsidRPr="00D96063">
              <w:rPr>
                <w:sz w:val="16"/>
                <w:szCs w:val="18"/>
              </w:rPr>
              <w:t>Electricity transmission</w:t>
            </w:r>
          </w:p>
        </w:tc>
        <w:tc>
          <w:tcPr>
            <w:tcW w:w="1706" w:type="pct"/>
            <w:tcBorders>
              <w:top w:val="nil"/>
              <w:left w:val="single" w:sz="4" w:space="0" w:color="auto"/>
              <w:bottom w:val="nil"/>
              <w:right w:val="single" w:sz="4" w:space="0" w:color="auto"/>
            </w:tcBorders>
            <w:hideMark/>
          </w:tcPr>
          <w:p w14:paraId="17D636E9" w14:textId="77777777" w:rsidR="00C15F2E" w:rsidRPr="00D96063" w:rsidRDefault="00C15F2E" w:rsidP="00053198">
            <w:pPr>
              <w:ind w:right="1247"/>
              <w:jc w:val="right"/>
              <w:rPr>
                <w:sz w:val="16"/>
                <w:szCs w:val="18"/>
              </w:rPr>
            </w:pPr>
            <w:r w:rsidRPr="00D96063">
              <w:rPr>
                <w:sz w:val="16"/>
                <w:szCs w:val="18"/>
              </w:rPr>
              <w:t>15</w:t>
            </w:r>
          </w:p>
        </w:tc>
        <w:tc>
          <w:tcPr>
            <w:tcW w:w="0" w:type="auto"/>
            <w:tcBorders>
              <w:top w:val="nil"/>
              <w:left w:val="single" w:sz="4" w:space="0" w:color="auto"/>
              <w:bottom w:val="nil"/>
              <w:right w:val="single" w:sz="4" w:space="0" w:color="auto"/>
            </w:tcBorders>
            <w:hideMark/>
          </w:tcPr>
          <w:p w14:paraId="10053DEC" w14:textId="77777777" w:rsidR="00C15F2E" w:rsidRPr="00D96063" w:rsidRDefault="00C15F2E" w:rsidP="00053198">
            <w:pPr>
              <w:ind w:right="1247"/>
              <w:jc w:val="right"/>
              <w:rPr>
                <w:sz w:val="16"/>
                <w:szCs w:val="18"/>
              </w:rPr>
            </w:pPr>
            <w:r w:rsidRPr="00D96063">
              <w:rPr>
                <w:sz w:val="16"/>
                <w:szCs w:val="18"/>
              </w:rPr>
              <w:t>49</w:t>
            </w:r>
          </w:p>
        </w:tc>
      </w:tr>
      <w:tr w:rsidR="00C15F2E" w:rsidRPr="00D96063" w14:paraId="1003A776" w14:textId="77777777" w:rsidTr="00053198">
        <w:tc>
          <w:tcPr>
            <w:tcW w:w="1648" w:type="pct"/>
            <w:tcBorders>
              <w:top w:val="nil"/>
              <w:left w:val="single" w:sz="4" w:space="0" w:color="auto"/>
              <w:bottom w:val="nil"/>
              <w:right w:val="single" w:sz="4" w:space="0" w:color="auto"/>
            </w:tcBorders>
            <w:hideMark/>
          </w:tcPr>
          <w:p w14:paraId="140E9198" w14:textId="77777777" w:rsidR="00C15F2E" w:rsidRPr="00D96063" w:rsidRDefault="00C15F2E" w:rsidP="00053198">
            <w:pPr>
              <w:rPr>
                <w:sz w:val="16"/>
                <w:szCs w:val="18"/>
              </w:rPr>
            </w:pPr>
            <w:r w:rsidRPr="00D96063">
              <w:rPr>
                <w:sz w:val="16"/>
                <w:szCs w:val="18"/>
              </w:rPr>
              <w:t>Electricity sales services</w:t>
            </w:r>
          </w:p>
        </w:tc>
        <w:tc>
          <w:tcPr>
            <w:tcW w:w="1706" w:type="pct"/>
            <w:tcBorders>
              <w:top w:val="nil"/>
              <w:left w:val="single" w:sz="4" w:space="0" w:color="auto"/>
              <w:bottom w:val="nil"/>
              <w:right w:val="single" w:sz="4" w:space="0" w:color="auto"/>
            </w:tcBorders>
            <w:hideMark/>
          </w:tcPr>
          <w:p w14:paraId="0DF42513" w14:textId="77777777" w:rsidR="00C15F2E" w:rsidRPr="00D96063" w:rsidRDefault="00C15F2E" w:rsidP="00053198">
            <w:pPr>
              <w:ind w:right="1247"/>
              <w:jc w:val="right"/>
              <w:rPr>
                <w:sz w:val="16"/>
                <w:szCs w:val="18"/>
              </w:rPr>
            </w:pPr>
            <w:r w:rsidRPr="00D96063">
              <w:rPr>
                <w:sz w:val="16"/>
                <w:szCs w:val="18"/>
              </w:rPr>
              <w:t>80</w:t>
            </w:r>
          </w:p>
        </w:tc>
        <w:tc>
          <w:tcPr>
            <w:tcW w:w="0" w:type="auto"/>
            <w:tcBorders>
              <w:top w:val="nil"/>
              <w:left w:val="single" w:sz="4" w:space="0" w:color="auto"/>
              <w:bottom w:val="nil"/>
              <w:right w:val="single" w:sz="4" w:space="0" w:color="auto"/>
            </w:tcBorders>
            <w:hideMark/>
          </w:tcPr>
          <w:p w14:paraId="6A3F0DDC" w14:textId="77777777" w:rsidR="00C15F2E" w:rsidRPr="00D96063" w:rsidRDefault="00C15F2E" w:rsidP="00053198">
            <w:pPr>
              <w:ind w:right="1247"/>
              <w:jc w:val="right"/>
              <w:rPr>
                <w:sz w:val="16"/>
                <w:szCs w:val="18"/>
              </w:rPr>
            </w:pPr>
            <w:r w:rsidRPr="00D96063">
              <w:rPr>
                <w:sz w:val="16"/>
                <w:szCs w:val="18"/>
              </w:rPr>
              <w:t>100</w:t>
            </w:r>
          </w:p>
        </w:tc>
      </w:tr>
      <w:tr w:rsidR="00C15F2E" w:rsidRPr="00D96063" w14:paraId="0C8F433A" w14:textId="77777777" w:rsidTr="00053198">
        <w:trPr>
          <w:cnfStyle w:val="000000010000" w:firstRow="0" w:lastRow="0" w:firstColumn="0" w:lastColumn="0" w:oddVBand="0" w:evenVBand="0" w:oddHBand="0" w:evenHBand="1" w:firstRowFirstColumn="0" w:firstRowLastColumn="0" w:lastRowFirstColumn="0" w:lastRowLastColumn="0"/>
        </w:trPr>
        <w:tc>
          <w:tcPr>
            <w:tcW w:w="1648" w:type="pct"/>
            <w:tcBorders>
              <w:top w:val="nil"/>
              <w:left w:val="single" w:sz="4" w:space="0" w:color="auto"/>
              <w:bottom w:val="single" w:sz="4" w:space="0" w:color="auto"/>
              <w:right w:val="single" w:sz="4" w:space="0" w:color="auto"/>
            </w:tcBorders>
            <w:hideMark/>
          </w:tcPr>
          <w:p w14:paraId="773C1AFA" w14:textId="77777777" w:rsidR="00C15F2E" w:rsidRPr="00D96063" w:rsidRDefault="00C15F2E" w:rsidP="00053198">
            <w:pPr>
              <w:rPr>
                <w:sz w:val="16"/>
                <w:szCs w:val="18"/>
              </w:rPr>
            </w:pPr>
            <w:r w:rsidRPr="00D96063">
              <w:rPr>
                <w:sz w:val="16"/>
                <w:szCs w:val="18"/>
              </w:rPr>
              <w:t>Electricity brokerage services</w:t>
            </w:r>
          </w:p>
        </w:tc>
        <w:tc>
          <w:tcPr>
            <w:tcW w:w="1706" w:type="pct"/>
            <w:tcBorders>
              <w:top w:val="nil"/>
              <w:left w:val="single" w:sz="4" w:space="0" w:color="auto"/>
              <w:bottom w:val="single" w:sz="4" w:space="0" w:color="auto"/>
              <w:right w:val="single" w:sz="4" w:space="0" w:color="auto"/>
            </w:tcBorders>
            <w:hideMark/>
          </w:tcPr>
          <w:p w14:paraId="57E3E31A" w14:textId="77777777" w:rsidR="00C15F2E" w:rsidRPr="00D96063" w:rsidRDefault="00C15F2E" w:rsidP="00053198">
            <w:pPr>
              <w:ind w:right="1247"/>
              <w:jc w:val="right"/>
              <w:rPr>
                <w:sz w:val="16"/>
                <w:szCs w:val="18"/>
              </w:rPr>
            </w:pPr>
            <w:r w:rsidRPr="00D96063">
              <w:rPr>
                <w:sz w:val="16"/>
                <w:szCs w:val="18"/>
              </w:rPr>
              <w:t>80</w:t>
            </w:r>
          </w:p>
        </w:tc>
        <w:tc>
          <w:tcPr>
            <w:tcW w:w="0" w:type="auto"/>
            <w:tcBorders>
              <w:top w:val="nil"/>
              <w:left w:val="single" w:sz="4" w:space="0" w:color="auto"/>
              <w:bottom w:val="single" w:sz="4" w:space="0" w:color="auto"/>
              <w:right w:val="single" w:sz="4" w:space="0" w:color="auto"/>
            </w:tcBorders>
            <w:hideMark/>
          </w:tcPr>
          <w:p w14:paraId="5C8C4711" w14:textId="77777777" w:rsidR="00C15F2E" w:rsidRPr="00D96063" w:rsidRDefault="00C15F2E" w:rsidP="00053198">
            <w:pPr>
              <w:ind w:right="1247"/>
              <w:jc w:val="right"/>
              <w:rPr>
                <w:sz w:val="16"/>
                <w:szCs w:val="18"/>
              </w:rPr>
            </w:pPr>
            <w:r w:rsidRPr="00D96063">
              <w:rPr>
                <w:sz w:val="16"/>
                <w:szCs w:val="18"/>
              </w:rPr>
              <w:t>100</w:t>
            </w:r>
          </w:p>
        </w:tc>
      </w:tr>
    </w:tbl>
    <w:p w14:paraId="6F12B8B2" w14:textId="26E4858E" w:rsidR="00C15F2E" w:rsidRPr="00D96063" w:rsidRDefault="00C15F2E" w:rsidP="00C03C75">
      <w:pPr>
        <w:pStyle w:val="NoteText"/>
        <w:spacing w:before="120" w:after="200"/>
      </w:pPr>
      <w:r w:rsidRPr="00D96063">
        <w:t>Source:</w:t>
      </w:r>
      <w:r w:rsidRPr="00D96063">
        <w:tab/>
        <w:t>EC.</w:t>
      </w:r>
    </w:p>
    <w:p w14:paraId="3C448072" w14:textId="77777777" w:rsidR="00C15F2E" w:rsidRPr="00D96063" w:rsidRDefault="00C15F2E" w:rsidP="00C03C75">
      <w:pPr>
        <w:pStyle w:val="BodyText"/>
        <w:spacing w:after="200"/>
      </w:pPr>
      <w:r w:rsidRPr="00D96063">
        <w:t>Ghana significantly increased its net exports of electricity during the review period (Table 4.12). It exchanges electricity with Côte d'Ivoire, while it exports to Togo, Benin, and Burkina Faso (see below).</w:t>
      </w:r>
    </w:p>
    <w:p w14:paraId="2B0071F4" w14:textId="77777777" w:rsidR="00C15F2E" w:rsidRPr="00D96063" w:rsidRDefault="00C15F2E" w:rsidP="00C03C75">
      <w:pPr>
        <w:pStyle w:val="BodyText"/>
        <w:spacing w:after="200"/>
      </w:pPr>
      <w:r w:rsidRPr="00D96063">
        <w:t>Ghana is a member of the Western African Power Pool (WAPP), which comprises 36 public and private power utilities in the ECOWAS region. They are at present nine member States that are interconnected but operating as three synchronous networks due to system stability issues. Ghana is part of the Synchronized Central Network along with Burkina Faso, Côte d'Ivoire, and parts of Togo, Benin, and Mali. Since the regional network is not fully synchronized, neighbouring countries have been trading electricity through bilateral contracts.</w:t>
      </w:r>
    </w:p>
    <w:p w14:paraId="4B205DA1" w14:textId="77777777" w:rsidR="00C15F2E" w:rsidRPr="00D96063" w:rsidRDefault="00C15F2E" w:rsidP="00C03C75">
      <w:pPr>
        <w:pStyle w:val="BodyText"/>
        <w:spacing w:after="200"/>
      </w:pPr>
      <w:r w:rsidRPr="00D96063">
        <w:t>In 2019, the WAPP region traded 6.1 terawatt-hours of energy, which represents 9% of the total generation. Ghana's exports have strengthened with the new transmission line from Bolgatanga (Ghana) to Ouagadougou (Burkina Faso), which was commissioned in 2018. Ghana's cross-border electricity trade as part of WAPP is regulated by the ECOWAS Regional Electricity Regulatory Authority (ERERA). Its regulatory duties include the setting of cross-border tariffs, providing model agreements for bilateral contracts and network agreements for access to the regional grid. ERERA furthermore has the discretion to approve contracts submitted by parties.</w:t>
      </w:r>
      <w:r w:rsidRPr="00D96063">
        <w:rPr>
          <w:rStyle w:val="FootnoteReference"/>
        </w:rPr>
        <w:footnoteReference w:id="180"/>
      </w:r>
    </w:p>
    <w:p w14:paraId="33B4C7F9" w14:textId="77777777" w:rsidR="00C15F2E" w:rsidRPr="00D96063" w:rsidRDefault="00C15F2E" w:rsidP="00C03C75">
      <w:pPr>
        <w:pStyle w:val="BodyText"/>
        <w:spacing w:after="200"/>
      </w:pPr>
      <w:r w:rsidRPr="00D96063">
        <w:t>There are currently three electricity distribution companies connected to the national grid: the state-owned Northern Electric Distribution Company (NEDCo), the state-owned Electricity Company of Ghana (ECG), and the privately owned EPC. The public distribution utilities have regional monopolies in the distribution of power to the regulated markets under licences issued by the EC. The EPC distributes about 45 MW purchased from the Volta River Authority to over 80 multinational and local manufacturing companies in the Tema Free Zones Enclave and in the Dawa Industrial Zone.</w:t>
      </w:r>
      <w:r w:rsidRPr="00D96063">
        <w:rPr>
          <w:rStyle w:val="FootnoteReference"/>
          <w:rFonts w:cs="Verdana"/>
          <w:color w:val="000000"/>
          <w:szCs w:val="18"/>
        </w:rPr>
        <w:footnoteReference w:id="181"/>
      </w:r>
    </w:p>
    <w:p w14:paraId="3968772C" w14:textId="77777777" w:rsidR="00C15F2E" w:rsidRPr="00D96063" w:rsidRDefault="00C15F2E" w:rsidP="00C03C75">
      <w:pPr>
        <w:pStyle w:val="BodyText"/>
        <w:spacing w:after="200"/>
      </w:pPr>
      <w:r w:rsidRPr="00D96063">
        <w:t xml:space="preserve">The PURC is mandated to approve the tariffs charged by distribution companies and by the transmission utility GRIDCO. In addition, the PURC has the mandate to investigate the reasonableness of electricity tariffs produced by wholesale suppliers for supply to distribution utilities. Electricity pricing has contributed to the financial difficulties of the sector. Regulated tariffs were substantially reduced in 2018, and then raised again in 2019, but tariffs remain low and substantially below cost recovery, while household tariffs are cross-subsidized by business tariffs. The average end-user tariff in 2020 was GHS 0.747 per kWh. In 2020, during the COVID-19 </w:t>
      </w:r>
      <w:r w:rsidRPr="00D96063">
        <w:lastRenderedPageBreak/>
        <w:t>pandemic, the Government allocated GHS 1,028 million as a three-month subsidy for electricity use by eligible households and businesses.</w:t>
      </w:r>
    </w:p>
    <w:p w14:paraId="77B0930C" w14:textId="77777777" w:rsidR="00C15F2E" w:rsidRPr="00D96063" w:rsidRDefault="00C15F2E" w:rsidP="00C03C75">
      <w:pPr>
        <w:pStyle w:val="Heading2"/>
        <w:numPr>
          <w:ilvl w:val="1"/>
          <w:numId w:val="18"/>
        </w:numPr>
        <w:spacing w:after="200"/>
      </w:pPr>
      <w:bookmarkStart w:id="220" w:name="_Toc103607720"/>
      <w:r w:rsidRPr="00D96063">
        <w:t>Mining</w:t>
      </w:r>
      <w:bookmarkEnd w:id="220"/>
      <w:r w:rsidRPr="00D96063">
        <w:tab/>
      </w:r>
    </w:p>
    <w:p w14:paraId="4C0618D0" w14:textId="6376B61D" w:rsidR="00C15F2E" w:rsidRPr="00D96063" w:rsidRDefault="00C15F2E" w:rsidP="00C03C75">
      <w:pPr>
        <w:pStyle w:val="BodyText"/>
        <w:spacing w:after="200"/>
        <w:rPr>
          <w:szCs w:val="18"/>
        </w:rPr>
      </w:pPr>
      <w:r w:rsidRPr="00D96063">
        <w:t>Ghana is well endowed with mineral resources. Its major minerals are gold, diamonds, manganese, and bauxite (Table 4.13). The country is the world's eighth largest, and the leading gold producer in Africa.</w:t>
      </w:r>
      <w:r w:rsidRPr="00D96063">
        <w:rPr>
          <w:rStyle w:val="FootnoteReference"/>
          <w:szCs w:val="18"/>
        </w:rPr>
        <w:footnoteReference w:id="182"/>
      </w:r>
      <w:r w:rsidRPr="00D96063">
        <w:t xml:space="preserve"> There are little-exploited deposits of industrial minerals such as iron ore, limestone, clays (including kaolin), mica, columbite-tantalite (coltan), feldspar, silica sand, quartz, and salt. Ghana also has a large potential for salt production (by solar evaporation), and salt production has been identified as 1 of 17 priority products in the National Export Development Strategy 2020-29.</w:t>
      </w:r>
      <w:r w:rsidRPr="00D96063">
        <w:rPr>
          <w:rStyle w:val="FootnoteReference"/>
        </w:rPr>
        <w:footnoteReference w:id="183"/>
      </w:r>
    </w:p>
    <w:p w14:paraId="20F2BB4E" w14:textId="63DAB83F" w:rsidR="00C15F2E" w:rsidRPr="00D96063" w:rsidRDefault="00C15F2E" w:rsidP="00D868BF">
      <w:pPr>
        <w:pStyle w:val="Caption"/>
      </w:pPr>
      <w:bookmarkStart w:id="221" w:name="_Toc103607909"/>
      <w:bookmarkStart w:id="222" w:name="_Hlk98917234"/>
      <w:r w:rsidRPr="00D96063">
        <w:t xml:space="preserve">Table </w:t>
      </w:r>
      <w:fldSimple w:instr=" STYLEREF 1 \s ">
        <w:r w:rsidR="004B63B1">
          <w:rPr>
            <w:noProof/>
          </w:rPr>
          <w:t>4</w:t>
        </w:r>
      </w:fldSimple>
      <w:r w:rsidR="00BF3184">
        <w:t>.</w:t>
      </w:r>
      <w:fldSimple w:instr=" SEQ Table \* ARABIC \s 1 ">
        <w:r w:rsidR="004B63B1">
          <w:rPr>
            <w:noProof/>
          </w:rPr>
          <w:t>13</w:t>
        </w:r>
      </w:fldSimple>
      <w:r w:rsidRPr="00D96063">
        <w:t xml:space="preserve"> Mineral production, 2014-21</w:t>
      </w:r>
      <w:bookmarkEnd w:id="221"/>
    </w:p>
    <w:tbl>
      <w:tblPr>
        <w:tblStyle w:val="WTOTable11"/>
        <w:tblW w:w="5000" w:type="pct"/>
        <w:tblLook w:val="04A0" w:firstRow="1" w:lastRow="0" w:firstColumn="1" w:lastColumn="0" w:noHBand="0" w:noVBand="1"/>
      </w:tblPr>
      <w:tblGrid>
        <w:gridCol w:w="1368"/>
        <w:gridCol w:w="841"/>
        <w:gridCol w:w="973"/>
        <w:gridCol w:w="973"/>
        <w:gridCol w:w="973"/>
        <w:gridCol w:w="973"/>
        <w:gridCol w:w="973"/>
        <w:gridCol w:w="973"/>
        <w:gridCol w:w="969"/>
      </w:tblGrid>
      <w:tr w:rsidR="00C15F2E" w:rsidRPr="00D96063" w14:paraId="23CA9199" w14:textId="77777777" w:rsidTr="00053198">
        <w:trPr>
          <w:cnfStyle w:val="100000000000" w:firstRow="1" w:lastRow="0" w:firstColumn="0" w:lastColumn="0" w:oddVBand="0" w:evenVBand="0" w:oddHBand="0" w:evenHBand="0" w:firstRowFirstColumn="0" w:firstRowLastColumn="0" w:lastRowFirstColumn="0" w:lastRowLastColumn="0"/>
          <w:tblHeader/>
        </w:trPr>
        <w:tc>
          <w:tcPr>
            <w:tcW w:w="759" w:type="pct"/>
            <w:hideMark/>
          </w:tcPr>
          <w:p w14:paraId="1B086DB7" w14:textId="77777777" w:rsidR="00C15F2E" w:rsidRPr="00D96063" w:rsidRDefault="00C15F2E" w:rsidP="00053198"/>
        </w:tc>
        <w:tc>
          <w:tcPr>
            <w:tcW w:w="463" w:type="pct"/>
            <w:hideMark/>
          </w:tcPr>
          <w:p w14:paraId="2D65B8CF" w14:textId="77777777" w:rsidR="00C15F2E" w:rsidRPr="00D96063" w:rsidRDefault="00C15F2E" w:rsidP="00053198">
            <w:pPr>
              <w:jc w:val="center"/>
              <w:rPr>
                <w:rFonts w:eastAsia="Times New Roman" w:cs="Calibri"/>
                <w:bCs/>
                <w:sz w:val="16"/>
                <w:szCs w:val="16"/>
              </w:rPr>
            </w:pPr>
            <w:r w:rsidRPr="00D96063">
              <w:rPr>
                <w:rFonts w:eastAsia="Times New Roman" w:cs="Calibri"/>
                <w:bCs/>
                <w:sz w:val="16"/>
                <w:szCs w:val="16"/>
              </w:rPr>
              <w:t>2014</w:t>
            </w:r>
          </w:p>
        </w:tc>
        <w:tc>
          <w:tcPr>
            <w:tcW w:w="540" w:type="pct"/>
            <w:hideMark/>
          </w:tcPr>
          <w:p w14:paraId="326FA0F0" w14:textId="77777777" w:rsidR="00C15F2E" w:rsidRPr="00D96063" w:rsidRDefault="00C15F2E" w:rsidP="00053198">
            <w:pPr>
              <w:jc w:val="center"/>
              <w:rPr>
                <w:rFonts w:eastAsia="Times New Roman" w:cs="Calibri"/>
                <w:bCs/>
                <w:sz w:val="16"/>
                <w:szCs w:val="16"/>
              </w:rPr>
            </w:pPr>
            <w:r w:rsidRPr="00D96063">
              <w:rPr>
                <w:rFonts w:eastAsia="Times New Roman" w:cs="Calibri"/>
                <w:bCs/>
                <w:sz w:val="16"/>
                <w:szCs w:val="16"/>
              </w:rPr>
              <w:t>2015</w:t>
            </w:r>
          </w:p>
        </w:tc>
        <w:tc>
          <w:tcPr>
            <w:tcW w:w="540" w:type="pct"/>
            <w:hideMark/>
          </w:tcPr>
          <w:p w14:paraId="7F7DD274" w14:textId="77777777" w:rsidR="00C15F2E" w:rsidRPr="00D96063" w:rsidRDefault="00C15F2E" w:rsidP="00053198">
            <w:pPr>
              <w:jc w:val="center"/>
              <w:rPr>
                <w:rFonts w:eastAsia="Times New Roman" w:cs="Calibri"/>
                <w:bCs/>
                <w:sz w:val="16"/>
                <w:szCs w:val="16"/>
              </w:rPr>
            </w:pPr>
            <w:r w:rsidRPr="00D96063">
              <w:rPr>
                <w:rFonts w:eastAsia="Times New Roman" w:cs="Calibri"/>
                <w:bCs/>
                <w:sz w:val="16"/>
                <w:szCs w:val="16"/>
              </w:rPr>
              <w:t>2016</w:t>
            </w:r>
          </w:p>
        </w:tc>
        <w:tc>
          <w:tcPr>
            <w:tcW w:w="540" w:type="pct"/>
            <w:hideMark/>
          </w:tcPr>
          <w:p w14:paraId="18FF9FFC" w14:textId="77777777" w:rsidR="00C15F2E" w:rsidRPr="00D96063" w:rsidRDefault="00C15F2E" w:rsidP="00053198">
            <w:pPr>
              <w:jc w:val="center"/>
              <w:rPr>
                <w:rFonts w:eastAsia="Times New Roman" w:cs="Calibri"/>
                <w:bCs/>
                <w:sz w:val="16"/>
                <w:szCs w:val="16"/>
              </w:rPr>
            </w:pPr>
            <w:r w:rsidRPr="00D96063">
              <w:rPr>
                <w:rFonts w:eastAsia="Times New Roman" w:cs="Calibri"/>
                <w:bCs/>
                <w:sz w:val="16"/>
                <w:szCs w:val="16"/>
              </w:rPr>
              <w:t>2017</w:t>
            </w:r>
          </w:p>
        </w:tc>
        <w:tc>
          <w:tcPr>
            <w:tcW w:w="540" w:type="pct"/>
            <w:hideMark/>
          </w:tcPr>
          <w:p w14:paraId="21A93322" w14:textId="77777777" w:rsidR="00C15F2E" w:rsidRPr="00D96063" w:rsidRDefault="00C15F2E" w:rsidP="00053198">
            <w:pPr>
              <w:jc w:val="center"/>
              <w:rPr>
                <w:rFonts w:eastAsia="Times New Roman" w:cs="Calibri"/>
                <w:bCs/>
                <w:sz w:val="16"/>
                <w:szCs w:val="16"/>
              </w:rPr>
            </w:pPr>
            <w:r w:rsidRPr="00D96063">
              <w:rPr>
                <w:rFonts w:eastAsia="Times New Roman" w:cs="Calibri"/>
                <w:bCs/>
                <w:sz w:val="16"/>
                <w:szCs w:val="16"/>
              </w:rPr>
              <w:t>2018</w:t>
            </w:r>
          </w:p>
        </w:tc>
        <w:tc>
          <w:tcPr>
            <w:tcW w:w="540" w:type="pct"/>
            <w:hideMark/>
          </w:tcPr>
          <w:p w14:paraId="731B55BF" w14:textId="77777777" w:rsidR="00C15F2E" w:rsidRPr="00D96063" w:rsidRDefault="00C15F2E" w:rsidP="00053198">
            <w:pPr>
              <w:jc w:val="center"/>
              <w:rPr>
                <w:rFonts w:eastAsia="Times New Roman" w:cs="Calibri"/>
                <w:bCs/>
                <w:sz w:val="16"/>
                <w:szCs w:val="16"/>
              </w:rPr>
            </w:pPr>
            <w:r w:rsidRPr="00D96063">
              <w:rPr>
                <w:rFonts w:eastAsia="Times New Roman" w:cs="Calibri"/>
                <w:bCs/>
                <w:sz w:val="16"/>
                <w:szCs w:val="16"/>
              </w:rPr>
              <w:t>2019</w:t>
            </w:r>
          </w:p>
        </w:tc>
        <w:tc>
          <w:tcPr>
            <w:tcW w:w="540" w:type="pct"/>
          </w:tcPr>
          <w:p w14:paraId="7AB57BA4" w14:textId="77777777" w:rsidR="00C15F2E" w:rsidRPr="00D96063" w:rsidRDefault="00C15F2E" w:rsidP="00053198">
            <w:pPr>
              <w:jc w:val="center"/>
              <w:rPr>
                <w:rFonts w:eastAsia="Times New Roman" w:cs="Calibri"/>
                <w:bCs/>
                <w:sz w:val="16"/>
                <w:szCs w:val="16"/>
              </w:rPr>
            </w:pPr>
            <w:r w:rsidRPr="00D96063">
              <w:rPr>
                <w:rFonts w:eastAsia="Times New Roman" w:cs="Calibri"/>
                <w:bCs/>
                <w:sz w:val="16"/>
                <w:szCs w:val="16"/>
              </w:rPr>
              <w:t>2020</w:t>
            </w:r>
          </w:p>
        </w:tc>
        <w:tc>
          <w:tcPr>
            <w:tcW w:w="540" w:type="pct"/>
          </w:tcPr>
          <w:p w14:paraId="1F553B24" w14:textId="77777777" w:rsidR="00C15F2E" w:rsidRPr="00D96063" w:rsidRDefault="00C15F2E" w:rsidP="00053198">
            <w:pPr>
              <w:jc w:val="center"/>
              <w:rPr>
                <w:rFonts w:eastAsia="Times New Roman" w:cs="Calibri"/>
                <w:bCs/>
                <w:sz w:val="16"/>
                <w:szCs w:val="16"/>
              </w:rPr>
            </w:pPr>
            <w:r w:rsidRPr="00D96063">
              <w:rPr>
                <w:rFonts w:eastAsia="Times New Roman" w:cs="Calibri"/>
                <w:bCs/>
                <w:sz w:val="16"/>
                <w:szCs w:val="16"/>
              </w:rPr>
              <w:t>2021</w:t>
            </w:r>
          </w:p>
        </w:tc>
      </w:tr>
      <w:tr w:rsidR="00C15F2E" w:rsidRPr="00D96063" w14:paraId="4C9144E7" w14:textId="77777777" w:rsidTr="00053198">
        <w:tc>
          <w:tcPr>
            <w:tcW w:w="759" w:type="pct"/>
            <w:hideMark/>
          </w:tcPr>
          <w:p w14:paraId="2D4052EE" w14:textId="77777777" w:rsidR="00C15F2E" w:rsidRPr="00D96063" w:rsidRDefault="00C15F2E" w:rsidP="00053198">
            <w:pPr>
              <w:jc w:val="left"/>
              <w:rPr>
                <w:rFonts w:eastAsia="Times New Roman" w:cs="Calibri"/>
                <w:sz w:val="16"/>
                <w:szCs w:val="16"/>
              </w:rPr>
            </w:pPr>
            <w:r w:rsidRPr="00D96063">
              <w:rPr>
                <w:rFonts w:eastAsia="Times New Roman" w:cs="Calibri"/>
                <w:sz w:val="16"/>
                <w:szCs w:val="16"/>
              </w:rPr>
              <w:t xml:space="preserve">Gold </w:t>
            </w:r>
            <w:r w:rsidRPr="00D96063">
              <w:rPr>
                <w:rFonts w:eastAsia="Times New Roman" w:cs="Calibri"/>
                <w:sz w:val="16"/>
                <w:szCs w:val="16"/>
              </w:rPr>
              <w:br/>
              <w:t>('000 ounces)</w:t>
            </w:r>
          </w:p>
        </w:tc>
        <w:tc>
          <w:tcPr>
            <w:tcW w:w="463" w:type="pct"/>
            <w:hideMark/>
          </w:tcPr>
          <w:p w14:paraId="17BA3EB8" w14:textId="77777777" w:rsidR="00C15F2E" w:rsidRPr="00D96063" w:rsidRDefault="00C15F2E" w:rsidP="00053198">
            <w:pPr>
              <w:jc w:val="right"/>
              <w:rPr>
                <w:rFonts w:eastAsia="Times New Roman" w:cs="Calibri"/>
                <w:sz w:val="16"/>
                <w:szCs w:val="16"/>
              </w:rPr>
            </w:pPr>
            <w:r w:rsidRPr="00D96063">
              <w:rPr>
                <w:rFonts w:cs="Calibri"/>
                <w:sz w:val="16"/>
                <w:szCs w:val="16"/>
              </w:rPr>
              <w:t>4,471.6</w:t>
            </w:r>
          </w:p>
        </w:tc>
        <w:tc>
          <w:tcPr>
            <w:tcW w:w="540" w:type="pct"/>
            <w:hideMark/>
          </w:tcPr>
          <w:p w14:paraId="5F04CC8B" w14:textId="77777777" w:rsidR="00C15F2E" w:rsidRPr="00D96063" w:rsidRDefault="00C15F2E" w:rsidP="00053198">
            <w:pPr>
              <w:jc w:val="right"/>
              <w:rPr>
                <w:rFonts w:eastAsia="Times New Roman" w:cs="Calibri"/>
                <w:sz w:val="16"/>
                <w:szCs w:val="16"/>
              </w:rPr>
            </w:pPr>
            <w:r w:rsidRPr="00D96063">
              <w:rPr>
                <w:rFonts w:cs="Calibri"/>
                <w:sz w:val="16"/>
                <w:szCs w:val="16"/>
              </w:rPr>
              <w:t>3,623.7</w:t>
            </w:r>
          </w:p>
        </w:tc>
        <w:tc>
          <w:tcPr>
            <w:tcW w:w="540" w:type="pct"/>
            <w:hideMark/>
          </w:tcPr>
          <w:p w14:paraId="5627D712" w14:textId="77777777" w:rsidR="00C15F2E" w:rsidRPr="00D96063" w:rsidRDefault="00C15F2E" w:rsidP="00053198">
            <w:pPr>
              <w:jc w:val="right"/>
              <w:rPr>
                <w:rFonts w:eastAsia="Times New Roman" w:cs="Calibri"/>
                <w:sz w:val="16"/>
                <w:szCs w:val="16"/>
              </w:rPr>
            </w:pPr>
            <w:r w:rsidRPr="00D96063">
              <w:rPr>
                <w:rFonts w:cs="Calibri"/>
                <w:sz w:val="16"/>
                <w:szCs w:val="16"/>
              </w:rPr>
              <w:t>4,247.7</w:t>
            </w:r>
          </w:p>
        </w:tc>
        <w:tc>
          <w:tcPr>
            <w:tcW w:w="540" w:type="pct"/>
            <w:hideMark/>
          </w:tcPr>
          <w:p w14:paraId="5172C0EE" w14:textId="77777777" w:rsidR="00C15F2E" w:rsidRPr="00D96063" w:rsidRDefault="00C15F2E" w:rsidP="00053198">
            <w:pPr>
              <w:jc w:val="right"/>
              <w:rPr>
                <w:rFonts w:eastAsia="Times New Roman" w:cs="Calibri"/>
                <w:sz w:val="16"/>
                <w:szCs w:val="16"/>
              </w:rPr>
            </w:pPr>
            <w:r w:rsidRPr="00D96063">
              <w:rPr>
                <w:rFonts w:cs="Calibri"/>
                <w:sz w:val="16"/>
                <w:szCs w:val="16"/>
              </w:rPr>
              <w:t>4,231.4</w:t>
            </w:r>
          </w:p>
        </w:tc>
        <w:tc>
          <w:tcPr>
            <w:tcW w:w="540" w:type="pct"/>
            <w:hideMark/>
          </w:tcPr>
          <w:p w14:paraId="3A6039D0" w14:textId="77777777" w:rsidR="00C15F2E" w:rsidRPr="00D96063" w:rsidRDefault="00C15F2E" w:rsidP="00053198">
            <w:pPr>
              <w:jc w:val="right"/>
              <w:rPr>
                <w:rFonts w:eastAsia="Times New Roman" w:cs="Calibri"/>
                <w:sz w:val="16"/>
                <w:szCs w:val="16"/>
              </w:rPr>
            </w:pPr>
            <w:r w:rsidRPr="00D96063">
              <w:rPr>
                <w:rFonts w:cs="Calibri"/>
                <w:sz w:val="16"/>
                <w:szCs w:val="16"/>
              </w:rPr>
              <w:t>4,944.0</w:t>
            </w:r>
          </w:p>
        </w:tc>
        <w:tc>
          <w:tcPr>
            <w:tcW w:w="540" w:type="pct"/>
            <w:hideMark/>
          </w:tcPr>
          <w:p w14:paraId="1896A1C1" w14:textId="77777777" w:rsidR="00C15F2E" w:rsidRPr="00D96063" w:rsidRDefault="00C15F2E" w:rsidP="00053198">
            <w:pPr>
              <w:jc w:val="right"/>
              <w:rPr>
                <w:rFonts w:eastAsia="Times New Roman" w:cs="Calibri"/>
                <w:sz w:val="16"/>
                <w:szCs w:val="16"/>
              </w:rPr>
            </w:pPr>
            <w:r w:rsidRPr="00D96063">
              <w:rPr>
                <w:rFonts w:cs="Calibri"/>
                <w:sz w:val="16"/>
                <w:szCs w:val="16"/>
              </w:rPr>
              <w:t>4,674.0</w:t>
            </w:r>
          </w:p>
        </w:tc>
        <w:tc>
          <w:tcPr>
            <w:tcW w:w="540" w:type="pct"/>
          </w:tcPr>
          <w:p w14:paraId="65C81DA3" w14:textId="77777777" w:rsidR="00C15F2E" w:rsidRPr="00D96063" w:rsidRDefault="00C15F2E" w:rsidP="00053198">
            <w:pPr>
              <w:jc w:val="right"/>
              <w:rPr>
                <w:rFonts w:eastAsia="Times New Roman" w:cs="Calibri"/>
                <w:sz w:val="16"/>
                <w:szCs w:val="16"/>
              </w:rPr>
            </w:pPr>
            <w:r w:rsidRPr="00D96063">
              <w:rPr>
                <w:rFonts w:cs="Calibri"/>
                <w:sz w:val="16"/>
                <w:szCs w:val="16"/>
              </w:rPr>
              <w:t>4,094.0</w:t>
            </w:r>
          </w:p>
        </w:tc>
        <w:tc>
          <w:tcPr>
            <w:tcW w:w="540" w:type="pct"/>
          </w:tcPr>
          <w:p w14:paraId="4925DCB7" w14:textId="77777777" w:rsidR="00C15F2E" w:rsidRPr="00D96063" w:rsidRDefault="00C15F2E" w:rsidP="00053198">
            <w:pPr>
              <w:jc w:val="right"/>
              <w:rPr>
                <w:rFonts w:cs="Calibri"/>
                <w:sz w:val="16"/>
                <w:szCs w:val="16"/>
              </w:rPr>
            </w:pPr>
            <w:r w:rsidRPr="00D96063">
              <w:rPr>
                <w:rFonts w:cs="Calibri"/>
                <w:sz w:val="16"/>
                <w:szCs w:val="16"/>
              </w:rPr>
              <w:t>2,817.9</w:t>
            </w:r>
          </w:p>
        </w:tc>
      </w:tr>
      <w:tr w:rsidR="00C15F2E" w:rsidRPr="00D96063" w14:paraId="61110B10" w14:textId="77777777" w:rsidTr="00053198">
        <w:trPr>
          <w:cnfStyle w:val="000000010000" w:firstRow="0" w:lastRow="0" w:firstColumn="0" w:lastColumn="0" w:oddVBand="0" w:evenVBand="0" w:oddHBand="0" w:evenHBand="1" w:firstRowFirstColumn="0" w:firstRowLastColumn="0" w:lastRowFirstColumn="0" w:lastRowLastColumn="0"/>
        </w:trPr>
        <w:tc>
          <w:tcPr>
            <w:tcW w:w="759" w:type="pct"/>
            <w:hideMark/>
          </w:tcPr>
          <w:p w14:paraId="7C0D2562" w14:textId="77777777" w:rsidR="00C15F2E" w:rsidRPr="00D96063" w:rsidRDefault="00C15F2E" w:rsidP="00053198">
            <w:pPr>
              <w:jc w:val="left"/>
              <w:rPr>
                <w:rFonts w:eastAsia="Times New Roman" w:cs="Calibri"/>
                <w:sz w:val="16"/>
                <w:szCs w:val="16"/>
              </w:rPr>
            </w:pPr>
            <w:r w:rsidRPr="00D96063">
              <w:rPr>
                <w:rFonts w:eastAsia="Times New Roman" w:cs="Calibri"/>
                <w:sz w:val="16"/>
                <w:szCs w:val="16"/>
              </w:rPr>
              <w:t xml:space="preserve">Diamonds </w:t>
            </w:r>
            <w:r w:rsidRPr="00D96063">
              <w:rPr>
                <w:rFonts w:eastAsia="Times New Roman" w:cs="Calibri"/>
                <w:sz w:val="16"/>
                <w:szCs w:val="16"/>
              </w:rPr>
              <w:br/>
              <w:t>('000 carats)</w:t>
            </w:r>
          </w:p>
        </w:tc>
        <w:tc>
          <w:tcPr>
            <w:tcW w:w="463" w:type="pct"/>
            <w:hideMark/>
          </w:tcPr>
          <w:p w14:paraId="1F602E25" w14:textId="77777777" w:rsidR="00C15F2E" w:rsidRPr="00D96063" w:rsidRDefault="00C15F2E" w:rsidP="00053198">
            <w:pPr>
              <w:jc w:val="right"/>
              <w:rPr>
                <w:rFonts w:eastAsia="Times New Roman" w:cs="Calibri"/>
                <w:sz w:val="16"/>
                <w:szCs w:val="16"/>
              </w:rPr>
            </w:pPr>
            <w:r w:rsidRPr="00D96063">
              <w:rPr>
                <w:rFonts w:cs="Calibri"/>
                <w:sz w:val="16"/>
                <w:szCs w:val="16"/>
              </w:rPr>
              <w:t>241.2</w:t>
            </w:r>
          </w:p>
        </w:tc>
        <w:tc>
          <w:tcPr>
            <w:tcW w:w="540" w:type="pct"/>
            <w:hideMark/>
          </w:tcPr>
          <w:p w14:paraId="47D6F990" w14:textId="77777777" w:rsidR="00C15F2E" w:rsidRPr="00D96063" w:rsidRDefault="00C15F2E" w:rsidP="00053198">
            <w:pPr>
              <w:jc w:val="right"/>
              <w:rPr>
                <w:rFonts w:eastAsia="Times New Roman" w:cs="Calibri"/>
                <w:sz w:val="16"/>
                <w:szCs w:val="16"/>
              </w:rPr>
            </w:pPr>
            <w:r w:rsidRPr="00D96063">
              <w:rPr>
                <w:rFonts w:cs="Calibri"/>
                <w:sz w:val="16"/>
                <w:szCs w:val="16"/>
              </w:rPr>
              <w:t>174.4</w:t>
            </w:r>
          </w:p>
        </w:tc>
        <w:tc>
          <w:tcPr>
            <w:tcW w:w="540" w:type="pct"/>
            <w:hideMark/>
          </w:tcPr>
          <w:p w14:paraId="1D30E507" w14:textId="77777777" w:rsidR="00C15F2E" w:rsidRPr="00D96063" w:rsidRDefault="00C15F2E" w:rsidP="00053198">
            <w:pPr>
              <w:jc w:val="right"/>
              <w:rPr>
                <w:rFonts w:eastAsia="Times New Roman" w:cs="Calibri"/>
                <w:sz w:val="16"/>
                <w:szCs w:val="16"/>
              </w:rPr>
            </w:pPr>
            <w:r w:rsidRPr="00D96063">
              <w:rPr>
                <w:rFonts w:cs="Calibri"/>
                <w:sz w:val="16"/>
                <w:szCs w:val="16"/>
              </w:rPr>
              <w:t>173.9</w:t>
            </w:r>
          </w:p>
        </w:tc>
        <w:tc>
          <w:tcPr>
            <w:tcW w:w="540" w:type="pct"/>
            <w:hideMark/>
          </w:tcPr>
          <w:p w14:paraId="77CEFD9B" w14:textId="77777777" w:rsidR="00C15F2E" w:rsidRPr="00D96063" w:rsidRDefault="00C15F2E" w:rsidP="00053198">
            <w:pPr>
              <w:jc w:val="right"/>
              <w:rPr>
                <w:rFonts w:eastAsia="Times New Roman" w:cs="Calibri"/>
                <w:sz w:val="16"/>
                <w:szCs w:val="16"/>
              </w:rPr>
            </w:pPr>
            <w:r w:rsidRPr="00D96063">
              <w:rPr>
                <w:rFonts w:cs="Calibri"/>
                <w:sz w:val="16"/>
                <w:szCs w:val="16"/>
              </w:rPr>
              <w:t>87.0</w:t>
            </w:r>
          </w:p>
        </w:tc>
        <w:tc>
          <w:tcPr>
            <w:tcW w:w="540" w:type="pct"/>
            <w:hideMark/>
          </w:tcPr>
          <w:p w14:paraId="5AE408C3" w14:textId="77777777" w:rsidR="00C15F2E" w:rsidRPr="00D96063" w:rsidRDefault="00C15F2E" w:rsidP="00053198">
            <w:pPr>
              <w:jc w:val="right"/>
              <w:rPr>
                <w:rFonts w:eastAsia="Times New Roman" w:cs="Calibri"/>
                <w:sz w:val="16"/>
                <w:szCs w:val="16"/>
              </w:rPr>
            </w:pPr>
            <w:r w:rsidRPr="00D96063">
              <w:rPr>
                <w:rFonts w:cs="Calibri"/>
                <w:sz w:val="16"/>
                <w:szCs w:val="16"/>
              </w:rPr>
              <w:t>100.3</w:t>
            </w:r>
          </w:p>
        </w:tc>
        <w:tc>
          <w:tcPr>
            <w:tcW w:w="540" w:type="pct"/>
            <w:hideMark/>
          </w:tcPr>
          <w:p w14:paraId="7930F894" w14:textId="77777777" w:rsidR="00C15F2E" w:rsidRPr="00D96063" w:rsidRDefault="00C15F2E" w:rsidP="00053198">
            <w:pPr>
              <w:jc w:val="right"/>
              <w:rPr>
                <w:rFonts w:eastAsia="Times New Roman" w:cs="Calibri"/>
                <w:sz w:val="16"/>
                <w:szCs w:val="16"/>
              </w:rPr>
            </w:pPr>
            <w:r w:rsidRPr="00D96063">
              <w:rPr>
                <w:rFonts w:cs="Calibri"/>
                <w:sz w:val="16"/>
                <w:szCs w:val="16"/>
              </w:rPr>
              <w:t>31.4</w:t>
            </w:r>
          </w:p>
        </w:tc>
        <w:tc>
          <w:tcPr>
            <w:tcW w:w="540" w:type="pct"/>
          </w:tcPr>
          <w:p w14:paraId="66BD3A80" w14:textId="77777777" w:rsidR="00C15F2E" w:rsidRPr="00D96063" w:rsidRDefault="00C15F2E" w:rsidP="00053198">
            <w:pPr>
              <w:jc w:val="right"/>
              <w:rPr>
                <w:rFonts w:eastAsia="Times New Roman" w:cs="Calibri"/>
                <w:sz w:val="16"/>
                <w:szCs w:val="16"/>
              </w:rPr>
            </w:pPr>
            <w:r w:rsidRPr="00D96063">
              <w:rPr>
                <w:rFonts w:cs="Calibri"/>
                <w:sz w:val="16"/>
                <w:szCs w:val="16"/>
              </w:rPr>
              <w:t>25.3</w:t>
            </w:r>
          </w:p>
        </w:tc>
        <w:tc>
          <w:tcPr>
            <w:tcW w:w="540" w:type="pct"/>
          </w:tcPr>
          <w:p w14:paraId="047A40B5" w14:textId="77777777" w:rsidR="00C15F2E" w:rsidRPr="00D96063" w:rsidRDefault="00C15F2E" w:rsidP="00053198">
            <w:pPr>
              <w:jc w:val="right"/>
              <w:rPr>
                <w:rFonts w:cs="Calibri"/>
                <w:sz w:val="16"/>
                <w:szCs w:val="16"/>
              </w:rPr>
            </w:pPr>
            <w:r w:rsidRPr="00D96063">
              <w:rPr>
                <w:rFonts w:cs="Calibri"/>
                <w:sz w:val="16"/>
                <w:szCs w:val="16"/>
              </w:rPr>
              <w:t>54.2</w:t>
            </w:r>
          </w:p>
        </w:tc>
      </w:tr>
      <w:tr w:rsidR="00C15F2E" w:rsidRPr="00D96063" w14:paraId="52FD70F0" w14:textId="77777777" w:rsidTr="00053198">
        <w:tc>
          <w:tcPr>
            <w:tcW w:w="759" w:type="pct"/>
            <w:hideMark/>
          </w:tcPr>
          <w:p w14:paraId="65E23E33" w14:textId="77777777" w:rsidR="00C15F2E" w:rsidRPr="00D96063" w:rsidRDefault="00C15F2E" w:rsidP="00053198">
            <w:pPr>
              <w:jc w:val="left"/>
              <w:rPr>
                <w:rFonts w:eastAsia="Times New Roman" w:cs="Calibri"/>
                <w:sz w:val="16"/>
                <w:szCs w:val="16"/>
              </w:rPr>
            </w:pPr>
            <w:r w:rsidRPr="00D96063">
              <w:rPr>
                <w:rFonts w:eastAsia="Times New Roman" w:cs="Calibri"/>
                <w:sz w:val="16"/>
                <w:szCs w:val="16"/>
              </w:rPr>
              <w:t xml:space="preserve">Bauxite </w:t>
            </w:r>
            <w:r w:rsidRPr="00D96063">
              <w:rPr>
                <w:rFonts w:eastAsia="Times New Roman" w:cs="Calibri"/>
                <w:sz w:val="16"/>
                <w:szCs w:val="16"/>
              </w:rPr>
              <w:br/>
              <w:t>('000 tonnes)</w:t>
            </w:r>
          </w:p>
        </w:tc>
        <w:tc>
          <w:tcPr>
            <w:tcW w:w="463" w:type="pct"/>
            <w:hideMark/>
          </w:tcPr>
          <w:p w14:paraId="33791F1E" w14:textId="77777777" w:rsidR="00C15F2E" w:rsidRPr="00D96063" w:rsidRDefault="00C15F2E" w:rsidP="00053198">
            <w:pPr>
              <w:jc w:val="right"/>
              <w:rPr>
                <w:rFonts w:eastAsia="Times New Roman" w:cs="Calibri"/>
                <w:sz w:val="16"/>
                <w:szCs w:val="16"/>
              </w:rPr>
            </w:pPr>
            <w:r w:rsidRPr="00D96063">
              <w:rPr>
                <w:rFonts w:cs="Calibri"/>
                <w:sz w:val="16"/>
                <w:szCs w:val="16"/>
              </w:rPr>
              <w:t>798</w:t>
            </w:r>
          </w:p>
        </w:tc>
        <w:tc>
          <w:tcPr>
            <w:tcW w:w="540" w:type="pct"/>
            <w:hideMark/>
          </w:tcPr>
          <w:p w14:paraId="48AB8DA7" w14:textId="77777777" w:rsidR="00C15F2E" w:rsidRPr="00D96063" w:rsidRDefault="00C15F2E" w:rsidP="00053198">
            <w:pPr>
              <w:jc w:val="right"/>
              <w:rPr>
                <w:rFonts w:eastAsia="Times New Roman" w:cs="Calibri"/>
                <w:sz w:val="16"/>
                <w:szCs w:val="16"/>
              </w:rPr>
            </w:pPr>
            <w:r w:rsidRPr="00D96063">
              <w:rPr>
                <w:rFonts w:cs="Calibri"/>
                <w:sz w:val="16"/>
                <w:szCs w:val="16"/>
              </w:rPr>
              <w:t>1,015</w:t>
            </w:r>
          </w:p>
        </w:tc>
        <w:tc>
          <w:tcPr>
            <w:tcW w:w="540" w:type="pct"/>
            <w:hideMark/>
          </w:tcPr>
          <w:p w14:paraId="78660BA4" w14:textId="77777777" w:rsidR="00C15F2E" w:rsidRPr="00D96063" w:rsidRDefault="00C15F2E" w:rsidP="00053198">
            <w:pPr>
              <w:jc w:val="right"/>
              <w:rPr>
                <w:rFonts w:eastAsia="Times New Roman" w:cs="Calibri"/>
                <w:sz w:val="16"/>
                <w:szCs w:val="16"/>
              </w:rPr>
            </w:pPr>
            <w:r w:rsidRPr="00D96063">
              <w:rPr>
                <w:rFonts w:cs="Calibri"/>
                <w:sz w:val="16"/>
                <w:szCs w:val="16"/>
              </w:rPr>
              <w:t>1,279</w:t>
            </w:r>
          </w:p>
        </w:tc>
        <w:tc>
          <w:tcPr>
            <w:tcW w:w="540" w:type="pct"/>
            <w:hideMark/>
          </w:tcPr>
          <w:p w14:paraId="7DD999D2" w14:textId="77777777" w:rsidR="00C15F2E" w:rsidRPr="00D96063" w:rsidRDefault="00C15F2E" w:rsidP="00053198">
            <w:pPr>
              <w:jc w:val="right"/>
              <w:rPr>
                <w:rFonts w:eastAsia="Times New Roman" w:cs="Calibri"/>
                <w:sz w:val="16"/>
                <w:szCs w:val="16"/>
              </w:rPr>
            </w:pPr>
            <w:r w:rsidRPr="00D96063">
              <w:rPr>
                <w:rFonts w:cs="Calibri"/>
                <w:sz w:val="16"/>
                <w:szCs w:val="16"/>
              </w:rPr>
              <w:t>1,477</w:t>
            </w:r>
          </w:p>
        </w:tc>
        <w:tc>
          <w:tcPr>
            <w:tcW w:w="540" w:type="pct"/>
            <w:hideMark/>
          </w:tcPr>
          <w:p w14:paraId="1FEF0840" w14:textId="77777777" w:rsidR="00C15F2E" w:rsidRPr="00D96063" w:rsidRDefault="00C15F2E" w:rsidP="00053198">
            <w:pPr>
              <w:jc w:val="right"/>
              <w:rPr>
                <w:rFonts w:eastAsia="Times New Roman" w:cs="Calibri"/>
                <w:sz w:val="16"/>
                <w:szCs w:val="16"/>
              </w:rPr>
            </w:pPr>
            <w:r w:rsidRPr="00D96063">
              <w:rPr>
                <w:rFonts w:cs="Calibri"/>
                <w:sz w:val="16"/>
                <w:szCs w:val="16"/>
              </w:rPr>
              <w:t>1,011</w:t>
            </w:r>
          </w:p>
        </w:tc>
        <w:tc>
          <w:tcPr>
            <w:tcW w:w="540" w:type="pct"/>
            <w:hideMark/>
          </w:tcPr>
          <w:p w14:paraId="301C3593" w14:textId="77777777" w:rsidR="00C15F2E" w:rsidRPr="00D96063" w:rsidRDefault="00C15F2E" w:rsidP="00053198">
            <w:pPr>
              <w:jc w:val="right"/>
              <w:rPr>
                <w:rFonts w:eastAsia="Times New Roman" w:cs="Calibri"/>
                <w:sz w:val="16"/>
                <w:szCs w:val="16"/>
              </w:rPr>
            </w:pPr>
            <w:r w:rsidRPr="00D96063">
              <w:rPr>
                <w:rFonts w:cs="Calibri"/>
                <w:sz w:val="16"/>
                <w:szCs w:val="16"/>
              </w:rPr>
              <w:t>1,116</w:t>
            </w:r>
          </w:p>
        </w:tc>
        <w:tc>
          <w:tcPr>
            <w:tcW w:w="540" w:type="pct"/>
          </w:tcPr>
          <w:p w14:paraId="45401654" w14:textId="77777777" w:rsidR="00C15F2E" w:rsidRPr="00D96063" w:rsidRDefault="00C15F2E" w:rsidP="00053198">
            <w:pPr>
              <w:jc w:val="right"/>
              <w:rPr>
                <w:rFonts w:eastAsia="Times New Roman" w:cs="Calibri"/>
                <w:sz w:val="16"/>
                <w:szCs w:val="16"/>
              </w:rPr>
            </w:pPr>
            <w:r w:rsidRPr="00D96063">
              <w:rPr>
                <w:rFonts w:cs="Calibri"/>
                <w:sz w:val="16"/>
                <w:szCs w:val="16"/>
              </w:rPr>
              <w:t>1,162</w:t>
            </w:r>
          </w:p>
        </w:tc>
        <w:tc>
          <w:tcPr>
            <w:tcW w:w="540" w:type="pct"/>
          </w:tcPr>
          <w:p w14:paraId="46A56AC2" w14:textId="77777777" w:rsidR="00C15F2E" w:rsidRPr="00D96063" w:rsidRDefault="00C15F2E" w:rsidP="00053198">
            <w:pPr>
              <w:jc w:val="right"/>
              <w:rPr>
                <w:rFonts w:cs="Calibri"/>
                <w:sz w:val="16"/>
                <w:szCs w:val="16"/>
              </w:rPr>
            </w:pPr>
            <w:r w:rsidRPr="00D96063">
              <w:rPr>
                <w:rFonts w:cs="Calibri"/>
                <w:sz w:val="16"/>
                <w:szCs w:val="16"/>
              </w:rPr>
              <w:t>839</w:t>
            </w:r>
          </w:p>
        </w:tc>
      </w:tr>
      <w:tr w:rsidR="00C15F2E" w:rsidRPr="00D96063" w14:paraId="3969985A" w14:textId="77777777" w:rsidTr="00053198">
        <w:trPr>
          <w:cnfStyle w:val="000000010000" w:firstRow="0" w:lastRow="0" w:firstColumn="0" w:lastColumn="0" w:oddVBand="0" w:evenVBand="0" w:oddHBand="0" w:evenHBand="1" w:firstRowFirstColumn="0" w:firstRowLastColumn="0" w:lastRowFirstColumn="0" w:lastRowLastColumn="0"/>
        </w:trPr>
        <w:tc>
          <w:tcPr>
            <w:tcW w:w="759" w:type="pct"/>
            <w:hideMark/>
          </w:tcPr>
          <w:p w14:paraId="5FE28692" w14:textId="77777777" w:rsidR="00C15F2E" w:rsidRPr="00D96063" w:rsidRDefault="00C15F2E" w:rsidP="00053198">
            <w:pPr>
              <w:jc w:val="left"/>
              <w:rPr>
                <w:rFonts w:eastAsia="Times New Roman" w:cs="Calibri"/>
                <w:sz w:val="16"/>
                <w:szCs w:val="16"/>
              </w:rPr>
            </w:pPr>
            <w:r w:rsidRPr="00D96063">
              <w:rPr>
                <w:rFonts w:eastAsia="Times New Roman" w:cs="Calibri"/>
                <w:sz w:val="16"/>
                <w:szCs w:val="16"/>
              </w:rPr>
              <w:t>Manganese ('000 tonnes)</w:t>
            </w:r>
          </w:p>
        </w:tc>
        <w:tc>
          <w:tcPr>
            <w:tcW w:w="463" w:type="pct"/>
            <w:hideMark/>
          </w:tcPr>
          <w:p w14:paraId="105171A6" w14:textId="77777777" w:rsidR="00C15F2E" w:rsidRPr="00D96063" w:rsidRDefault="00C15F2E" w:rsidP="00053198">
            <w:pPr>
              <w:jc w:val="right"/>
              <w:rPr>
                <w:rFonts w:eastAsia="Times New Roman" w:cs="Calibri"/>
                <w:sz w:val="16"/>
                <w:szCs w:val="16"/>
              </w:rPr>
            </w:pPr>
            <w:r w:rsidRPr="00D96063">
              <w:rPr>
                <w:rFonts w:cs="Calibri"/>
                <w:sz w:val="16"/>
                <w:szCs w:val="16"/>
              </w:rPr>
              <w:t>1,531</w:t>
            </w:r>
          </w:p>
        </w:tc>
        <w:tc>
          <w:tcPr>
            <w:tcW w:w="540" w:type="pct"/>
            <w:hideMark/>
          </w:tcPr>
          <w:p w14:paraId="1F81A248" w14:textId="77777777" w:rsidR="00C15F2E" w:rsidRPr="00D96063" w:rsidRDefault="00C15F2E" w:rsidP="00053198">
            <w:pPr>
              <w:jc w:val="right"/>
              <w:rPr>
                <w:rFonts w:eastAsia="Times New Roman" w:cs="Calibri"/>
                <w:sz w:val="16"/>
                <w:szCs w:val="16"/>
              </w:rPr>
            </w:pPr>
            <w:r w:rsidRPr="00D96063">
              <w:rPr>
                <w:rFonts w:cs="Calibri"/>
                <w:sz w:val="16"/>
                <w:szCs w:val="16"/>
              </w:rPr>
              <w:t>1,563</w:t>
            </w:r>
          </w:p>
        </w:tc>
        <w:tc>
          <w:tcPr>
            <w:tcW w:w="540" w:type="pct"/>
            <w:hideMark/>
          </w:tcPr>
          <w:p w14:paraId="4B3B67BE" w14:textId="77777777" w:rsidR="00C15F2E" w:rsidRPr="00D96063" w:rsidRDefault="00C15F2E" w:rsidP="00053198">
            <w:pPr>
              <w:jc w:val="right"/>
              <w:rPr>
                <w:rFonts w:eastAsia="Times New Roman" w:cs="Calibri"/>
                <w:sz w:val="16"/>
                <w:szCs w:val="16"/>
              </w:rPr>
            </w:pPr>
            <w:r w:rsidRPr="00D96063">
              <w:rPr>
                <w:rFonts w:cs="Calibri"/>
                <w:sz w:val="16"/>
                <w:szCs w:val="16"/>
              </w:rPr>
              <w:t>2,035</w:t>
            </w:r>
          </w:p>
        </w:tc>
        <w:tc>
          <w:tcPr>
            <w:tcW w:w="540" w:type="pct"/>
            <w:hideMark/>
          </w:tcPr>
          <w:p w14:paraId="4107B7B8" w14:textId="77777777" w:rsidR="00C15F2E" w:rsidRPr="00D96063" w:rsidRDefault="00C15F2E" w:rsidP="00053198">
            <w:pPr>
              <w:jc w:val="right"/>
              <w:rPr>
                <w:rFonts w:eastAsia="Times New Roman" w:cs="Calibri"/>
                <w:sz w:val="16"/>
                <w:szCs w:val="16"/>
              </w:rPr>
            </w:pPr>
            <w:r w:rsidRPr="00D96063">
              <w:rPr>
                <w:rFonts w:cs="Calibri"/>
                <w:sz w:val="16"/>
                <w:szCs w:val="16"/>
              </w:rPr>
              <w:t>3,022</w:t>
            </w:r>
          </w:p>
        </w:tc>
        <w:tc>
          <w:tcPr>
            <w:tcW w:w="540" w:type="pct"/>
            <w:hideMark/>
          </w:tcPr>
          <w:p w14:paraId="601FE38F" w14:textId="77777777" w:rsidR="00C15F2E" w:rsidRPr="00D96063" w:rsidRDefault="00C15F2E" w:rsidP="00053198">
            <w:pPr>
              <w:jc w:val="right"/>
              <w:rPr>
                <w:rFonts w:eastAsia="Times New Roman" w:cs="Calibri"/>
                <w:sz w:val="16"/>
                <w:szCs w:val="16"/>
              </w:rPr>
            </w:pPr>
            <w:r w:rsidRPr="00D96063">
              <w:rPr>
                <w:rFonts w:cs="Calibri"/>
                <w:sz w:val="16"/>
                <w:szCs w:val="16"/>
              </w:rPr>
              <w:t>4,965</w:t>
            </w:r>
          </w:p>
        </w:tc>
        <w:tc>
          <w:tcPr>
            <w:tcW w:w="540" w:type="pct"/>
            <w:hideMark/>
          </w:tcPr>
          <w:p w14:paraId="4269DD5C" w14:textId="77777777" w:rsidR="00C15F2E" w:rsidRPr="00D96063" w:rsidRDefault="00C15F2E" w:rsidP="00053198">
            <w:pPr>
              <w:jc w:val="right"/>
              <w:rPr>
                <w:rFonts w:eastAsia="Times New Roman" w:cs="Calibri"/>
                <w:sz w:val="16"/>
                <w:szCs w:val="16"/>
              </w:rPr>
            </w:pPr>
            <w:r w:rsidRPr="00D96063">
              <w:rPr>
                <w:rFonts w:cs="Calibri"/>
                <w:sz w:val="16"/>
                <w:szCs w:val="16"/>
              </w:rPr>
              <w:t>5,401</w:t>
            </w:r>
          </w:p>
        </w:tc>
        <w:tc>
          <w:tcPr>
            <w:tcW w:w="540" w:type="pct"/>
          </w:tcPr>
          <w:p w14:paraId="725DE849" w14:textId="77777777" w:rsidR="00C15F2E" w:rsidRPr="00D96063" w:rsidRDefault="00C15F2E" w:rsidP="00053198">
            <w:pPr>
              <w:jc w:val="right"/>
              <w:rPr>
                <w:rFonts w:eastAsia="Times New Roman" w:cs="Calibri"/>
                <w:sz w:val="16"/>
                <w:szCs w:val="16"/>
              </w:rPr>
            </w:pPr>
            <w:r w:rsidRPr="00D96063">
              <w:rPr>
                <w:rFonts w:cs="Calibri"/>
                <w:sz w:val="16"/>
                <w:szCs w:val="16"/>
              </w:rPr>
              <w:t>2,360</w:t>
            </w:r>
          </w:p>
        </w:tc>
        <w:tc>
          <w:tcPr>
            <w:tcW w:w="540" w:type="pct"/>
          </w:tcPr>
          <w:p w14:paraId="17A53EDE" w14:textId="77777777" w:rsidR="00C15F2E" w:rsidRPr="00D96063" w:rsidRDefault="00C15F2E" w:rsidP="00053198">
            <w:pPr>
              <w:jc w:val="right"/>
              <w:rPr>
                <w:rFonts w:cs="Calibri"/>
                <w:sz w:val="16"/>
                <w:szCs w:val="16"/>
              </w:rPr>
            </w:pPr>
            <w:r w:rsidRPr="00D96063">
              <w:rPr>
                <w:rFonts w:cs="Calibri"/>
                <w:sz w:val="16"/>
                <w:szCs w:val="16"/>
              </w:rPr>
              <w:t>3,418</w:t>
            </w:r>
          </w:p>
        </w:tc>
      </w:tr>
    </w:tbl>
    <w:p w14:paraId="23067609" w14:textId="25F5FC86" w:rsidR="00C15F2E" w:rsidRPr="00D96063" w:rsidRDefault="00C15F2E" w:rsidP="00D868BF">
      <w:pPr>
        <w:pStyle w:val="NoteText"/>
        <w:spacing w:before="120" w:after="240"/>
        <w:rPr>
          <w:szCs w:val="18"/>
        </w:rPr>
      </w:pPr>
      <w:r w:rsidRPr="00D96063">
        <w:t>Source:</w:t>
      </w:r>
      <w:r w:rsidRPr="00D96063">
        <w:tab/>
        <w:t>Minerals Commission.</w:t>
      </w:r>
    </w:p>
    <w:bookmarkEnd w:id="222"/>
    <w:p w14:paraId="49EAF9BB" w14:textId="77777777" w:rsidR="00C15F2E" w:rsidRPr="00D96063" w:rsidRDefault="00C15F2E" w:rsidP="00C03C75">
      <w:pPr>
        <w:pStyle w:val="BodyText"/>
        <w:spacing w:after="200"/>
        <w:rPr>
          <w:szCs w:val="18"/>
        </w:rPr>
      </w:pPr>
      <w:r w:rsidRPr="00D96063">
        <w:t>The mining and quarrying sector contributed 12.2% towards GDP in 2020 (Table 1.1). Tax revenues in the mining sector amounted to close to GHS 3.6 billion in 2020 (15.6% of total government revenues)</w:t>
      </w:r>
      <w:r w:rsidRPr="00D96063">
        <w:rPr>
          <w:rStyle w:val="FootnoteReference"/>
          <w:szCs w:val="18"/>
        </w:rPr>
        <w:footnoteReference w:id="184"/>
      </w:r>
      <w:r w:rsidRPr="00D96063">
        <w:t>; export earnings from the four major minerals amounted to about USD 5.1 billion in 2021, down from about USD 7.2 billion in 2020 (Table 4.14); and FDI flows into the mining sector amounted to about USD 1.1 billion in 2021 (Table 4.15).</w:t>
      </w:r>
    </w:p>
    <w:p w14:paraId="567B5931" w14:textId="3233EC4D" w:rsidR="00C15F2E" w:rsidRPr="00D96063" w:rsidRDefault="00C15F2E" w:rsidP="00D868BF">
      <w:pPr>
        <w:pStyle w:val="Caption"/>
      </w:pPr>
      <w:bookmarkStart w:id="223" w:name="_Toc103607910"/>
      <w:r w:rsidRPr="00D96063">
        <w:t xml:space="preserve">Table </w:t>
      </w:r>
      <w:fldSimple w:instr=" STYLEREF 1 \s ">
        <w:r w:rsidR="004B63B1">
          <w:rPr>
            <w:noProof/>
          </w:rPr>
          <w:t>4</w:t>
        </w:r>
      </w:fldSimple>
      <w:r w:rsidR="00BF3184">
        <w:t>.</w:t>
      </w:r>
      <w:fldSimple w:instr=" SEQ Table \* ARABIC \s 1 ">
        <w:r w:rsidR="004B63B1">
          <w:rPr>
            <w:noProof/>
          </w:rPr>
          <w:t>14</w:t>
        </w:r>
      </w:fldSimple>
      <w:r w:rsidRPr="00D96063">
        <w:t xml:space="preserve"> Exports of minerals, 2014-21</w:t>
      </w:r>
      <w:bookmarkEnd w:id="223"/>
    </w:p>
    <w:p w14:paraId="551999F8" w14:textId="77777777" w:rsidR="00C15F2E" w:rsidRPr="00D96063" w:rsidRDefault="00C15F2E" w:rsidP="00D868BF">
      <w:pPr>
        <w:rPr>
          <w:sz w:val="16"/>
        </w:rPr>
      </w:pPr>
      <w:r w:rsidRPr="00D96063">
        <w:rPr>
          <w:sz w:val="16"/>
          <w:szCs w:val="16"/>
        </w:rPr>
        <w:t>(</w:t>
      </w:r>
      <w:r w:rsidRPr="00D96063">
        <w:rPr>
          <w:sz w:val="16"/>
        </w:rPr>
        <w:t>USD </w:t>
      </w:r>
      <w:r w:rsidRPr="00D96063">
        <w:rPr>
          <w:sz w:val="16"/>
          <w:szCs w:val="16"/>
        </w:rPr>
        <w:t>million)</w:t>
      </w:r>
    </w:p>
    <w:tbl>
      <w:tblPr>
        <w:tblStyle w:val="WTOTable1"/>
        <w:tblW w:w="5000" w:type="pct"/>
        <w:tblLook w:val="04A0" w:firstRow="1" w:lastRow="0" w:firstColumn="1" w:lastColumn="0" w:noHBand="0" w:noVBand="1"/>
      </w:tblPr>
      <w:tblGrid>
        <w:gridCol w:w="1290"/>
        <w:gridCol w:w="976"/>
        <w:gridCol w:w="889"/>
        <w:gridCol w:w="977"/>
        <w:gridCol w:w="977"/>
        <w:gridCol w:w="977"/>
        <w:gridCol w:w="977"/>
        <w:gridCol w:w="977"/>
        <w:gridCol w:w="976"/>
      </w:tblGrid>
      <w:tr w:rsidR="00C15F2E" w:rsidRPr="00D96063" w14:paraId="766F2697" w14:textId="77777777" w:rsidTr="00D94C7F">
        <w:trPr>
          <w:cnfStyle w:val="100000000000" w:firstRow="1" w:lastRow="0" w:firstColumn="0" w:lastColumn="0" w:oddVBand="0" w:evenVBand="0" w:oddHBand="0" w:evenHBand="0" w:firstRowFirstColumn="0" w:firstRowLastColumn="0" w:lastRowFirstColumn="0" w:lastRowLastColumn="0"/>
          <w:trHeight w:val="44"/>
        </w:trPr>
        <w:tc>
          <w:tcPr>
            <w:tcW w:w="715" w:type="pct"/>
            <w:hideMark/>
          </w:tcPr>
          <w:p w14:paraId="5234B1E2" w14:textId="77777777" w:rsidR="00C15F2E" w:rsidRPr="00D96063" w:rsidRDefault="00C15F2E" w:rsidP="00053198">
            <w:pPr>
              <w:jc w:val="center"/>
              <w:rPr>
                <w:sz w:val="16"/>
              </w:rPr>
            </w:pPr>
            <w:r w:rsidRPr="00D96063">
              <w:rPr>
                <w:sz w:val="16"/>
              </w:rPr>
              <w:t>Mineral</w:t>
            </w:r>
          </w:p>
        </w:tc>
        <w:tc>
          <w:tcPr>
            <w:tcW w:w="541" w:type="pct"/>
          </w:tcPr>
          <w:p w14:paraId="4A990F6E" w14:textId="77777777" w:rsidR="00C15F2E" w:rsidRPr="00D96063" w:rsidRDefault="00C15F2E" w:rsidP="00053198">
            <w:pPr>
              <w:jc w:val="right"/>
              <w:rPr>
                <w:sz w:val="16"/>
              </w:rPr>
            </w:pPr>
            <w:r w:rsidRPr="00D96063">
              <w:rPr>
                <w:sz w:val="16"/>
              </w:rPr>
              <w:t>2014</w:t>
            </w:r>
          </w:p>
        </w:tc>
        <w:tc>
          <w:tcPr>
            <w:tcW w:w="493" w:type="pct"/>
          </w:tcPr>
          <w:p w14:paraId="6CF1D11D" w14:textId="77777777" w:rsidR="00C15F2E" w:rsidRPr="00D96063" w:rsidRDefault="00C15F2E" w:rsidP="00053198">
            <w:pPr>
              <w:jc w:val="right"/>
              <w:rPr>
                <w:sz w:val="16"/>
              </w:rPr>
            </w:pPr>
            <w:r w:rsidRPr="00D96063">
              <w:rPr>
                <w:sz w:val="16"/>
              </w:rPr>
              <w:t>2015</w:t>
            </w:r>
          </w:p>
        </w:tc>
        <w:tc>
          <w:tcPr>
            <w:tcW w:w="542" w:type="pct"/>
          </w:tcPr>
          <w:p w14:paraId="13F043CB" w14:textId="77777777" w:rsidR="00C15F2E" w:rsidRPr="00D96063" w:rsidRDefault="00C15F2E" w:rsidP="00053198">
            <w:pPr>
              <w:jc w:val="right"/>
              <w:rPr>
                <w:sz w:val="16"/>
              </w:rPr>
            </w:pPr>
            <w:r w:rsidRPr="00D96063">
              <w:rPr>
                <w:sz w:val="16"/>
              </w:rPr>
              <w:t>2016</w:t>
            </w:r>
          </w:p>
        </w:tc>
        <w:tc>
          <w:tcPr>
            <w:tcW w:w="542" w:type="pct"/>
            <w:hideMark/>
          </w:tcPr>
          <w:p w14:paraId="036578C6" w14:textId="77777777" w:rsidR="00C15F2E" w:rsidRPr="00D96063" w:rsidRDefault="00C15F2E" w:rsidP="00053198">
            <w:pPr>
              <w:jc w:val="right"/>
              <w:rPr>
                <w:sz w:val="16"/>
              </w:rPr>
            </w:pPr>
            <w:r w:rsidRPr="00D96063">
              <w:rPr>
                <w:sz w:val="16"/>
              </w:rPr>
              <w:t>2017</w:t>
            </w:r>
          </w:p>
        </w:tc>
        <w:tc>
          <w:tcPr>
            <w:tcW w:w="542" w:type="pct"/>
            <w:hideMark/>
          </w:tcPr>
          <w:p w14:paraId="66D6F5FB" w14:textId="77777777" w:rsidR="00C15F2E" w:rsidRPr="00D96063" w:rsidRDefault="00C15F2E" w:rsidP="00053198">
            <w:pPr>
              <w:jc w:val="right"/>
              <w:rPr>
                <w:sz w:val="16"/>
              </w:rPr>
            </w:pPr>
            <w:r w:rsidRPr="00D96063">
              <w:rPr>
                <w:sz w:val="16"/>
              </w:rPr>
              <w:t>2018</w:t>
            </w:r>
          </w:p>
        </w:tc>
        <w:tc>
          <w:tcPr>
            <w:tcW w:w="542" w:type="pct"/>
            <w:hideMark/>
          </w:tcPr>
          <w:p w14:paraId="5FA784E9" w14:textId="77777777" w:rsidR="00C15F2E" w:rsidRPr="00D96063" w:rsidRDefault="00C15F2E" w:rsidP="00053198">
            <w:pPr>
              <w:jc w:val="right"/>
              <w:rPr>
                <w:sz w:val="16"/>
              </w:rPr>
            </w:pPr>
            <w:r w:rsidRPr="00D96063">
              <w:rPr>
                <w:sz w:val="16"/>
              </w:rPr>
              <w:t>2019</w:t>
            </w:r>
          </w:p>
        </w:tc>
        <w:tc>
          <w:tcPr>
            <w:tcW w:w="542" w:type="pct"/>
            <w:hideMark/>
          </w:tcPr>
          <w:p w14:paraId="38A2B99C" w14:textId="77777777" w:rsidR="00C15F2E" w:rsidRPr="00D96063" w:rsidRDefault="00C15F2E" w:rsidP="00053198">
            <w:pPr>
              <w:jc w:val="right"/>
              <w:rPr>
                <w:sz w:val="16"/>
              </w:rPr>
            </w:pPr>
            <w:r w:rsidRPr="00D96063">
              <w:rPr>
                <w:sz w:val="16"/>
              </w:rPr>
              <w:t>2020</w:t>
            </w:r>
          </w:p>
        </w:tc>
        <w:tc>
          <w:tcPr>
            <w:tcW w:w="541" w:type="pct"/>
          </w:tcPr>
          <w:p w14:paraId="55B75CC7" w14:textId="77777777" w:rsidR="00C15F2E" w:rsidRPr="00D96063" w:rsidRDefault="00C15F2E" w:rsidP="00053198">
            <w:pPr>
              <w:jc w:val="right"/>
              <w:rPr>
                <w:sz w:val="16"/>
              </w:rPr>
            </w:pPr>
            <w:r w:rsidRPr="00D96063">
              <w:rPr>
                <w:sz w:val="16"/>
              </w:rPr>
              <w:t>2021</w:t>
            </w:r>
          </w:p>
        </w:tc>
      </w:tr>
      <w:tr w:rsidR="00C15F2E" w:rsidRPr="00D96063" w14:paraId="08EC4A8D" w14:textId="77777777" w:rsidTr="00D94C7F">
        <w:tc>
          <w:tcPr>
            <w:tcW w:w="715" w:type="pct"/>
            <w:hideMark/>
          </w:tcPr>
          <w:p w14:paraId="21286911" w14:textId="77777777" w:rsidR="00C15F2E" w:rsidRPr="00D96063" w:rsidRDefault="00C15F2E" w:rsidP="00053198">
            <w:pPr>
              <w:rPr>
                <w:sz w:val="16"/>
                <w:szCs w:val="16"/>
              </w:rPr>
            </w:pPr>
            <w:r w:rsidRPr="00D96063">
              <w:rPr>
                <w:sz w:val="16"/>
                <w:szCs w:val="16"/>
              </w:rPr>
              <w:t>Gold</w:t>
            </w:r>
          </w:p>
        </w:tc>
        <w:tc>
          <w:tcPr>
            <w:tcW w:w="541" w:type="pct"/>
          </w:tcPr>
          <w:p w14:paraId="26536E8B" w14:textId="77777777" w:rsidR="00C15F2E" w:rsidRPr="00D96063" w:rsidRDefault="00C15F2E" w:rsidP="00053198">
            <w:pPr>
              <w:jc w:val="right"/>
              <w:rPr>
                <w:rFonts w:cs="Calibri"/>
                <w:sz w:val="16"/>
                <w:szCs w:val="16"/>
              </w:rPr>
            </w:pPr>
            <w:r w:rsidRPr="00D96063">
              <w:rPr>
                <w:rFonts w:cs="Calibri"/>
                <w:sz w:val="16"/>
                <w:szCs w:val="16"/>
              </w:rPr>
              <w:t>4,388</w:t>
            </w:r>
          </w:p>
        </w:tc>
        <w:tc>
          <w:tcPr>
            <w:tcW w:w="493" w:type="pct"/>
          </w:tcPr>
          <w:p w14:paraId="69C49B44" w14:textId="77777777" w:rsidR="00C15F2E" w:rsidRPr="00D96063" w:rsidRDefault="00C15F2E" w:rsidP="00053198">
            <w:pPr>
              <w:jc w:val="right"/>
              <w:rPr>
                <w:rFonts w:cs="Calibri"/>
                <w:sz w:val="16"/>
                <w:szCs w:val="16"/>
              </w:rPr>
            </w:pPr>
            <w:r w:rsidRPr="00D96063">
              <w:rPr>
                <w:rFonts w:cs="Calibri"/>
                <w:sz w:val="16"/>
                <w:szCs w:val="16"/>
              </w:rPr>
              <w:t>3,213</w:t>
            </w:r>
          </w:p>
        </w:tc>
        <w:tc>
          <w:tcPr>
            <w:tcW w:w="542" w:type="pct"/>
          </w:tcPr>
          <w:p w14:paraId="36857890" w14:textId="77777777" w:rsidR="00C15F2E" w:rsidRPr="00D96063" w:rsidRDefault="00C15F2E" w:rsidP="00053198">
            <w:pPr>
              <w:jc w:val="right"/>
              <w:rPr>
                <w:rFonts w:cs="Calibri"/>
                <w:sz w:val="16"/>
                <w:szCs w:val="16"/>
              </w:rPr>
            </w:pPr>
            <w:r w:rsidRPr="00D96063">
              <w:rPr>
                <w:rFonts w:cs="Calibri"/>
                <w:sz w:val="16"/>
                <w:szCs w:val="16"/>
              </w:rPr>
              <w:t>4,919</w:t>
            </w:r>
          </w:p>
        </w:tc>
        <w:tc>
          <w:tcPr>
            <w:tcW w:w="542" w:type="pct"/>
            <w:hideMark/>
          </w:tcPr>
          <w:p w14:paraId="396F05A1" w14:textId="77777777" w:rsidR="00C15F2E" w:rsidRPr="00D96063" w:rsidRDefault="00C15F2E" w:rsidP="00053198">
            <w:pPr>
              <w:jc w:val="right"/>
              <w:rPr>
                <w:rFonts w:cs="Calibri"/>
                <w:sz w:val="16"/>
                <w:szCs w:val="16"/>
              </w:rPr>
            </w:pPr>
            <w:r w:rsidRPr="00D96063">
              <w:rPr>
                <w:rFonts w:cs="Calibri"/>
                <w:sz w:val="16"/>
                <w:szCs w:val="16"/>
              </w:rPr>
              <w:t>5,787</w:t>
            </w:r>
          </w:p>
        </w:tc>
        <w:tc>
          <w:tcPr>
            <w:tcW w:w="542" w:type="pct"/>
            <w:hideMark/>
          </w:tcPr>
          <w:p w14:paraId="7337B8BE" w14:textId="77777777" w:rsidR="00C15F2E" w:rsidRPr="00D96063" w:rsidRDefault="00C15F2E" w:rsidP="00053198">
            <w:pPr>
              <w:jc w:val="right"/>
              <w:rPr>
                <w:rFonts w:cs="Calibri"/>
                <w:sz w:val="16"/>
                <w:szCs w:val="16"/>
              </w:rPr>
            </w:pPr>
            <w:r w:rsidRPr="00D96063">
              <w:rPr>
                <w:rFonts w:cs="Calibri"/>
                <w:sz w:val="16"/>
                <w:szCs w:val="16"/>
              </w:rPr>
              <w:t>5,436</w:t>
            </w:r>
          </w:p>
        </w:tc>
        <w:tc>
          <w:tcPr>
            <w:tcW w:w="542" w:type="pct"/>
            <w:hideMark/>
          </w:tcPr>
          <w:p w14:paraId="3BB74743" w14:textId="77777777" w:rsidR="00C15F2E" w:rsidRPr="00D96063" w:rsidRDefault="00C15F2E" w:rsidP="00053198">
            <w:pPr>
              <w:jc w:val="right"/>
              <w:rPr>
                <w:rFonts w:cs="Calibri"/>
                <w:sz w:val="16"/>
                <w:szCs w:val="16"/>
              </w:rPr>
            </w:pPr>
            <w:r w:rsidRPr="00D96063">
              <w:rPr>
                <w:rFonts w:cs="Calibri"/>
                <w:sz w:val="16"/>
                <w:szCs w:val="16"/>
              </w:rPr>
              <w:t>6,150</w:t>
            </w:r>
          </w:p>
        </w:tc>
        <w:tc>
          <w:tcPr>
            <w:tcW w:w="542" w:type="pct"/>
          </w:tcPr>
          <w:p w14:paraId="0135A119" w14:textId="77777777" w:rsidR="00C15F2E" w:rsidRPr="00D96063" w:rsidRDefault="00C15F2E" w:rsidP="00053198">
            <w:pPr>
              <w:jc w:val="right"/>
              <w:rPr>
                <w:rFonts w:cs="Calibri"/>
                <w:sz w:val="16"/>
                <w:szCs w:val="16"/>
              </w:rPr>
            </w:pPr>
            <w:r w:rsidRPr="00D96063">
              <w:rPr>
                <w:rFonts w:cs="Calibri"/>
                <w:sz w:val="16"/>
                <w:szCs w:val="16"/>
              </w:rPr>
              <w:t>6,972</w:t>
            </w:r>
          </w:p>
        </w:tc>
        <w:tc>
          <w:tcPr>
            <w:tcW w:w="541" w:type="pct"/>
          </w:tcPr>
          <w:p w14:paraId="0171E1B3" w14:textId="77777777" w:rsidR="00C15F2E" w:rsidRPr="00D96063" w:rsidRDefault="00C15F2E" w:rsidP="00053198">
            <w:pPr>
              <w:jc w:val="right"/>
              <w:rPr>
                <w:rFonts w:cs="Calibri"/>
                <w:sz w:val="16"/>
                <w:szCs w:val="16"/>
              </w:rPr>
            </w:pPr>
            <w:r w:rsidRPr="00D96063">
              <w:rPr>
                <w:rFonts w:cs="Calibri"/>
                <w:sz w:val="16"/>
                <w:szCs w:val="16"/>
              </w:rPr>
              <w:t>4,927</w:t>
            </w:r>
          </w:p>
        </w:tc>
      </w:tr>
      <w:tr w:rsidR="00C15F2E" w:rsidRPr="00D96063" w14:paraId="77ADF766" w14:textId="77777777" w:rsidTr="00D94C7F">
        <w:trPr>
          <w:cnfStyle w:val="000000010000" w:firstRow="0" w:lastRow="0" w:firstColumn="0" w:lastColumn="0" w:oddVBand="0" w:evenVBand="0" w:oddHBand="0" w:evenHBand="1" w:firstRowFirstColumn="0" w:firstRowLastColumn="0" w:lastRowFirstColumn="0" w:lastRowLastColumn="0"/>
        </w:trPr>
        <w:tc>
          <w:tcPr>
            <w:tcW w:w="715" w:type="pct"/>
            <w:hideMark/>
          </w:tcPr>
          <w:p w14:paraId="6BF4BCE0" w14:textId="77777777" w:rsidR="00C15F2E" w:rsidRPr="00D96063" w:rsidRDefault="00C15F2E" w:rsidP="00053198">
            <w:pPr>
              <w:rPr>
                <w:sz w:val="16"/>
                <w:szCs w:val="16"/>
              </w:rPr>
            </w:pPr>
            <w:r w:rsidRPr="00D96063">
              <w:rPr>
                <w:sz w:val="16"/>
                <w:szCs w:val="16"/>
              </w:rPr>
              <w:t>Diamonds</w:t>
            </w:r>
          </w:p>
        </w:tc>
        <w:tc>
          <w:tcPr>
            <w:tcW w:w="541" w:type="pct"/>
          </w:tcPr>
          <w:p w14:paraId="26FED10A" w14:textId="77777777" w:rsidR="00C15F2E" w:rsidRPr="00D96063" w:rsidRDefault="00C15F2E" w:rsidP="00053198">
            <w:pPr>
              <w:jc w:val="right"/>
              <w:rPr>
                <w:rFonts w:cs="Calibri"/>
                <w:sz w:val="16"/>
                <w:szCs w:val="16"/>
              </w:rPr>
            </w:pPr>
            <w:r w:rsidRPr="00D96063">
              <w:rPr>
                <w:rFonts w:cs="Calibri"/>
                <w:sz w:val="16"/>
                <w:szCs w:val="16"/>
              </w:rPr>
              <w:t>9.1</w:t>
            </w:r>
          </w:p>
        </w:tc>
        <w:tc>
          <w:tcPr>
            <w:tcW w:w="493" w:type="pct"/>
          </w:tcPr>
          <w:p w14:paraId="18A62A27" w14:textId="77777777" w:rsidR="00C15F2E" w:rsidRPr="00D96063" w:rsidRDefault="00C15F2E" w:rsidP="00053198">
            <w:pPr>
              <w:jc w:val="right"/>
              <w:rPr>
                <w:rFonts w:cs="Calibri"/>
                <w:sz w:val="16"/>
                <w:szCs w:val="16"/>
              </w:rPr>
            </w:pPr>
            <w:r w:rsidRPr="00D96063">
              <w:rPr>
                <w:rFonts w:cs="Calibri"/>
                <w:sz w:val="16"/>
                <w:szCs w:val="16"/>
              </w:rPr>
              <w:t>4.2</w:t>
            </w:r>
          </w:p>
        </w:tc>
        <w:tc>
          <w:tcPr>
            <w:tcW w:w="542" w:type="pct"/>
          </w:tcPr>
          <w:p w14:paraId="39ABD284" w14:textId="77777777" w:rsidR="00C15F2E" w:rsidRPr="00D96063" w:rsidRDefault="00C15F2E" w:rsidP="00053198">
            <w:pPr>
              <w:jc w:val="right"/>
              <w:rPr>
                <w:rFonts w:cs="Calibri"/>
                <w:sz w:val="16"/>
                <w:szCs w:val="16"/>
              </w:rPr>
            </w:pPr>
            <w:r w:rsidRPr="00D96063">
              <w:rPr>
                <w:rFonts w:cs="Calibri"/>
                <w:sz w:val="16"/>
                <w:szCs w:val="16"/>
              </w:rPr>
              <w:t>2.0</w:t>
            </w:r>
          </w:p>
        </w:tc>
        <w:tc>
          <w:tcPr>
            <w:tcW w:w="542" w:type="pct"/>
            <w:hideMark/>
          </w:tcPr>
          <w:p w14:paraId="0FB7DC36" w14:textId="77777777" w:rsidR="00C15F2E" w:rsidRPr="00D96063" w:rsidRDefault="00C15F2E" w:rsidP="00053198">
            <w:pPr>
              <w:jc w:val="right"/>
              <w:rPr>
                <w:rFonts w:cs="Calibri"/>
                <w:sz w:val="16"/>
                <w:szCs w:val="16"/>
              </w:rPr>
            </w:pPr>
            <w:r w:rsidRPr="00D96063">
              <w:rPr>
                <w:rFonts w:cs="Calibri"/>
                <w:sz w:val="16"/>
                <w:szCs w:val="16"/>
              </w:rPr>
              <w:t>3.0</w:t>
            </w:r>
          </w:p>
        </w:tc>
        <w:tc>
          <w:tcPr>
            <w:tcW w:w="542" w:type="pct"/>
            <w:hideMark/>
          </w:tcPr>
          <w:p w14:paraId="1B87B752" w14:textId="77777777" w:rsidR="00C15F2E" w:rsidRPr="00D96063" w:rsidRDefault="00C15F2E" w:rsidP="00053198">
            <w:pPr>
              <w:jc w:val="right"/>
              <w:rPr>
                <w:rFonts w:cs="Calibri"/>
                <w:sz w:val="16"/>
                <w:szCs w:val="16"/>
              </w:rPr>
            </w:pPr>
            <w:r w:rsidRPr="00D96063">
              <w:rPr>
                <w:rFonts w:cs="Calibri"/>
                <w:sz w:val="16"/>
                <w:szCs w:val="16"/>
              </w:rPr>
              <w:t>1.9</w:t>
            </w:r>
          </w:p>
        </w:tc>
        <w:tc>
          <w:tcPr>
            <w:tcW w:w="542" w:type="pct"/>
            <w:hideMark/>
          </w:tcPr>
          <w:p w14:paraId="40908501" w14:textId="77777777" w:rsidR="00C15F2E" w:rsidRPr="00D96063" w:rsidRDefault="00C15F2E" w:rsidP="00053198">
            <w:pPr>
              <w:jc w:val="right"/>
              <w:rPr>
                <w:rFonts w:cs="Calibri"/>
                <w:sz w:val="16"/>
                <w:szCs w:val="16"/>
              </w:rPr>
            </w:pPr>
            <w:r w:rsidRPr="00D96063">
              <w:rPr>
                <w:rFonts w:cs="Calibri"/>
                <w:sz w:val="16"/>
                <w:szCs w:val="16"/>
              </w:rPr>
              <w:t>0.8</w:t>
            </w:r>
          </w:p>
        </w:tc>
        <w:tc>
          <w:tcPr>
            <w:tcW w:w="542" w:type="pct"/>
          </w:tcPr>
          <w:p w14:paraId="034B4465" w14:textId="77777777" w:rsidR="00C15F2E" w:rsidRPr="00D96063" w:rsidRDefault="00C15F2E" w:rsidP="00053198">
            <w:pPr>
              <w:jc w:val="right"/>
              <w:rPr>
                <w:rFonts w:cs="Calibri"/>
                <w:sz w:val="16"/>
                <w:szCs w:val="16"/>
              </w:rPr>
            </w:pPr>
            <w:r w:rsidRPr="00D96063">
              <w:rPr>
                <w:rFonts w:cs="Calibri"/>
                <w:sz w:val="16"/>
                <w:szCs w:val="16"/>
              </w:rPr>
              <w:t>0.4</w:t>
            </w:r>
          </w:p>
        </w:tc>
        <w:tc>
          <w:tcPr>
            <w:tcW w:w="541" w:type="pct"/>
          </w:tcPr>
          <w:p w14:paraId="798B7FAD" w14:textId="77777777" w:rsidR="00C15F2E" w:rsidRPr="00D96063" w:rsidRDefault="00C15F2E" w:rsidP="00053198">
            <w:pPr>
              <w:jc w:val="right"/>
              <w:rPr>
                <w:rFonts w:cs="Calibri"/>
                <w:sz w:val="16"/>
                <w:szCs w:val="16"/>
              </w:rPr>
            </w:pPr>
            <w:r w:rsidRPr="00D96063">
              <w:rPr>
                <w:rFonts w:cs="Calibri"/>
                <w:sz w:val="16"/>
                <w:szCs w:val="16"/>
              </w:rPr>
              <w:t>1.6</w:t>
            </w:r>
          </w:p>
        </w:tc>
      </w:tr>
      <w:tr w:rsidR="00D94C7F" w:rsidRPr="00D96063" w14:paraId="54A9FD58" w14:textId="77777777" w:rsidTr="00D94C7F">
        <w:tc>
          <w:tcPr>
            <w:tcW w:w="715" w:type="pct"/>
            <w:hideMark/>
          </w:tcPr>
          <w:p w14:paraId="6BD410AE" w14:textId="77777777" w:rsidR="00C15F2E" w:rsidRPr="00D96063" w:rsidRDefault="00C15F2E" w:rsidP="00053198">
            <w:pPr>
              <w:rPr>
                <w:sz w:val="16"/>
                <w:szCs w:val="16"/>
              </w:rPr>
            </w:pPr>
            <w:r w:rsidRPr="00D96063">
              <w:rPr>
                <w:sz w:val="16"/>
                <w:szCs w:val="16"/>
              </w:rPr>
              <w:t>Bauxite</w:t>
            </w:r>
          </w:p>
        </w:tc>
        <w:tc>
          <w:tcPr>
            <w:tcW w:w="541" w:type="pct"/>
          </w:tcPr>
          <w:p w14:paraId="4190D16E" w14:textId="77777777" w:rsidR="00C15F2E" w:rsidRPr="00D96063" w:rsidRDefault="00C15F2E" w:rsidP="00053198">
            <w:pPr>
              <w:jc w:val="right"/>
              <w:rPr>
                <w:rFonts w:cs="Calibri"/>
                <w:sz w:val="16"/>
                <w:szCs w:val="16"/>
              </w:rPr>
            </w:pPr>
            <w:r w:rsidRPr="00D96063">
              <w:rPr>
                <w:rFonts w:cs="Calibri"/>
                <w:sz w:val="16"/>
                <w:szCs w:val="16"/>
              </w:rPr>
              <w:t>36</w:t>
            </w:r>
          </w:p>
        </w:tc>
        <w:tc>
          <w:tcPr>
            <w:tcW w:w="493" w:type="pct"/>
          </w:tcPr>
          <w:p w14:paraId="6BBF4A4A" w14:textId="77777777" w:rsidR="00C15F2E" w:rsidRPr="00D96063" w:rsidRDefault="00C15F2E" w:rsidP="00053198">
            <w:pPr>
              <w:jc w:val="right"/>
              <w:rPr>
                <w:rFonts w:cs="Calibri"/>
                <w:sz w:val="16"/>
                <w:szCs w:val="16"/>
              </w:rPr>
            </w:pPr>
            <w:r w:rsidRPr="00D96063">
              <w:rPr>
                <w:rFonts w:cs="Calibri"/>
                <w:sz w:val="16"/>
                <w:szCs w:val="16"/>
              </w:rPr>
              <w:t>41</w:t>
            </w:r>
          </w:p>
        </w:tc>
        <w:tc>
          <w:tcPr>
            <w:tcW w:w="542" w:type="pct"/>
          </w:tcPr>
          <w:p w14:paraId="2491F737" w14:textId="77777777" w:rsidR="00C15F2E" w:rsidRPr="00D96063" w:rsidRDefault="00C15F2E" w:rsidP="00053198">
            <w:pPr>
              <w:jc w:val="right"/>
              <w:rPr>
                <w:rFonts w:cs="Calibri"/>
                <w:sz w:val="16"/>
                <w:szCs w:val="16"/>
              </w:rPr>
            </w:pPr>
            <w:r w:rsidRPr="00D96063">
              <w:rPr>
                <w:rFonts w:cs="Calibri"/>
                <w:sz w:val="16"/>
                <w:szCs w:val="16"/>
              </w:rPr>
              <w:t>39</w:t>
            </w:r>
          </w:p>
        </w:tc>
        <w:tc>
          <w:tcPr>
            <w:tcW w:w="542" w:type="pct"/>
            <w:hideMark/>
          </w:tcPr>
          <w:p w14:paraId="0EC5B60D" w14:textId="77777777" w:rsidR="00C15F2E" w:rsidRPr="00D96063" w:rsidRDefault="00C15F2E" w:rsidP="00053198">
            <w:pPr>
              <w:jc w:val="right"/>
              <w:rPr>
                <w:rFonts w:cs="Calibri"/>
                <w:sz w:val="16"/>
                <w:szCs w:val="16"/>
              </w:rPr>
            </w:pPr>
            <w:r w:rsidRPr="00D96063">
              <w:rPr>
                <w:rFonts w:cs="Calibri"/>
                <w:sz w:val="16"/>
                <w:szCs w:val="16"/>
              </w:rPr>
              <w:t>51</w:t>
            </w:r>
          </w:p>
        </w:tc>
        <w:tc>
          <w:tcPr>
            <w:tcW w:w="542" w:type="pct"/>
            <w:hideMark/>
          </w:tcPr>
          <w:p w14:paraId="51E5C59F" w14:textId="77777777" w:rsidR="00C15F2E" w:rsidRPr="00D96063" w:rsidRDefault="00C15F2E" w:rsidP="00053198">
            <w:pPr>
              <w:jc w:val="right"/>
              <w:rPr>
                <w:rFonts w:cs="Calibri"/>
                <w:sz w:val="16"/>
                <w:szCs w:val="16"/>
              </w:rPr>
            </w:pPr>
            <w:r w:rsidRPr="00D96063">
              <w:rPr>
                <w:rFonts w:cs="Calibri"/>
                <w:sz w:val="16"/>
                <w:szCs w:val="16"/>
              </w:rPr>
              <w:t>25</w:t>
            </w:r>
          </w:p>
        </w:tc>
        <w:tc>
          <w:tcPr>
            <w:tcW w:w="542" w:type="pct"/>
            <w:hideMark/>
          </w:tcPr>
          <w:p w14:paraId="76DB47BD" w14:textId="77777777" w:rsidR="00C15F2E" w:rsidRPr="00D96063" w:rsidRDefault="00C15F2E" w:rsidP="00053198">
            <w:pPr>
              <w:jc w:val="right"/>
              <w:rPr>
                <w:rFonts w:cs="Calibri"/>
                <w:sz w:val="16"/>
                <w:szCs w:val="16"/>
              </w:rPr>
            </w:pPr>
            <w:r w:rsidRPr="00D96063">
              <w:rPr>
                <w:rFonts w:cs="Calibri"/>
                <w:sz w:val="16"/>
                <w:szCs w:val="16"/>
              </w:rPr>
              <w:t>36</w:t>
            </w:r>
          </w:p>
        </w:tc>
        <w:tc>
          <w:tcPr>
            <w:tcW w:w="542" w:type="pct"/>
          </w:tcPr>
          <w:p w14:paraId="555C1BD7" w14:textId="77777777" w:rsidR="00C15F2E" w:rsidRPr="00D96063" w:rsidRDefault="00C15F2E" w:rsidP="00053198">
            <w:pPr>
              <w:jc w:val="right"/>
              <w:rPr>
                <w:rFonts w:cs="Calibri"/>
                <w:sz w:val="16"/>
                <w:szCs w:val="16"/>
              </w:rPr>
            </w:pPr>
            <w:r w:rsidRPr="00D96063">
              <w:rPr>
                <w:rFonts w:cs="Calibri"/>
                <w:sz w:val="16"/>
                <w:szCs w:val="16"/>
              </w:rPr>
              <w:t>38</w:t>
            </w:r>
          </w:p>
        </w:tc>
        <w:tc>
          <w:tcPr>
            <w:tcW w:w="541" w:type="pct"/>
          </w:tcPr>
          <w:p w14:paraId="49A4DC73" w14:textId="77777777" w:rsidR="00C15F2E" w:rsidRPr="00D96063" w:rsidRDefault="00C15F2E" w:rsidP="00053198">
            <w:pPr>
              <w:jc w:val="right"/>
              <w:rPr>
                <w:rFonts w:cs="Calibri"/>
                <w:sz w:val="16"/>
                <w:szCs w:val="16"/>
              </w:rPr>
            </w:pPr>
            <w:r w:rsidRPr="00D96063">
              <w:rPr>
                <w:rFonts w:cs="Calibri"/>
                <w:sz w:val="16"/>
                <w:szCs w:val="16"/>
              </w:rPr>
              <w:t>20</w:t>
            </w:r>
          </w:p>
        </w:tc>
      </w:tr>
      <w:tr w:rsidR="00D94C7F" w:rsidRPr="00D96063" w14:paraId="73B5D69B" w14:textId="77777777" w:rsidTr="00D94C7F">
        <w:trPr>
          <w:cnfStyle w:val="000000010000" w:firstRow="0" w:lastRow="0" w:firstColumn="0" w:lastColumn="0" w:oddVBand="0" w:evenVBand="0" w:oddHBand="0" w:evenHBand="1" w:firstRowFirstColumn="0" w:firstRowLastColumn="0" w:lastRowFirstColumn="0" w:lastRowLastColumn="0"/>
        </w:trPr>
        <w:tc>
          <w:tcPr>
            <w:tcW w:w="715" w:type="pct"/>
          </w:tcPr>
          <w:p w14:paraId="5F957207" w14:textId="73D75898" w:rsidR="00D94C7F" w:rsidRPr="00D96063" w:rsidRDefault="00D94C7F" w:rsidP="00D94C7F">
            <w:pPr>
              <w:rPr>
                <w:sz w:val="16"/>
                <w:szCs w:val="18"/>
              </w:rPr>
            </w:pPr>
            <w:r w:rsidRPr="00D96063">
              <w:rPr>
                <w:sz w:val="16"/>
                <w:szCs w:val="18"/>
              </w:rPr>
              <w:t>Manganese</w:t>
            </w:r>
          </w:p>
        </w:tc>
        <w:tc>
          <w:tcPr>
            <w:tcW w:w="541" w:type="pct"/>
          </w:tcPr>
          <w:p w14:paraId="034450FC" w14:textId="276EAF8A" w:rsidR="00D94C7F" w:rsidRPr="00D96063" w:rsidRDefault="00D94C7F" w:rsidP="00D94C7F">
            <w:pPr>
              <w:jc w:val="right"/>
              <w:rPr>
                <w:rFonts w:cs="Calibri"/>
                <w:sz w:val="16"/>
                <w:szCs w:val="18"/>
              </w:rPr>
            </w:pPr>
            <w:r w:rsidRPr="00D96063">
              <w:rPr>
                <w:sz w:val="16"/>
                <w:szCs w:val="18"/>
              </w:rPr>
              <w:t>83</w:t>
            </w:r>
          </w:p>
        </w:tc>
        <w:tc>
          <w:tcPr>
            <w:tcW w:w="493" w:type="pct"/>
          </w:tcPr>
          <w:p w14:paraId="6EE3903C" w14:textId="5C50FF66" w:rsidR="00D94C7F" w:rsidRPr="00D96063" w:rsidRDefault="00D94C7F" w:rsidP="00D94C7F">
            <w:pPr>
              <w:jc w:val="right"/>
              <w:rPr>
                <w:rFonts w:cs="Calibri"/>
                <w:sz w:val="16"/>
                <w:szCs w:val="18"/>
              </w:rPr>
            </w:pPr>
            <w:r w:rsidRPr="00D96063">
              <w:rPr>
                <w:sz w:val="16"/>
                <w:szCs w:val="18"/>
              </w:rPr>
              <w:t>65</w:t>
            </w:r>
          </w:p>
        </w:tc>
        <w:tc>
          <w:tcPr>
            <w:tcW w:w="542" w:type="pct"/>
          </w:tcPr>
          <w:p w14:paraId="2B2152F3" w14:textId="2A62C3B9" w:rsidR="00D94C7F" w:rsidRPr="00D96063" w:rsidRDefault="00D94C7F" w:rsidP="00D94C7F">
            <w:pPr>
              <w:jc w:val="right"/>
              <w:rPr>
                <w:rFonts w:cs="Calibri"/>
                <w:sz w:val="16"/>
                <w:szCs w:val="18"/>
              </w:rPr>
            </w:pPr>
            <w:r w:rsidRPr="00D96063">
              <w:rPr>
                <w:sz w:val="16"/>
                <w:szCs w:val="18"/>
              </w:rPr>
              <w:t>100</w:t>
            </w:r>
          </w:p>
        </w:tc>
        <w:tc>
          <w:tcPr>
            <w:tcW w:w="542" w:type="pct"/>
          </w:tcPr>
          <w:p w14:paraId="3877F624" w14:textId="29FB579E" w:rsidR="00D94C7F" w:rsidRPr="00D96063" w:rsidRDefault="00D94C7F" w:rsidP="00D94C7F">
            <w:pPr>
              <w:jc w:val="right"/>
              <w:rPr>
                <w:rFonts w:cs="Calibri"/>
                <w:sz w:val="16"/>
                <w:szCs w:val="18"/>
              </w:rPr>
            </w:pPr>
            <w:r w:rsidRPr="00D96063">
              <w:rPr>
                <w:sz w:val="16"/>
                <w:szCs w:val="18"/>
              </w:rPr>
              <w:t>162</w:t>
            </w:r>
          </w:p>
        </w:tc>
        <w:tc>
          <w:tcPr>
            <w:tcW w:w="542" w:type="pct"/>
          </w:tcPr>
          <w:p w14:paraId="6D2A8FF4" w14:textId="2A5CFFD9" w:rsidR="00D94C7F" w:rsidRPr="00D96063" w:rsidRDefault="00D94C7F" w:rsidP="00D94C7F">
            <w:pPr>
              <w:jc w:val="right"/>
              <w:rPr>
                <w:rFonts w:cs="Calibri"/>
                <w:sz w:val="16"/>
                <w:szCs w:val="18"/>
              </w:rPr>
            </w:pPr>
            <w:r w:rsidRPr="00D96063">
              <w:rPr>
                <w:sz w:val="16"/>
                <w:szCs w:val="18"/>
              </w:rPr>
              <w:t>297</w:t>
            </w:r>
          </w:p>
        </w:tc>
        <w:tc>
          <w:tcPr>
            <w:tcW w:w="542" w:type="pct"/>
          </w:tcPr>
          <w:p w14:paraId="14E16B6B" w14:textId="4CCFEB31" w:rsidR="00D94C7F" w:rsidRPr="00D96063" w:rsidRDefault="00D94C7F" w:rsidP="00D94C7F">
            <w:pPr>
              <w:jc w:val="right"/>
              <w:rPr>
                <w:rFonts w:cs="Calibri"/>
                <w:sz w:val="16"/>
                <w:szCs w:val="18"/>
              </w:rPr>
            </w:pPr>
            <w:r w:rsidRPr="00D96063">
              <w:rPr>
                <w:sz w:val="16"/>
                <w:szCs w:val="18"/>
              </w:rPr>
              <w:t>412</w:t>
            </w:r>
          </w:p>
        </w:tc>
        <w:tc>
          <w:tcPr>
            <w:tcW w:w="542" w:type="pct"/>
          </w:tcPr>
          <w:p w14:paraId="26E2B161" w14:textId="5F7E9BF4" w:rsidR="00D94C7F" w:rsidRPr="00D96063" w:rsidRDefault="00D94C7F" w:rsidP="00D94C7F">
            <w:pPr>
              <w:jc w:val="right"/>
              <w:rPr>
                <w:rFonts w:cs="Calibri"/>
                <w:sz w:val="16"/>
                <w:szCs w:val="18"/>
              </w:rPr>
            </w:pPr>
            <w:r w:rsidRPr="00D96063">
              <w:rPr>
                <w:sz w:val="16"/>
                <w:szCs w:val="18"/>
              </w:rPr>
              <w:t>161</w:t>
            </w:r>
          </w:p>
        </w:tc>
        <w:tc>
          <w:tcPr>
            <w:tcW w:w="541" w:type="pct"/>
          </w:tcPr>
          <w:p w14:paraId="61BB90FB" w14:textId="1731C1B9" w:rsidR="00D94C7F" w:rsidRPr="00D96063" w:rsidRDefault="00D94C7F" w:rsidP="00D94C7F">
            <w:pPr>
              <w:jc w:val="right"/>
              <w:rPr>
                <w:rFonts w:cs="Calibri"/>
                <w:sz w:val="16"/>
                <w:szCs w:val="18"/>
              </w:rPr>
            </w:pPr>
            <w:r w:rsidRPr="00D96063">
              <w:rPr>
                <w:sz w:val="16"/>
                <w:szCs w:val="18"/>
              </w:rPr>
              <w:t>146</w:t>
            </w:r>
          </w:p>
        </w:tc>
      </w:tr>
    </w:tbl>
    <w:p w14:paraId="18690372" w14:textId="7B9D4B9A" w:rsidR="00C15F2E" w:rsidRPr="00D96063" w:rsidRDefault="00C15F2E" w:rsidP="00C03C75">
      <w:pPr>
        <w:pStyle w:val="NoteText"/>
        <w:spacing w:before="120" w:after="200"/>
        <w:ind w:left="0" w:firstLine="0"/>
        <w:jc w:val="both"/>
      </w:pPr>
      <w:r w:rsidRPr="00D96063">
        <w:t>Source:</w:t>
      </w:r>
      <w:r w:rsidR="00D94C7F" w:rsidRPr="00D96063">
        <w:tab/>
      </w:r>
      <w:r w:rsidRPr="00D96063">
        <w:t>Minerals Commission.</w:t>
      </w:r>
    </w:p>
    <w:p w14:paraId="0FB5E42A" w14:textId="6A311ACA" w:rsidR="00C15F2E" w:rsidRPr="00D96063" w:rsidRDefault="00C15F2E" w:rsidP="00C03C75">
      <w:pPr>
        <w:pStyle w:val="Caption"/>
        <w:keepNext w:val="0"/>
        <w:rPr>
          <w:szCs w:val="18"/>
        </w:rPr>
      </w:pPr>
      <w:bookmarkStart w:id="224" w:name="_Toc103607911"/>
      <w:bookmarkStart w:id="225" w:name="_Hlk98862916"/>
      <w:r w:rsidRPr="00D96063">
        <w:t xml:space="preserve">Table </w:t>
      </w:r>
      <w:fldSimple w:instr=" STYLEREF 1 \s ">
        <w:r w:rsidR="004B63B1">
          <w:rPr>
            <w:noProof/>
          </w:rPr>
          <w:t>4</w:t>
        </w:r>
      </w:fldSimple>
      <w:r w:rsidR="00BF3184">
        <w:t>.</w:t>
      </w:r>
      <w:fldSimple w:instr=" SEQ Table \* ARABIC \s 1 ">
        <w:r w:rsidR="004B63B1">
          <w:rPr>
            <w:noProof/>
          </w:rPr>
          <w:t>15</w:t>
        </w:r>
      </w:fldSimple>
      <w:r w:rsidRPr="00D96063">
        <w:t xml:space="preserve"> Foreign investment in the mining sector, 2014-21</w:t>
      </w:r>
      <w:bookmarkEnd w:id="224"/>
    </w:p>
    <w:p w14:paraId="4FFED821" w14:textId="77777777" w:rsidR="00C15F2E" w:rsidRPr="00D96063" w:rsidRDefault="00C15F2E" w:rsidP="00C03C75">
      <w:pPr>
        <w:rPr>
          <w:sz w:val="16"/>
          <w:szCs w:val="16"/>
        </w:rPr>
      </w:pPr>
      <w:r w:rsidRPr="00D96063">
        <w:rPr>
          <w:sz w:val="16"/>
          <w:szCs w:val="16"/>
        </w:rPr>
        <w:t>(USD million)</w:t>
      </w:r>
    </w:p>
    <w:tbl>
      <w:tblPr>
        <w:tblStyle w:val="WTOTable11"/>
        <w:tblW w:w="0" w:type="auto"/>
        <w:tblLook w:val="04A0" w:firstRow="1" w:lastRow="0" w:firstColumn="1" w:lastColumn="0" w:noHBand="0" w:noVBand="1"/>
      </w:tblPr>
      <w:tblGrid>
        <w:gridCol w:w="684"/>
        <w:gridCol w:w="2073"/>
        <w:gridCol w:w="2194"/>
        <w:gridCol w:w="2841"/>
        <w:gridCol w:w="1224"/>
      </w:tblGrid>
      <w:tr w:rsidR="00C55F19" w:rsidRPr="00D96063" w14:paraId="73BCB7ED" w14:textId="77777777" w:rsidTr="00C03C75">
        <w:trPr>
          <w:cnfStyle w:val="100000000000" w:firstRow="1" w:lastRow="0" w:firstColumn="0" w:lastColumn="0" w:oddVBand="0" w:evenVBand="0" w:oddHBand="0" w:evenHBand="0" w:firstRowFirstColumn="0" w:firstRowLastColumn="0" w:lastRowFirstColumn="0" w:lastRowLastColumn="0"/>
        </w:trPr>
        <w:tc>
          <w:tcPr>
            <w:tcW w:w="0" w:type="auto"/>
            <w:hideMark/>
          </w:tcPr>
          <w:p w14:paraId="7EB63EA7" w14:textId="77777777" w:rsidR="00C15F2E" w:rsidRPr="00D96063" w:rsidRDefault="00C15F2E" w:rsidP="00C03C75">
            <w:pPr>
              <w:rPr>
                <w:rFonts w:eastAsia="Times New Roman" w:cs="Calibri"/>
                <w:bCs/>
                <w:sz w:val="16"/>
                <w:szCs w:val="16"/>
                <w:lang w:eastAsia="ja-JP"/>
              </w:rPr>
            </w:pPr>
            <w:r w:rsidRPr="00D96063">
              <w:rPr>
                <w:rFonts w:eastAsia="Times New Roman" w:cs="Calibri"/>
                <w:bCs/>
                <w:color w:val="FFFFFF" w:themeColor="background1"/>
                <w:sz w:val="16"/>
                <w:szCs w:val="16"/>
                <w:lang w:eastAsia="ja-JP"/>
              </w:rPr>
              <w:t>Year</w:t>
            </w:r>
          </w:p>
        </w:tc>
        <w:tc>
          <w:tcPr>
            <w:tcW w:w="0" w:type="auto"/>
            <w:hideMark/>
          </w:tcPr>
          <w:p w14:paraId="308E969D" w14:textId="77777777" w:rsidR="00C15F2E" w:rsidRPr="00D96063" w:rsidRDefault="00C15F2E" w:rsidP="00C03C75">
            <w:pPr>
              <w:jc w:val="center"/>
              <w:rPr>
                <w:rFonts w:eastAsia="Times New Roman" w:cs="Calibri"/>
                <w:bCs/>
                <w:sz w:val="16"/>
                <w:szCs w:val="16"/>
                <w:lang w:eastAsia="ja-JP"/>
              </w:rPr>
            </w:pPr>
            <w:r w:rsidRPr="00D96063">
              <w:rPr>
                <w:rFonts w:eastAsia="Times New Roman" w:cs="Calibri"/>
                <w:bCs/>
                <w:color w:val="FFFFFF" w:themeColor="background1"/>
                <w:sz w:val="16"/>
                <w:szCs w:val="16"/>
                <w:lang w:eastAsia="ja-JP"/>
              </w:rPr>
              <w:t>Producing companies</w:t>
            </w:r>
          </w:p>
        </w:tc>
        <w:tc>
          <w:tcPr>
            <w:tcW w:w="0" w:type="auto"/>
            <w:hideMark/>
          </w:tcPr>
          <w:p w14:paraId="6934C7F2" w14:textId="77777777" w:rsidR="00C15F2E" w:rsidRPr="00D96063" w:rsidRDefault="00C15F2E" w:rsidP="00C03C75">
            <w:pPr>
              <w:jc w:val="center"/>
              <w:rPr>
                <w:rFonts w:eastAsia="Times New Roman" w:cs="Calibri"/>
                <w:bCs/>
                <w:sz w:val="16"/>
                <w:szCs w:val="16"/>
                <w:lang w:eastAsia="ja-JP"/>
              </w:rPr>
            </w:pPr>
            <w:r w:rsidRPr="00D96063">
              <w:rPr>
                <w:rFonts w:eastAsia="Times New Roman" w:cs="Calibri"/>
                <w:bCs/>
                <w:color w:val="FFFFFF" w:themeColor="background1"/>
                <w:sz w:val="16"/>
                <w:szCs w:val="16"/>
                <w:lang w:eastAsia="ja-JP"/>
              </w:rPr>
              <w:t>Exploration companies</w:t>
            </w:r>
          </w:p>
        </w:tc>
        <w:tc>
          <w:tcPr>
            <w:tcW w:w="2841" w:type="dxa"/>
            <w:hideMark/>
          </w:tcPr>
          <w:p w14:paraId="28E7709F" w14:textId="77777777" w:rsidR="00C15F2E" w:rsidRPr="00D96063" w:rsidRDefault="00C15F2E" w:rsidP="00C03C75">
            <w:pPr>
              <w:jc w:val="center"/>
              <w:rPr>
                <w:rFonts w:eastAsia="Times New Roman" w:cs="Calibri"/>
                <w:bCs/>
                <w:sz w:val="16"/>
                <w:szCs w:val="16"/>
                <w:lang w:eastAsia="ja-JP"/>
              </w:rPr>
            </w:pPr>
            <w:r w:rsidRPr="00D96063">
              <w:rPr>
                <w:rFonts w:eastAsia="Times New Roman" w:cs="Calibri"/>
                <w:bCs/>
                <w:color w:val="FFFFFF" w:themeColor="background1"/>
                <w:sz w:val="16"/>
                <w:szCs w:val="16"/>
                <w:lang w:eastAsia="ja-JP"/>
              </w:rPr>
              <w:t>Mine support services companies</w:t>
            </w:r>
          </w:p>
        </w:tc>
        <w:tc>
          <w:tcPr>
            <w:tcW w:w="1224" w:type="dxa"/>
            <w:hideMark/>
          </w:tcPr>
          <w:p w14:paraId="51D85835" w14:textId="77777777" w:rsidR="00C15F2E" w:rsidRPr="00D96063" w:rsidRDefault="00C15F2E" w:rsidP="00C03C75">
            <w:pPr>
              <w:jc w:val="center"/>
              <w:rPr>
                <w:rFonts w:eastAsia="Times New Roman" w:cs="Calibri"/>
                <w:bCs/>
                <w:sz w:val="16"/>
                <w:szCs w:val="16"/>
                <w:lang w:eastAsia="ja-JP"/>
              </w:rPr>
            </w:pPr>
            <w:r w:rsidRPr="00D96063">
              <w:rPr>
                <w:rFonts w:eastAsia="Times New Roman" w:cs="Calibri"/>
                <w:bCs/>
                <w:color w:val="FFFFFF" w:themeColor="background1"/>
                <w:sz w:val="16"/>
                <w:szCs w:val="16"/>
                <w:lang w:eastAsia="ja-JP"/>
              </w:rPr>
              <w:t>Total</w:t>
            </w:r>
          </w:p>
        </w:tc>
      </w:tr>
      <w:tr w:rsidR="00C15F2E" w:rsidRPr="00D96063" w14:paraId="36CA95F2" w14:textId="77777777" w:rsidTr="00C03C75">
        <w:tc>
          <w:tcPr>
            <w:tcW w:w="0" w:type="auto"/>
            <w:noWrap/>
            <w:hideMark/>
          </w:tcPr>
          <w:p w14:paraId="29E8F4A9" w14:textId="77777777" w:rsidR="00C15F2E" w:rsidRPr="00D96063" w:rsidRDefault="00C15F2E" w:rsidP="00C03C75">
            <w:pPr>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2014</w:t>
            </w:r>
          </w:p>
        </w:tc>
        <w:tc>
          <w:tcPr>
            <w:tcW w:w="0" w:type="auto"/>
            <w:noWrap/>
            <w:hideMark/>
          </w:tcPr>
          <w:p w14:paraId="68FED115"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796</w:t>
            </w:r>
          </w:p>
        </w:tc>
        <w:tc>
          <w:tcPr>
            <w:tcW w:w="0" w:type="auto"/>
            <w:noWrap/>
            <w:hideMark/>
          </w:tcPr>
          <w:p w14:paraId="12A7FCBB"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135</w:t>
            </w:r>
          </w:p>
        </w:tc>
        <w:tc>
          <w:tcPr>
            <w:tcW w:w="2841" w:type="dxa"/>
            <w:noWrap/>
            <w:hideMark/>
          </w:tcPr>
          <w:p w14:paraId="51974D33" w14:textId="77777777" w:rsidR="00C15F2E" w:rsidRPr="00D96063" w:rsidRDefault="00C15F2E" w:rsidP="00C03C75">
            <w:pPr>
              <w:ind w:right="1134"/>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19</w:t>
            </w:r>
          </w:p>
        </w:tc>
        <w:tc>
          <w:tcPr>
            <w:tcW w:w="1224" w:type="dxa"/>
            <w:noWrap/>
            <w:hideMark/>
          </w:tcPr>
          <w:p w14:paraId="3479915E" w14:textId="77777777" w:rsidR="00C15F2E" w:rsidRPr="00D96063" w:rsidRDefault="00C15F2E" w:rsidP="00C03C75">
            <w:pPr>
              <w:ind w:right="22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950</w:t>
            </w:r>
          </w:p>
        </w:tc>
      </w:tr>
      <w:tr w:rsidR="00C55F19" w:rsidRPr="00D96063" w14:paraId="1EFC5E70" w14:textId="77777777" w:rsidTr="00C03C75">
        <w:trPr>
          <w:cnfStyle w:val="000000010000" w:firstRow="0" w:lastRow="0" w:firstColumn="0" w:lastColumn="0" w:oddVBand="0" w:evenVBand="0" w:oddHBand="0" w:evenHBand="1" w:firstRowFirstColumn="0" w:firstRowLastColumn="0" w:lastRowFirstColumn="0" w:lastRowLastColumn="0"/>
        </w:trPr>
        <w:tc>
          <w:tcPr>
            <w:tcW w:w="0" w:type="auto"/>
            <w:noWrap/>
            <w:hideMark/>
          </w:tcPr>
          <w:p w14:paraId="14E733BE" w14:textId="77777777" w:rsidR="00C15F2E" w:rsidRPr="00D96063" w:rsidRDefault="00C15F2E" w:rsidP="00C03C75">
            <w:pPr>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2015</w:t>
            </w:r>
          </w:p>
        </w:tc>
        <w:tc>
          <w:tcPr>
            <w:tcW w:w="0" w:type="auto"/>
            <w:noWrap/>
            <w:hideMark/>
          </w:tcPr>
          <w:p w14:paraId="04B8B6CD"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839</w:t>
            </w:r>
          </w:p>
        </w:tc>
        <w:tc>
          <w:tcPr>
            <w:tcW w:w="0" w:type="auto"/>
            <w:noWrap/>
            <w:hideMark/>
          </w:tcPr>
          <w:p w14:paraId="3D49817B"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84</w:t>
            </w:r>
          </w:p>
        </w:tc>
        <w:tc>
          <w:tcPr>
            <w:tcW w:w="2841" w:type="dxa"/>
            <w:noWrap/>
            <w:hideMark/>
          </w:tcPr>
          <w:p w14:paraId="47F92F90" w14:textId="77777777" w:rsidR="00C15F2E" w:rsidRPr="00D96063" w:rsidRDefault="00C15F2E" w:rsidP="00C03C75">
            <w:pPr>
              <w:ind w:right="1134"/>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19</w:t>
            </w:r>
          </w:p>
        </w:tc>
        <w:tc>
          <w:tcPr>
            <w:tcW w:w="1224" w:type="dxa"/>
            <w:noWrap/>
            <w:hideMark/>
          </w:tcPr>
          <w:p w14:paraId="3DA28606" w14:textId="77777777" w:rsidR="00C15F2E" w:rsidRPr="00D96063" w:rsidRDefault="00C15F2E" w:rsidP="00C03C75">
            <w:pPr>
              <w:ind w:right="22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942</w:t>
            </w:r>
          </w:p>
        </w:tc>
      </w:tr>
      <w:tr w:rsidR="00C15F2E" w:rsidRPr="00D96063" w14:paraId="6F9AB69B" w14:textId="77777777" w:rsidTr="00C03C75">
        <w:tc>
          <w:tcPr>
            <w:tcW w:w="0" w:type="auto"/>
            <w:noWrap/>
            <w:hideMark/>
          </w:tcPr>
          <w:p w14:paraId="52BFA263" w14:textId="77777777" w:rsidR="00C15F2E" w:rsidRPr="00D96063" w:rsidRDefault="00C15F2E" w:rsidP="00C03C75">
            <w:pPr>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2016</w:t>
            </w:r>
          </w:p>
        </w:tc>
        <w:tc>
          <w:tcPr>
            <w:tcW w:w="0" w:type="auto"/>
            <w:noWrap/>
            <w:hideMark/>
          </w:tcPr>
          <w:p w14:paraId="1CC5968B"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839</w:t>
            </w:r>
          </w:p>
        </w:tc>
        <w:tc>
          <w:tcPr>
            <w:tcW w:w="0" w:type="auto"/>
            <w:noWrap/>
            <w:hideMark/>
          </w:tcPr>
          <w:p w14:paraId="632D1F85"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83</w:t>
            </w:r>
          </w:p>
        </w:tc>
        <w:tc>
          <w:tcPr>
            <w:tcW w:w="2841" w:type="dxa"/>
            <w:noWrap/>
            <w:hideMark/>
          </w:tcPr>
          <w:p w14:paraId="551F2707" w14:textId="77777777" w:rsidR="00C15F2E" w:rsidRPr="00D96063" w:rsidRDefault="00C15F2E" w:rsidP="00C03C75">
            <w:pPr>
              <w:ind w:right="1134"/>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50</w:t>
            </w:r>
          </w:p>
        </w:tc>
        <w:tc>
          <w:tcPr>
            <w:tcW w:w="1224" w:type="dxa"/>
            <w:noWrap/>
            <w:hideMark/>
          </w:tcPr>
          <w:p w14:paraId="27291F19" w14:textId="77777777" w:rsidR="00C15F2E" w:rsidRPr="00D96063" w:rsidRDefault="00C15F2E" w:rsidP="00C03C75">
            <w:pPr>
              <w:ind w:right="22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972</w:t>
            </w:r>
          </w:p>
        </w:tc>
      </w:tr>
      <w:tr w:rsidR="00C55F19" w:rsidRPr="00D96063" w14:paraId="246D4928" w14:textId="77777777" w:rsidTr="00C03C75">
        <w:trPr>
          <w:cnfStyle w:val="000000010000" w:firstRow="0" w:lastRow="0" w:firstColumn="0" w:lastColumn="0" w:oddVBand="0" w:evenVBand="0" w:oddHBand="0" w:evenHBand="1" w:firstRowFirstColumn="0" w:firstRowLastColumn="0" w:lastRowFirstColumn="0" w:lastRowLastColumn="0"/>
        </w:trPr>
        <w:tc>
          <w:tcPr>
            <w:tcW w:w="0" w:type="auto"/>
            <w:noWrap/>
            <w:hideMark/>
          </w:tcPr>
          <w:p w14:paraId="1D5C3ED0" w14:textId="77777777" w:rsidR="00C15F2E" w:rsidRPr="00D96063" w:rsidRDefault="00C15F2E" w:rsidP="00C03C75">
            <w:pPr>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2017</w:t>
            </w:r>
          </w:p>
        </w:tc>
        <w:tc>
          <w:tcPr>
            <w:tcW w:w="0" w:type="auto"/>
            <w:noWrap/>
            <w:hideMark/>
          </w:tcPr>
          <w:p w14:paraId="76E2779E"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877</w:t>
            </w:r>
          </w:p>
        </w:tc>
        <w:tc>
          <w:tcPr>
            <w:tcW w:w="0" w:type="auto"/>
            <w:noWrap/>
            <w:hideMark/>
          </w:tcPr>
          <w:p w14:paraId="6913E23B"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124</w:t>
            </w:r>
          </w:p>
        </w:tc>
        <w:tc>
          <w:tcPr>
            <w:tcW w:w="2841" w:type="dxa"/>
            <w:noWrap/>
            <w:hideMark/>
          </w:tcPr>
          <w:p w14:paraId="3ADAD8C3" w14:textId="77777777" w:rsidR="00C15F2E" w:rsidRPr="00D96063" w:rsidRDefault="00C15F2E" w:rsidP="00C03C75">
            <w:pPr>
              <w:ind w:right="1134"/>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35</w:t>
            </w:r>
          </w:p>
        </w:tc>
        <w:tc>
          <w:tcPr>
            <w:tcW w:w="1224" w:type="dxa"/>
            <w:noWrap/>
            <w:hideMark/>
          </w:tcPr>
          <w:p w14:paraId="78BA76D2" w14:textId="77777777" w:rsidR="00C15F2E" w:rsidRPr="00D96063" w:rsidRDefault="00C15F2E" w:rsidP="00C03C75">
            <w:pPr>
              <w:ind w:right="22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1,036</w:t>
            </w:r>
          </w:p>
        </w:tc>
      </w:tr>
      <w:tr w:rsidR="00C15F2E" w:rsidRPr="00D96063" w14:paraId="0A7BEBDC" w14:textId="77777777" w:rsidTr="00C03C75">
        <w:tc>
          <w:tcPr>
            <w:tcW w:w="0" w:type="auto"/>
            <w:noWrap/>
            <w:hideMark/>
          </w:tcPr>
          <w:p w14:paraId="0F9C488B" w14:textId="77777777" w:rsidR="00C15F2E" w:rsidRPr="00D96063" w:rsidRDefault="00C15F2E" w:rsidP="00C03C75">
            <w:pPr>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2018</w:t>
            </w:r>
          </w:p>
        </w:tc>
        <w:tc>
          <w:tcPr>
            <w:tcW w:w="0" w:type="auto"/>
            <w:noWrap/>
            <w:hideMark/>
          </w:tcPr>
          <w:p w14:paraId="7997BB22"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793</w:t>
            </w:r>
          </w:p>
        </w:tc>
        <w:tc>
          <w:tcPr>
            <w:tcW w:w="0" w:type="auto"/>
            <w:noWrap/>
            <w:hideMark/>
          </w:tcPr>
          <w:p w14:paraId="4CF301DC"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140</w:t>
            </w:r>
          </w:p>
        </w:tc>
        <w:tc>
          <w:tcPr>
            <w:tcW w:w="2841" w:type="dxa"/>
            <w:noWrap/>
            <w:hideMark/>
          </w:tcPr>
          <w:p w14:paraId="219B2E2A" w14:textId="77777777" w:rsidR="00C15F2E" w:rsidRPr="00D96063" w:rsidRDefault="00C15F2E" w:rsidP="00C03C75">
            <w:pPr>
              <w:ind w:right="1134"/>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20</w:t>
            </w:r>
          </w:p>
        </w:tc>
        <w:tc>
          <w:tcPr>
            <w:tcW w:w="1224" w:type="dxa"/>
            <w:noWrap/>
            <w:hideMark/>
          </w:tcPr>
          <w:p w14:paraId="5946C18C" w14:textId="77777777" w:rsidR="00C15F2E" w:rsidRPr="00D96063" w:rsidRDefault="00C15F2E" w:rsidP="00C03C75">
            <w:pPr>
              <w:ind w:right="22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953</w:t>
            </w:r>
          </w:p>
        </w:tc>
      </w:tr>
      <w:tr w:rsidR="00C55F19" w:rsidRPr="00D96063" w14:paraId="1BFE668D" w14:textId="77777777" w:rsidTr="00C03C75">
        <w:trPr>
          <w:cnfStyle w:val="000000010000" w:firstRow="0" w:lastRow="0" w:firstColumn="0" w:lastColumn="0" w:oddVBand="0" w:evenVBand="0" w:oddHBand="0" w:evenHBand="1" w:firstRowFirstColumn="0" w:firstRowLastColumn="0" w:lastRowFirstColumn="0" w:lastRowLastColumn="0"/>
        </w:trPr>
        <w:tc>
          <w:tcPr>
            <w:tcW w:w="0" w:type="auto"/>
            <w:noWrap/>
            <w:hideMark/>
          </w:tcPr>
          <w:p w14:paraId="4F13FBC9" w14:textId="77777777" w:rsidR="00C15F2E" w:rsidRPr="00D96063" w:rsidRDefault="00C15F2E" w:rsidP="00C03C75">
            <w:pPr>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2019</w:t>
            </w:r>
          </w:p>
        </w:tc>
        <w:tc>
          <w:tcPr>
            <w:tcW w:w="0" w:type="auto"/>
            <w:noWrap/>
            <w:hideMark/>
          </w:tcPr>
          <w:p w14:paraId="4CAF35F2"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832</w:t>
            </w:r>
          </w:p>
        </w:tc>
        <w:tc>
          <w:tcPr>
            <w:tcW w:w="0" w:type="auto"/>
            <w:noWrap/>
            <w:hideMark/>
          </w:tcPr>
          <w:p w14:paraId="78B55C47" w14:textId="77777777" w:rsidR="00C15F2E" w:rsidRPr="00D96063" w:rsidRDefault="00C15F2E" w:rsidP="00C03C75">
            <w:pPr>
              <w:ind w:right="56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147</w:t>
            </w:r>
          </w:p>
        </w:tc>
        <w:tc>
          <w:tcPr>
            <w:tcW w:w="2841" w:type="dxa"/>
            <w:noWrap/>
            <w:hideMark/>
          </w:tcPr>
          <w:p w14:paraId="60A2080D" w14:textId="77777777" w:rsidR="00C15F2E" w:rsidRPr="00D96063" w:rsidRDefault="00C15F2E" w:rsidP="00C03C75">
            <w:pPr>
              <w:ind w:right="1134"/>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21</w:t>
            </w:r>
          </w:p>
        </w:tc>
        <w:tc>
          <w:tcPr>
            <w:tcW w:w="1224" w:type="dxa"/>
            <w:noWrap/>
            <w:hideMark/>
          </w:tcPr>
          <w:p w14:paraId="431BC918" w14:textId="77777777" w:rsidR="00C15F2E" w:rsidRPr="00D96063" w:rsidRDefault="00C15F2E" w:rsidP="00C03C75">
            <w:pPr>
              <w:ind w:right="227"/>
              <w:jc w:val="right"/>
              <w:rPr>
                <w:rFonts w:eastAsia="Times New Roman" w:cs="Calibri"/>
                <w:color w:val="000000"/>
                <w:sz w:val="16"/>
                <w:szCs w:val="16"/>
                <w:lang w:eastAsia="ja-JP"/>
              </w:rPr>
            </w:pPr>
            <w:r w:rsidRPr="00D96063">
              <w:rPr>
                <w:rFonts w:eastAsia="Times New Roman" w:cs="Calibri"/>
                <w:color w:val="000000"/>
                <w:w w:val="115"/>
                <w:sz w:val="16"/>
                <w:szCs w:val="16"/>
                <w:lang w:eastAsia="ja-JP"/>
              </w:rPr>
              <w:t>1,000</w:t>
            </w:r>
          </w:p>
        </w:tc>
      </w:tr>
      <w:tr w:rsidR="00C15F2E" w:rsidRPr="00D96063" w14:paraId="16B59928" w14:textId="77777777" w:rsidTr="00C03C75">
        <w:tc>
          <w:tcPr>
            <w:tcW w:w="0" w:type="auto"/>
            <w:noWrap/>
            <w:hideMark/>
          </w:tcPr>
          <w:p w14:paraId="09B0F7FB" w14:textId="77777777" w:rsidR="00C15F2E" w:rsidRPr="00D96063" w:rsidRDefault="00C15F2E" w:rsidP="00C03C75">
            <w:pPr>
              <w:jc w:val="right"/>
              <w:rPr>
                <w:rFonts w:eastAsia="Times New Roman" w:cs="Calibri"/>
                <w:color w:val="000000"/>
                <w:w w:val="115"/>
                <w:sz w:val="16"/>
                <w:szCs w:val="16"/>
                <w:lang w:eastAsia="ja-JP"/>
              </w:rPr>
            </w:pPr>
            <w:r w:rsidRPr="00D96063">
              <w:rPr>
                <w:rFonts w:eastAsia="Times New Roman" w:cs="Calibri"/>
                <w:color w:val="000000"/>
                <w:w w:val="115"/>
                <w:sz w:val="16"/>
                <w:szCs w:val="16"/>
                <w:lang w:eastAsia="ja-JP"/>
              </w:rPr>
              <w:t>2020</w:t>
            </w:r>
          </w:p>
        </w:tc>
        <w:tc>
          <w:tcPr>
            <w:tcW w:w="0" w:type="auto"/>
            <w:noWrap/>
            <w:hideMark/>
          </w:tcPr>
          <w:p w14:paraId="652619F8" w14:textId="77777777" w:rsidR="00C15F2E" w:rsidRPr="00D96063" w:rsidRDefault="00C15F2E" w:rsidP="00C03C75">
            <w:pPr>
              <w:ind w:right="567"/>
              <w:jc w:val="right"/>
              <w:rPr>
                <w:rFonts w:eastAsia="Times New Roman" w:cs="Calibri"/>
                <w:color w:val="000000"/>
                <w:w w:val="115"/>
                <w:sz w:val="16"/>
                <w:szCs w:val="16"/>
                <w:lang w:eastAsia="ja-JP"/>
              </w:rPr>
            </w:pPr>
            <w:r w:rsidRPr="00D96063">
              <w:rPr>
                <w:rFonts w:eastAsia="Times New Roman" w:cs="Calibri"/>
                <w:color w:val="000000"/>
                <w:w w:val="115"/>
                <w:sz w:val="16"/>
                <w:szCs w:val="16"/>
                <w:lang w:eastAsia="ja-JP"/>
              </w:rPr>
              <w:t>874</w:t>
            </w:r>
          </w:p>
        </w:tc>
        <w:tc>
          <w:tcPr>
            <w:tcW w:w="0" w:type="auto"/>
            <w:noWrap/>
            <w:hideMark/>
          </w:tcPr>
          <w:p w14:paraId="01BF2B5F" w14:textId="77777777" w:rsidR="00C15F2E" w:rsidRPr="00D96063" w:rsidRDefault="00C15F2E" w:rsidP="00C03C75">
            <w:pPr>
              <w:ind w:right="567"/>
              <w:jc w:val="right"/>
              <w:rPr>
                <w:rFonts w:eastAsia="Times New Roman" w:cs="Calibri"/>
                <w:color w:val="000000"/>
                <w:w w:val="115"/>
                <w:sz w:val="16"/>
                <w:szCs w:val="16"/>
                <w:lang w:eastAsia="ja-JP"/>
              </w:rPr>
            </w:pPr>
            <w:r w:rsidRPr="00D96063">
              <w:rPr>
                <w:rFonts w:eastAsia="Times New Roman" w:cs="Calibri"/>
                <w:color w:val="000000"/>
                <w:w w:val="115"/>
                <w:sz w:val="16"/>
                <w:szCs w:val="16"/>
                <w:lang w:eastAsia="ja-JP"/>
              </w:rPr>
              <w:t>154</w:t>
            </w:r>
          </w:p>
        </w:tc>
        <w:tc>
          <w:tcPr>
            <w:tcW w:w="2841" w:type="dxa"/>
            <w:noWrap/>
            <w:hideMark/>
          </w:tcPr>
          <w:p w14:paraId="1DEF7AAF" w14:textId="77777777" w:rsidR="00C15F2E" w:rsidRPr="00D96063" w:rsidRDefault="00C15F2E" w:rsidP="00C03C75">
            <w:pPr>
              <w:ind w:right="1134"/>
              <w:jc w:val="right"/>
              <w:rPr>
                <w:rFonts w:eastAsia="Times New Roman" w:cs="Calibri"/>
                <w:color w:val="000000"/>
                <w:w w:val="115"/>
                <w:sz w:val="16"/>
                <w:szCs w:val="16"/>
                <w:lang w:eastAsia="ja-JP"/>
              </w:rPr>
            </w:pPr>
            <w:r w:rsidRPr="00D96063">
              <w:rPr>
                <w:rFonts w:eastAsia="Times New Roman" w:cs="Calibri"/>
                <w:color w:val="000000"/>
                <w:w w:val="115"/>
                <w:sz w:val="16"/>
                <w:szCs w:val="16"/>
                <w:lang w:eastAsia="ja-JP"/>
              </w:rPr>
              <w:t>23</w:t>
            </w:r>
          </w:p>
        </w:tc>
        <w:tc>
          <w:tcPr>
            <w:tcW w:w="1224" w:type="dxa"/>
            <w:noWrap/>
            <w:hideMark/>
          </w:tcPr>
          <w:p w14:paraId="074254A3" w14:textId="77777777" w:rsidR="00C15F2E" w:rsidRPr="00D96063" w:rsidRDefault="00C15F2E" w:rsidP="00C03C75">
            <w:pPr>
              <w:ind w:right="227"/>
              <w:jc w:val="right"/>
              <w:rPr>
                <w:rFonts w:eastAsia="Times New Roman" w:cs="Calibri"/>
                <w:color w:val="000000"/>
                <w:w w:val="115"/>
                <w:sz w:val="16"/>
                <w:szCs w:val="16"/>
                <w:lang w:eastAsia="ja-JP"/>
              </w:rPr>
            </w:pPr>
            <w:r w:rsidRPr="00D96063">
              <w:rPr>
                <w:rFonts w:eastAsia="Times New Roman" w:cs="Calibri"/>
                <w:color w:val="000000"/>
                <w:w w:val="115"/>
                <w:sz w:val="16"/>
                <w:szCs w:val="16"/>
                <w:lang w:eastAsia="ja-JP"/>
              </w:rPr>
              <w:t>1,051</w:t>
            </w:r>
          </w:p>
        </w:tc>
      </w:tr>
      <w:tr w:rsidR="00C55F19" w:rsidRPr="00D96063" w14:paraId="0AD955BF" w14:textId="77777777" w:rsidTr="00C03C75">
        <w:trPr>
          <w:cnfStyle w:val="000000010000" w:firstRow="0" w:lastRow="0" w:firstColumn="0" w:lastColumn="0" w:oddVBand="0" w:evenVBand="0" w:oddHBand="0" w:evenHBand="1" w:firstRowFirstColumn="0" w:firstRowLastColumn="0" w:lastRowFirstColumn="0" w:lastRowLastColumn="0"/>
        </w:trPr>
        <w:tc>
          <w:tcPr>
            <w:tcW w:w="0" w:type="auto"/>
            <w:noWrap/>
          </w:tcPr>
          <w:p w14:paraId="4FC13FE3" w14:textId="77777777" w:rsidR="00C15F2E" w:rsidRPr="00D96063" w:rsidRDefault="00C15F2E" w:rsidP="00C03C75">
            <w:pPr>
              <w:jc w:val="right"/>
              <w:rPr>
                <w:rFonts w:eastAsia="Times New Roman" w:cs="Calibri"/>
                <w:color w:val="000000"/>
                <w:w w:val="115"/>
                <w:sz w:val="16"/>
                <w:szCs w:val="16"/>
                <w:lang w:eastAsia="ja-JP"/>
              </w:rPr>
            </w:pPr>
            <w:r w:rsidRPr="00D96063">
              <w:rPr>
                <w:rFonts w:eastAsia="Times New Roman" w:cs="Calibri"/>
                <w:color w:val="000000"/>
                <w:w w:val="115"/>
                <w:sz w:val="16"/>
                <w:szCs w:val="16"/>
                <w:lang w:eastAsia="ja-JP"/>
              </w:rPr>
              <w:t>2021</w:t>
            </w:r>
          </w:p>
        </w:tc>
        <w:tc>
          <w:tcPr>
            <w:tcW w:w="0" w:type="auto"/>
            <w:noWrap/>
          </w:tcPr>
          <w:p w14:paraId="43BCD5AF" w14:textId="77777777" w:rsidR="00C15F2E" w:rsidRPr="00D96063" w:rsidRDefault="00C15F2E" w:rsidP="00C03C75">
            <w:pPr>
              <w:ind w:right="567"/>
              <w:jc w:val="right"/>
              <w:rPr>
                <w:rFonts w:eastAsia="Times New Roman" w:cs="Calibri"/>
                <w:color w:val="000000"/>
                <w:w w:val="115"/>
                <w:sz w:val="16"/>
                <w:szCs w:val="16"/>
                <w:lang w:eastAsia="ja-JP"/>
              </w:rPr>
            </w:pPr>
            <w:r w:rsidRPr="00D96063">
              <w:rPr>
                <w:rFonts w:eastAsia="Times New Roman" w:cs="Calibri"/>
                <w:color w:val="000000"/>
                <w:w w:val="115"/>
                <w:sz w:val="16"/>
                <w:szCs w:val="16"/>
                <w:lang w:eastAsia="ja-JP"/>
              </w:rPr>
              <w:t>918</w:t>
            </w:r>
          </w:p>
        </w:tc>
        <w:tc>
          <w:tcPr>
            <w:tcW w:w="0" w:type="auto"/>
            <w:noWrap/>
          </w:tcPr>
          <w:p w14:paraId="3E5E7BD5" w14:textId="77777777" w:rsidR="00C15F2E" w:rsidRPr="00D96063" w:rsidRDefault="00C15F2E" w:rsidP="00C03C75">
            <w:pPr>
              <w:ind w:right="567"/>
              <w:jc w:val="right"/>
              <w:rPr>
                <w:rFonts w:eastAsia="Times New Roman" w:cs="Calibri"/>
                <w:color w:val="000000"/>
                <w:w w:val="115"/>
                <w:sz w:val="16"/>
                <w:szCs w:val="16"/>
                <w:lang w:eastAsia="ja-JP"/>
              </w:rPr>
            </w:pPr>
            <w:r w:rsidRPr="00D96063">
              <w:rPr>
                <w:rFonts w:eastAsia="Times New Roman" w:cs="Calibri"/>
                <w:color w:val="000000"/>
                <w:w w:val="115"/>
                <w:sz w:val="16"/>
                <w:szCs w:val="16"/>
                <w:lang w:eastAsia="ja-JP"/>
              </w:rPr>
              <w:t>162</w:t>
            </w:r>
          </w:p>
        </w:tc>
        <w:tc>
          <w:tcPr>
            <w:tcW w:w="2841" w:type="dxa"/>
            <w:noWrap/>
          </w:tcPr>
          <w:p w14:paraId="49C16B60" w14:textId="77777777" w:rsidR="00C15F2E" w:rsidRPr="00D96063" w:rsidRDefault="00C15F2E" w:rsidP="00C03C75">
            <w:pPr>
              <w:ind w:right="1134"/>
              <w:jc w:val="right"/>
              <w:rPr>
                <w:rFonts w:eastAsia="Times New Roman" w:cs="Calibri"/>
                <w:color w:val="000000"/>
                <w:w w:val="115"/>
                <w:sz w:val="16"/>
                <w:szCs w:val="16"/>
                <w:lang w:eastAsia="ja-JP"/>
              </w:rPr>
            </w:pPr>
            <w:r w:rsidRPr="00D96063">
              <w:rPr>
                <w:rFonts w:eastAsia="Times New Roman" w:cs="Calibri"/>
                <w:color w:val="000000"/>
                <w:w w:val="115"/>
                <w:sz w:val="16"/>
                <w:szCs w:val="16"/>
                <w:lang w:eastAsia="ja-JP"/>
              </w:rPr>
              <w:t>24</w:t>
            </w:r>
          </w:p>
        </w:tc>
        <w:tc>
          <w:tcPr>
            <w:tcW w:w="1224" w:type="dxa"/>
            <w:noWrap/>
          </w:tcPr>
          <w:p w14:paraId="1C412947" w14:textId="77777777" w:rsidR="00C15F2E" w:rsidRPr="00D96063" w:rsidRDefault="00C15F2E" w:rsidP="00C03C75">
            <w:pPr>
              <w:ind w:right="227"/>
              <w:jc w:val="right"/>
              <w:rPr>
                <w:rFonts w:eastAsia="Times New Roman" w:cs="Calibri"/>
                <w:color w:val="000000"/>
                <w:w w:val="115"/>
                <w:sz w:val="16"/>
                <w:szCs w:val="16"/>
                <w:lang w:eastAsia="ja-JP"/>
              </w:rPr>
            </w:pPr>
            <w:r w:rsidRPr="00D96063">
              <w:rPr>
                <w:rFonts w:eastAsia="Times New Roman" w:cs="Calibri"/>
                <w:color w:val="000000"/>
                <w:w w:val="115"/>
                <w:sz w:val="16"/>
                <w:szCs w:val="16"/>
                <w:lang w:eastAsia="ja-JP"/>
              </w:rPr>
              <w:t>1,104</w:t>
            </w:r>
          </w:p>
        </w:tc>
      </w:tr>
    </w:tbl>
    <w:p w14:paraId="4EBB48C4" w14:textId="77777777" w:rsidR="00C15F2E" w:rsidRPr="00D96063" w:rsidRDefault="00C15F2E" w:rsidP="00C03C75">
      <w:pPr>
        <w:pStyle w:val="NoteText"/>
        <w:spacing w:before="120" w:after="120"/>
      </w:pPr>
      <w:r w:rsidRPr="00D96063">
        <w:t>Source:</w:t>
      </w:r>
      <w:r w:rsidRPr="00D96063">
        <w:tab/>
        <w:t>Minerals Commission.</w:t>
      </w:r>
    </w:p>
    <w:bookmarkEnd w:id="225"/>
    <w:p w14:paraId="01E372E1" w14:textId="77777777" w:rsidR="00C15F2E" w:rsidRPr="00D96063" w:rsidRDefault="00C15F2E" w:rsidP="00D868BF">
      <w:pPr>
        <w:pStyle w:val="BodyText"/>
      </w:pPr>
      <w:r w:rsidRPr="00D96063">
        <w:lastRenderedPageBreak/>
        <w:t>The MLNR is responsible for the formulation of mining policy, while the Ghana Minerals Commission (MINCOM) is responsible for the regulation and management of the utilization of the mineral resources and coordination of policies. The Ghana Chamber of Mines represents the interests of over 20 major companies involved in mineral exploration, production, and processing. There are 15 companies involved in large-scale mining operations with 13 producing gold; the remaining two produce manganese and bauxite.</w:t>
      </w:r>
    </w:p>
    <w:p w14:paraId="0DBAD5E4" w14:textId="77777777" w:rsidR="00C15F2E" w:rsidRPr="00D96063" w:rsidRDefault="00C15F2E" w:rsidP="00D868BF">
      <w:pPr>
        <w:pStyle w:val="BodyText"/>
      </w:pPr>
      <w:r w:rsidRPr="00D96063">
        <w:t>Ghana's mining policy is set out in the Minerals and Mining Policy, 2014. The key policy objectives include diversification of the mineral production base, promotion of local value addition (beneficiation, see below), providing financing opportunities for artisanal and small-scale miners to upgrade their activities, and adoption of the principles of the African Union and the Intergovernmental Forum on Mining for promoting good governance and transparency in the extractive sector.</w:t>
      </w:r>
    </w:p>
    <w:p w14:paraId="53AC4F7D" w14:textId="77777777" w:rsidR="00C15F2E" w:rsidRPr="00D96063" w:rsidRDefault="00C15F2E" w:rsidP="00D868BF">
      <w:pPr>
        <w:pStyle w:val="BodyText"/>
      </w:pPr>
      <w:r w:rsidRPr="00D96063">
        <w:t xml:space="preserve"> Pursuant to the Constitution, all minerals in their natural state are the property of Ghana. The main law is the Minerals and Mining Act, 2006 (Act 703), as amended. In all mining companies, the State acquires 10% equity at no cost (Section 43 of Act 703). Under the Act, any transfer of mining rights is subject to the approval of the Minister. Non-Ghanaians are prohibited from engaging in small-scale mining and in principle also in industrial minerals operations (Section 78). However, with a minimum investment of USD 10 million, foreign companies "may apply for a mineral right in respect of industrial mineral" (Section 79). Royalties vary from 3% to 5% of the total value of minerals produced (Section 25). The State collects revenue from the sector through royalties, corporate taxes, and income tax in the remuneration of employees of mining companies.</w:t>
      </w:r>
    </w:p>
    <w:p w14:paraId="14726014" w14:textId="77777777" w:rsidR="00C15F2E" w:rsidRPr="00D96063" w:rsidRDefault="00C15F2E" w:rsidP="00D868BF">
      <w:pPr>
        <w:pStyle w:val="BodyText"/>
      </w:pPr>
      <w:r w:rsidRPr="00D96063">
        <w:t xml:space="preserve"> Ghana provides various incentives, including a reduced corporate tax rate</w:t>
      </w:r>
      <w:r w:rsidRPr="00D96063">
        <w:rPr>
          <w:rStyle w:val="FootnoteReference"/>
        </w:rPr>
        <w:footnoteReference w:id="185"/>
      </w:r>
      <w:r w:rsidRPr="00D96063">
        <w:t>, loss carry</w:t>
      </w:r>
      <w:r w:rsidRPr="00D96063">
        <w:noBreakHyphen/>
        <w:t>forward for up to five years, capitalization of pre-production expenses approved by the authorities, and exemption from import duties on plant and equipment. In addition, holders of a mining lease are also granted the following benefits: (i) exemption of income tax on expatriate staff from the payment of income tax on relating to furnishing accommodation at a mine site; (ii) an immigration quota for an approved number of expatriate personnel; and (iii) a personal remittance quota for expatriate personnel free from any tax imposed by the Government for the transfer of foreign currency out of Ghana.</w:t>
      </w:r>
    </w:p>
    <w:p w14:paraId="02DCA7CD" w14:textId="77777777" w:rsidR="00C15F2E" w:rsidRPr="00D96063" w:rsidRDefault="00C15F2E" w:rsidP="00D868BF">
      <w:pPr>
        <w:pStyle w:val="BodyText"/>
      </w:pPr>
      <w:r w:rsidRPr="00D96063">
        <w:t>To curb illegal mining, Ghana imposed a moratorium on small-scale mining in 2017, which was lifted in 2019, as higher penalties were imposed under the Minerals and Mining (Amendment) Act, 2019 (Act 995). Other measures to stop illegal mining include: (i) promoting diversification of minerals exploited by small-scale miners; (ii) investigating geological areas to prove them viable for small-scale miners; (iii) introducing a Community Mining Scheme (13 areas were designated in 2020 for community mining); (iv) introducing Alternative Livelihood Projects; (v) strengthening the Minerals Commission by establishing regional/district/satellite offices to manage mining activities; and (vi) reporting activities of illegal mining to the respective metropolitan, municipal, or district security committees.</w:t>
      </w:r>
    </w:p>
    <w:p w14:paraId="661E105A" w14:textId="77777777" w:rsidR="00C15F2E" w:rsidRPr="00D96063" w:rsidRDefault="00C15F2E" w:rsidP="00D868BF">
      <w:pPr>
        <w:pStyle w:val="BodyText"/>
      </w:pPr>
      <w:r w:rsidRPr="00D96063">
        <w:t>Exports and sales of minerals require a licence/permit that is issued by the Minister on the recommendation of the Minerals Commission. The state-owned Precious Minerals Marketing Company (PMMC) is no longer the official outlet for small-scale miners of gold for export. Since 1994, the Government has been licensing private entities to purchase gold from small-scale miners and export it. These private entities are known as Licensed Gold Exporters (LGEs). In 2016, the Government appointed the PMMC as a government-designated laboratory for the purposes of assaying all gold to be exported by the LGEs</w:t>
      </w:r>
      <w:r w:rsidRPr="00D96063">
        <w:rPr>
          <w:rStyle w:val="FootnoteReference"/>
        </w:rPr>
        <w:footnoteReference w:id="186"/>
      </w:r>
      <w:r w:rsidRPr="00D96063">
        <w:t>, in accordance with Regulation 3(3) of the Minerals and Mining (General) Regulations, 2012 (L.I. 2173).</w:t>
      </w:r>
    </w:p>
    <w:p w14:paraId="2A664555" w14:textId="77777777" w:rsidR="00C15F2E" w:rsidRPr="00D96063" w:rsidRDefault="00C15F2E" w:rsidP="00C03C75">
      <w:pPr>
        <w:keepNext/>
        <w:keepLines/>
        <w:numPr>
          <w:ilvl w:val="6"/>
          <w:numId w:val="18"/>
        </w:numPr>
        <w:spacing w:after="240"/>
      </w:pPr>
      <w:r w:rsidRPr="00D96063">
        <w:lastRenderedPageBreak/>
        <w:t>With respect to Ghana's beneficiation policy, some of the key initiatives to promote value addition of gold include:</w:t>
      </w:r>
    </w:p>
    <w:p w14:paraId="307EA94B" w14:textId="77777777" w:rsidR="00C15F2E" w:rsidRPr="00D96063" w:rsidRDefault="00C15F2E" w:rsidP="00C03C75">
      <w:pPr>
        <w:pStyle w:val="BodyText2"/>
        <w:keepNext/>
        <w:keepLines/>
      </w:pPr>
      <w:r w:rsidRPr="00D96063">
        <w:t>Since 2005, eight foreign-controlled companies and six Ghanaian-controlled companies have been licensed to establish gold refineries in Ghana.</w:t>
      </w:r>
    </w:p>
    <w:p w14:paraId="06316CCE" w14:textId="77777777" w:rsidR="00C15F2E" w:rsidRPr="00D96063" w:rsidRDefault="00C15F2E" w:rsidP="00D868BF">
      <w:pPr>
        <w:pStyle w:val="BodyText2"/>
        <w:numPr>
          <w:ilvl w:val="7"/>
          <w:numId w:val="17"/>
        </w:numPr>
      </w:pPr>
      <w:r w:rsidRPr="00D96063">
        <w:t>Regulation 4(2)(a) of L.I. 2173 was enacted to boost value addition to minerals, especially gold: Applicants for a licence to deal in gold must have a business plan that indicates value addition; the regulation also seeks to ensure supply of gold to local refineries and regular supply to local users.</w:t>
      </w:r>
    </w:p>
    <w:p w14:paraId="3127C40C" w14:textId="77777777" w:rsidR="00C15F2E" w:rsidRPr="00D96063" w:rsidRDefault="00C15F2E" w:rsidP="00D868BF">
      <w:pPr>
        <w:pStyle w:val="BodyText2"/>
        <w:numPr>
          <w:ilvl w:val="7"/>
          <w:numId w:val="17"/>
        </w:numPr>
      </w:pPr>
      <w:r w:rsidRPr="00D96063">
        <w:t>The Government is supporting the PMMC joint venture, registered as Royal Ghana Gold Limited, by which the construction of a 400 kg per day capacity refinery facility has almost been completed.</w:t>
      </w:r>
    </w:p>
    <w:p w14:paraId="5D98D673" w14:textId="77777777" w:rsidR="00C15F2E" w:rsidRPr="00D96063" w:rsidRDefault="00C15F2E" w:rsidP="00D868BF">
      <w:pPr>
        <w:pStyle w:val="BodyText2"/>
        <w:numPr>
          <w:ilvl w:val="7"/>
          <w:numId w:val="17"/>
        </w:numPr>
      </w:pPr>
      <w:r w:rsidRPr="00D96063">
        <w:t>Ghana has started to engage with the London Bullion Market Association (LBMA) in its bid to facilitate LBMA accreditation.</w:t>
      </w:r>
    </w:p>
    <w:p w14:paraId="4B67EEAA" w14:textId="77777777" w:rsidR="00C15F2E" w:rsidRPr="00D96063" w:rsidRDefault="00C15F2E" w:rsidP="00D868BF">
      <w:pPr>
        <w:pStyle w:val="BodyText"/>
      </w:pPr>
      <w:r w:rsidRPr="00D96063">
        <w:t>The Ghana Integrated Aluminium Development Corporation (GIADEC) was established (Act 976 of 2018) to develop and promote an integrated aluminium industry. GIADEC was set up with the mandate to exploit the bauxite reserves and allied aluminium assets, including the Ghana Bauxite Company and the Volta Aluminium Company (VALCO).</w:t>
      </w:r>
    </w:p>
    <w:p w14:paraId="6D3BD762" w14:textId="77777777" w:rsidR="00C15F2E" w:rsidRPr="00D96063" w:rsidRDefault="00C15F2E" w:rsidP="00D868BF">
      <w:pPr>
        <w:pStyle w:val="BodyText"/>
      </w:pPr>
      <w:r w:rsidRPr="00D96063">
        <w:t>In the case of iron and steel, Ghana's policy is to develop an integrated iron and steel industry. To this end, the Ghana Integrated Iron and Steel Development Corporation (GIISDEC) was set up (Act 988 of 2019). Since 2013, Ghana maintains a ban on exports of ferrous scrap metals (L.I. 2201, 2013) so as to ensure sufficient supplies for the five local steel mills and the foundries.</w:t>
      </w:r>
    </w:p>
    <w:p w14:paraId="2BC2AC76" w14:textId="77777777" w:rsidR="00C15F2E" w:rsidRPr="00D96063" w:rsidRDefault="00C15F2E" w:rsidP="003758E5">
      <w:pPr>
        <w:pStyle w:val="Heading2"/>
        <w:numPr>
          <w:ilvl w:val="1"/>
          <w:numId w:val="18"/>
        </w:numPr>
        <w:rPr>
          <w:iCs/>
        </w:rPr>
      </w:pPr>
      <w:bookmarkStart w:id="226" w:name="_Toc103607721"/>
      <w:r w:rsidRPr="00D96063">
        <w:t>Manufacturing</w:t>
      </w:r>
      <w:bookmarkEnd w:id="226"/>
    </w:p>
    <w:p w14:paraId="665EE708" w14:textId="77777777" w:rsidR="00C15F2E" w:rsidRPr="00D96063" w:rsidRDefault="00C15F2E" w:rsidP="003758E5">
      <w:pPr>
        <w:pStyle w:val="Heading3"/>
        <w:numPr>
          <w:ilvl w:val="2"/>
          <w:numId w:val="18"/>
        </w:numPr>
      </w:pPr>
      <w:bookmarkStart w:id="227" w:name="_Toc103607722"/>
      <w:r w:rsidRPr="00D96063">
        <w:t>Overview</w:t>
      </w:r>
      <w:bookmarkEnd w:id="227"/>
    </w:p>
    <w:p w14:paraId="61D218A3" w14:textId="77777777" w:rsidR="00C15F2E" w:rsidRPr="00D96063" w:rsidRDefault="00C15F2E" w:rsidP="00D868BF">
      <w:pPr>
        <w:pStyle w:val="BodyText"/>
      </w:pPr>
      <w:bookmarkStart w:id="228" w:name="_Hlk97624870"/>
      <w:r w:rsidRPr="00D96063">
        <w:t>The manufacturing sector contributed 11.1% towards GDP in 2020 (Table 1.1). Despite a relatively diverse industrial base, the size of the manufacturing sector remains modest and is declining. The main industries include agricultural and timber processing, aluminium smelting, breweries, cement production, oil refining, textiles, electronics, and pharmaceuticals. Currently, there are three SOEs in the manufacturing sector</w:t>
      </w:r>
      <w:bookmarkEnd w:id="228"/>
      <w:r w:rsidRPr="00D96063">
        <w:t>.</w:t>
      </w:r>
      <w:r w:rsidRPr="00D96063">
        <w:rPr>
          <w:rStyle w:val="FootnoteReference"/>
        </w:rPr>
        <w:footnoteReference w:id="187"/>
      </w:r>
    </w:p>
    <w:p w14:paraId="54081349" w14:textId="5BD4756B" w:rsidR="00C15F2E" w:rsidRPr="00D96063" w:rsidRDefault="00C15F2E" w:rsidP="00D868BF">
      <w:pPr>
        <w:pStyle w:val="BodyText"/>
      </w:pPr>
      <w:bookmarkStart w:id="229" w:name="_Hlk97625061"/>
      <w:r w:rsidRPr="00D96063">
        <w:t>The average applied MFN tariff on manufactured products (ISIC 3) was 12.3% in 2020 (Table 3.4). Average tariffs are high on clothing (20%), textiles (16.3%), and furniture (19.5%), and lower on transport equipment (8.8%) and non-electrical machinery (7.0%). High tariffs on imports of agricultural commodities do not favour the objective of promoting agro</w:t>
      </w:r>
      <w:r w:rsidRPr="00D96063">
        <w:noBreakHyphen/>
        <w:t>industries. Moreover, the tariff escalation and thereby the high effective protection in industries, such as food and beverages, textiles and apparel, chemicals, and non-metallic products, negatively affects the international competitiveness of these goods. To address this issue, Ghana allows imports to enter duty-free under bond, or into free zones (Section 3.2.6.5).</w:t>
      </w:r>
    </w:p>
    <w:p w14:paraId="54D8AAD7" w14:textId="77777777" w:rsidR="00C15F2E" w:rsidRPr="00D96063" w:rsidRDefault="00C15F2E" w:rsidP="00D868BF">
      <w:pPr>
        <w:pStyle w:val="BodyText"/>
      </w:pPr>
      <w:r w:rsidRPr="00D96063">
        <w:t>Industrial policy is under the responsibility of the MOTI. The main policy objectives include the expansion of productive employment and technological capacity in the manufacturing sector, the promotion of agro</w:t>
      </w:r>
      <w:r w:rsidRPr="00D96063">
        <w:noBreakHyphen/>
        <w:t xml:space="preserve">based industrial development, and a </w:t>
      </w:r>
      <w:r w:rsidRPr="00D96063">
        <w:rPr>
          <w:color w:val="000000" w:themeColor="text1"/>
        </w:rPr>
        <w:t>better special distribution of industries to achieve poverty reduction and reduced income inequalities.</w:t>
      </w:r>
      <w:r w:rsidRPr="00D96063">
        <w:t xml:space="preserve"> The One District One Factory (1D1F) scheme is one of the key initiatives, designed to create the enabling environment for the private sector to establish at least one industrial enterprise in each district (two or more districts may collaborate to establish one factory if they have a common resource endowment). At present, 278 projects have been registered under the programme (Table 4.16).</w:t>
      </w:r>
    </w:p>
    <w:bookmarkEnd w:id="229"/>
    <w:p w14:paraId="171ED359" w14:textId="77777777" w:rsidR="00C15F2E" w:rsidRPr="00D96063" w:rsidRDefault="00C15F2E" w:rsidP="00D868BF">
      <w:pPr>
        <w:pStyle w:val="BodyText"/>
      </w:pPr>
      <w:r w:rsidRPr="00D96063">
        <w:lastRenderedPageBreak/>
        <w:t>To mitigate the effects of the COVID-19 pandemic, the Government launched the Ghana CARES (Obaatan pa) programme.</w:t>
      </w:r>
      <w:r w:rsidRPr="00D96063">
        <w:rPr>
          <w:rStyle w:val="FootnoteReference"/>
        </w:rPr>
        <w:footnoteReference w:id="188"/>
      </w:r>
      <w:r w:rsidRPr="00D96063">
        <w:t xml:space="preserve"> The GHS 100 billion programme focuses on, </w:t>
      </w:r>
      <w:r w:rsidRPr="00D96063">
        <w:rPr>
          <w:i/>
        </w:rPr>
        <w:t>inter alia</w:t>
      </w:r>
      <w:r w:rsidRPr="00D96063">
        <w:t>, supporting commercial farming and attracting educated youth into agriculture, building a light manufacturing sector, and developing engineering/machine tools and the information and communication technology (ICT)/digital economy.</w:t>
      </w:r>
    </w:p>
    <w:p w14:paraId="149EBDA0" w14:textId="0378FA4B" w:rsidR="00C15F2E" w:rsidRPr="00D96063" w:rsidRDefault="00C15F2E" w:rsidP="00D868BF">
      <w:pPr>
        <w:pStyle w:val="Caption"/>
        <w:rPr>
          <w:b w:val="0"/>
          <w:bCs w:val="0"/>
        </w:rPr>
      </w:pPr>
      <w:bookmarkStart w:id="230" w:name="_Toc103607912"/>
      <w:r w:rsidRPr="00D96063">
        <w:t xml:space="preserve">Table </w:t>
      </w:r>
      <w:fldSimple w:instr=" STYLEREF 1 \s ">
        <w:r w:rsidR="004B63B1">
          <w:rPr>
            <w:noProof/>
          </w:rPr>
          <w:t>4</w:t>
        </w:r>
      </w:fldSimple>
      <w:r w:rsidR="00BF3184">
        <w:t>.</w:t>
      </w:r>
      <w:fldSimple w:instr=" SEQ Table \* ARABIC \s 1 ">
        <w:r w:rsidR="004B63B1">
          <w:rPr>
            <w:noProof/>
          </w:rPr>
          <w:t>16</w:t>
        </w:r>
      </w:fldSimple>
      <w:r w:rsidRPr="00D96063">
        <w:t xml:space="preserve"> 10-Point Industrial Transformation Agenda</w:t>
      </w:r>
      <w:bookmarkEnd w:id="230"/>
    </w:p>
    <w:tbl>
      <w:tblPr>
        <w:tblStyle w:val="WTOTable1"/>
        <w:tblW w:w="5000" w:type="pct"/>
        <w:tblLook w:val="04A0" w:firstRow="1" w:lastRow="0" w:firstColumn="1" w:lastColumn="0" w:noHBand="0" w:noVBand="1"/>
      </w:tblPr>
      <w:tblGrid>
        <w:gridCol w:w="1954"/>
        <w:gridCol w:w="4705"/>
        <w:gridCol w:w="2357"/>
      </w:tblGrid>
      <w:tr w:rsidR="00C15F2E" w:rsidRPr="00D96063" w14:paraId="25D5CCCB" w14:textId="77777777" w:rsidTr="00053198">
        <w:trPr>
          <w:cnfStyle w:val="100000000000" w:firstRow="1" w:lastRow="0" w:firstColumn="0" w:lastColumn="0" w:oddVBand="0" w:evenVBand="0" w:oddHBand="0" w:evenHBand="0" w:firstRowFirstColumn="0" w:firstRowLastColumn="0" w:lastRowFirstColumn="0" w:lastRowLastColumn="0"/>
          <w:tblHeader/>
        </w:trPr>
        <w:tc>
          <w:tcPr>
            <w:tcW w:w="1084" w:type="pct"/>
            <w:tcBorders>
              <w:top w:val="single" w:sz="4" w:space="0" w:color="auto"/>
              <w:left w:val="single" w:sz="4" w:space="0" w:color="auto"/>
              <w:bottom w:val="nil"/>
              <w:right w:val="single" w:sz="4" w:space="0" w:color="auto"/>
            </w:tcBorders>
            <w:hideMark/>
          </w:tcPr>
          <w:p w14:paraId="28DD50C2" w14:textId="77777777" w:rsidR="00C15F2E" w:rsidRPr="00D96063" w:rsidRDefault="00C15F2E" w:rsidP="00053198">
            <w:pPr>
              <w:pStyle w:val="BodyText"/>
              <w:numPr>
                <w:ilvl w:val="0"/>
                <w:numId w:val="0"/>
              </w:numPr>
              <w:jc w:val="left"/>
              <w:rPr>
                <w:sz w:val="16"/>
                <w:szCs w:val="18"/>
              </w:rPr>
            </w:pPr>
            <w:r w:rsidRPr="00D96063">
              <w:rPr>
                <w:sz w:val="16"/>
                <w:szCs w:val="18"/>
              </w:rPr>
              <w:t>Strategic area</w:t>
            </w:r>
          </w:p>
        </w:tc>
        <w:tc>
          <w:tcPr>
            <w:tcW w:w="2609" w:type="pct"/>
            <w:tcBorders>
              <w:top w:val="single" w:sz="4" w:space="0" w:color="auto"/>
              <w:left w:val="single" w:sz="4" w:space="0" w:color="auto"/>
              <w:bottom w:val="nil"/>
              <w:right w:val="single" w:sz="4" w:space="0" w:color="auto"/>
            </w:tcBorders>
            <w:hideMark/>
          </w:tcPr>
          <w:p w14:paraId="4D6FEDB4" w14:textId="77777777" w:rsidR="00C15F2E" w:rsidRPr="00D96063" w:rsidRDefault="00C15F2E" w:rsidP="00053198">
            <w:pPr>
              <w:pStyle w:val="BodyText"/>
              <w:numPr>
                <w:ilvl w:val="0"/>
                <w:numId w:val="0"/>
              </w:numPr>
              <w:jc w:val="left"/>
              <w:rPr>
                <w:sz w:val="16"/>
                <w:szCs w:val="18"/>
              </w:rPr>
            </w:pPr>
            <w:r w:rsidRPr="00D96063">
              <w:rPr>
                <w:sz w:val="16"/>
                <w:szCs w:val="18"/>
              </w:rPr>
              <w:t>Objectives</w:t>
            </w:r>
          </w:p>
        </w:tc>
        <w:tc>
          <w:tcPr>
            <w:tcW w:w="1308" w:type="pct"/>
            <w:tcBorders>
              <w:top w:val="single" w:sz="4" w:space="0" w:color="auto"/>
              <w:left w:val="single" w:sz="4" w:space="0" w:color="auto"/>
              <w:bottom w:val="nil"/>
              <w:right w:val="single" w:sz="4" w:space="0" w:color="auto"/>
            </w:tcBorders>
            <w:hideMark/>
          </w:tcPr>
          <w:p w14:paraId="59FEFA51" w14:textId="77777777" w:rsidR="00C15F2E" w:rsidRPr="00D96063" w:rsidRDefault="00C15F2E" w:rsidP="00053198">
            <w:pPr>
              <w:pStyle w:val="BodyText"/>
              <w:numPr>
                <w:ilvl w:val="0"/>
                <w:numId w:val="0"/>
              </w:numPr>
              <w:jc w:val="left"/>
              <w:rPr>
                <w:sz w:val="16"/>
                <w:szCs w:val="18"/>
              </w:rPr>
            </w:pPr>
            <w:r w:rsidRPr="00D96063">
              <w:rPr>
                <w:sz w:val="16"/>
                <w:szCs w:val="18"/>
              </w:rPr>
              <w:t>Progress</w:t>
            </w:r>
          </w:p>
        </w:tc>
      </w:tr>
      <w:tr w:rsidR="00C15F2E" w:rsidRPr="00D96063" w14:paraId="1A0B1E0A" w14:textId="77777777" w:rsidTr="00053198">
        <w:trPr>
          <w:trHeight w:val="20"/>
        </w:trPr>
        <w:tc>
          <w:tcPr>
            <w:tcW w:w="1084" w:type="pct"/>
            <w:tcBorders>
              <w:top w:val="nil"/>
              <w:left w:val="single" w:sz="4" w:space="0" w:color="auto"/>
              <w:bottom w:val="nil"/>
              <w:right w:val="single" w:sz="4" w:space="0" w:color="auto"/>
            </w:tcBorders>
          </w:tcPr>
          <w:p w14:paraId="161E59A5" w14:textId="77777777" w:rsidR="00C15F2E" w:rsidRPr="00D96063" w:rsidRDefault="00C15F2E" w:rsidP="00053198">
            <w:pPr>
              <w:jc w:val="left"/>
              <w:rPr>
                <w:sz w:val="16"/>
                <w:szCs w:val="16"/>
              </w:rPr>
            </w:pPr>
            <w:r w:rsidRPr="00D96063">
              <w:rPr>
                <w:sz w:val="16"/>
                <w:szCs w:val="16"/>
              </w:rPr>
              <w:t>One District One Factory initiative (1D1F)</w:t>
            </w:r>
          </w:p>
        </w:tc>
        <w:tc>
          <w:tcPr>
            <w:tcW w:w="2609" w:type="pct"/>
            <w:tcBorders>
              <w:top w:val="nil"/>
              <w:left w:val="single" w:sz="4" w:space="0" w:color="auto"/>
              <w:bottom w:val="nil"/>
              <w:right w:val="single" w:sz="4" w:space="0" w:color="auto"/>
            </w:tcBorders>
          </w:tcPr>
          <w:p w14:paraId="2561D6E0" w14:textId="77777777" w:rsidR="00C15F2E" w:rsidRPr="00D96063" w:rsidRDefault="00C15F2E" w:rsidP="00053198">
            <w:pPr>
              <w:jc w:val="left"/>
              <w:rPr>
                <w:sz w:val="16"/>
                <w:szCs w:val="16"/>
              </w:rPr>
            </w:pPr>
            <w:r w:rsidRPr="00D96063">
              <w:rPr>
                <w:sz w:val="16"/>
                <w:szCs w:val="16"/>
              </w:rPr>
              <w:t>Establish at least one medium- to large-scale industrial enterprise in 216 districts, ensure even and spatial spread of industries and thereby stimulate economic activity in different parts of the country.</w:t>
            </w:r>
          </w:p>
        </w:tc>
        <w:tc>
          <w:tcPr>
            <w:tcW w:w="1308" w:type="pct"/>
            <w:tcBorders>
              <w:top w:val="nil"/>
              <w:left w:val="single" w:sz="4" w:space="0" w:color="auto"/>
              <w:bottom w:val="nil"/>
              <w:right w:val="single" w:sz="4" w:space="0" w:color="auto"/>
            </w:tcBorders>
          </w:tcPr>
          <w:p w14:paraId="357D113D" w14:textId="77777777" w:rsidR="00C15F2E" w:rsidRPr="00D96063" w:rsidRDefault="00C15F2E" w:rsidP="00053198">
            <w:pPr>
              <w:jc w:val="left"/>
              <w:rPr>
                <w:sz w:val="16"/>
                <w:szCs w:val="16"/>
              </w:rPr>
            </w:pPr>
            <w:r w:rsidRPr="00D96063">
              <w:rPr>
                <w:sz w:val="16"/>
                <w:szCs w:val="16"/>
              </w:rPr>
              <w:t>As of June 2021, tax exemptions granted under the 1D1F amounted to GHS 435 million to 36 beneficiary companies.</w:t>
            </w:r>
            <w:r w:rsidRPr="00D96063">
              <w:rPr>
                <w:sz w:val="16"/>
                <w:szCs w:val="16"/>
                <w:vertAlign w:val="superscript"/>
              </w:rPr>
              <w:t>a</w:t>
            </w:r>
          </w:p>
        </w:tc>
      </w:tr>
      <w:tr w:rsidR="00C15F2E" w:rsidRPr="00D96063" w14:paraId="470DDEDD" w14:textId="77777777" w:rsidTr="00053198">
        <w:trPr>
          <w:cnfStyle w:val="000000010000" w:firstRow="0" w:lastRow="0" w:firstColumn="0" w:lastColumn="0" w:oddVBand="0" w:evenVBand="0" w:oddHBand="0" w:evenHBand="1" w:firstRowFirstColumn="0" w:firstRowLastColumn="0" w:lastRowFirstColumn="0" w:lastRowLastColumn="0"/>
          <w:trHeight w:val="20"/>
        </w:trPr>
        <w:tc>
          <w:tcPr>
            <w:tcW w:w="1084" w:type="pct"/>
            <w:tcBorders>
              <w:top w:val="nil"/>
              <w:left w:val="single" w:sz="4" w:space="0" w:color="auto"/>
              <w:bottom w:val="nil"/>
              <w:right w:val="single" w:sz="4" w:space="0" w:color="auto"/>
            </w:tcBorders>
          </w:tcPr>
          <w:p w14:paraId="378C270C" w14:textId="77777777" w:rsidR="00C15F2E" w:rsidRPr="00D96063" w:rsidRDefault="00C15F2E" w:rsidP="00053198">
            <w:pPr>
              <w:jc w:val="left"/>
              <w:rPr>
                <w:sz w:val="16"/>
                <w:szCs w:val="16"/>
              </w:rPr>
            </w:pPr>
            <w:r w:rsidRPr="00D96063">
              <w:rPr>
                <w:sz w:val="16"/>
                <w:szCs w:val="16"/>
              </w:rPr>
              <w:t>Strategic anchor industrial initiatives</w:t>
            </w:r>
          </w:p>
        </w:tc>
        <w:tc>
          <w:tcPr>
            <w:tcW w:w="2609" w:type="pct"/>
            <w:tcBorders>
              <w:top w:val="nil"/>
              <w:left w:val="single" w:sz="4" w:space="0" w:color="auto"/>
              <w:bottom w:val="nil"/>
              <w:right w:val="single" w:sz="4" w:space="0" w:color="auto"/>
            </w:tcBorders>
          </w:tcPr>
          <w:p w14:paraId="16C2C0CB" w14:textId="77777777" w:rsidR="00C15F2E" w:rsidRPr="00D96063" w:rsidRDefault="00C15F2E" w:rsidP="00053198">
            <w:pPr>
              <w:jc w:val="left"/>
              <w:rPr>
                <w:sz w:val="16"/>
                <w:szCs w:val="16"/>
              </w:rPr>
            </w:pPr>
            <w:r w:rsidRPr="00D96063">
              <w:rPr>
                <w:sz w:val="16"/>
                <w:szCs w:val="16"/>
              </w:rPr>
              <w:t>The Government identified strategic industries for economic development: (i) petrochemicals; (ii) iron and steel; (iii) integrated aluminium; (iv) pharmaceuticals; (v) vehicle assembly and automotive; (vi) industrial chemicals (salts); (vii) vegetable fats and oils (palm oil); (viii) garment and textiles; (ix) machinery; and (x) equipment machinery and component parts.</w:t>
            </w:r>
          </w:p>
        </w:tc>
        <w:tc>
          <w:tcPr>
            <w:tcW w:w="1308" w:type="pct"/>
            <w:tcBorders>
              <w:top w:val="nil"/>
              <w:left w:val="single" w:sz="4" w:space="0" w:color="auto"/>
              <w:bottom w:val="nil"/>
              <w:right w:val="single" w:sz="4" w:space="0" w:color="auto"/>
            </w:tcBorders>
          </w:tcPr>
          <w:p w14:paraId="486ADF85" w14:textId="77777777" w:rsidR="00C15F2E" w:rsidRPr="00D96063" w:rsidRDefault="00C15F2E" w:rsidP="00053198">
            <w:pPr>
              <w:jc w:val="left"/>
              <w:rPr>
                <w:sz w:val="16"/>
                <w:szCs w:val="16"/>
              </w:rPr>
            </w:pPr>
            <w:r w:rsidRPr="00D96063">
              <w:rPr>
                <w:sz w:val="16"/>
                <w:szCs w:val="16"/>
              </w:rPr>
              <w:t xml:space="preserve">Ghana Automotive Development Policy launched in 2019 (Section 4.4.3). </w:t>
            </w:r>
          </w:p>
        </w:tc>
      </w:tr>
      <w:tr w:rsidR="00C15F2E" w:rsidRPr="00D96063" w14:paraId="481A34C7" w14:textId="77777777" w:rsidTr="00C03C75">
        <w:trPr>
          <w:trHeight w:val="20"/>
        </w:trPr>
        <w:tc>
          <w:tcPr>
            <w:tcW w:w="1084" w:type="pct"/>
            <w:tcBorders>
              <w:top w:val="nil"/>
              <w:left w:val="single" w:sz="4" w:space="0" w:color="auto"/>
              <w:bottom w:val="nil"/>
              <w:right w:val="single" w:sz="4" w:space="0" w:color="auto"/>
            </w:tcBorders>
          </w:tcPr>
          <w:p w14:paraId="7A2B8D30" w14:textId="77777777" w:rsidR="00C15F2E" w:rsidRPr="00D96063" w:rsidRDefault="00C15F2E" w:rsidP="00053198">
            <w:pPr>
              <w:jc w:val="left"/>
              <w:rPr>
                <w:sz w:val="16"/>
                <w:szCs w:val="16"/>
              </w:rPr>
            </w:pPr>
            <w:r w:rsidRPr="00D96063">
              <w:rPr>
                <w:sz w:val="16"/>
                <w:szCs w:val="16"/>
              </w:rPr>
              <w:t>Export development and diversification</w:t>
            </w:r>
          </w:p>
        </w:tc>
        <w:tc>
          <w:tcPr>
            <w:tcW w:w="2609" w:type="pct"/>
            <w:tcBorders>
              <w:top w:val="nil"/>
              <w:left w:val="single" w:sz="4" w:space="0" w:color="auto"/>
              <w:bottom w:val="nil"/>
              <w:right w:val="single" w:sz="4" w:space="0" w:color="auto"/>
            </w:tcBorders>
          </w:tcPr>
          <w:p w14:paraId="73D46086" w14:textId="77777777" w:rsidR="00C15F2E" w:rsidRPr="00D96063" w:rsidRDefault="00C15F2E" w:rsidP="00053198">
            <w:pPr>
              <w:jc w:val="left"/>
              <w:rPr>
                <w:sz w:val="16"/>
                <w:szCs w:val="16"/>
              </w:rPr>
            </w:pPr>
            <w:r w:rsidRPr="00D96063">
              <w:rPr>
                <w:sz w:val="16"/>
                <w:szCs w:val="16"/>
              </w:rPr>
              <w:t>Develop and implement a comprehensive, project-based export diversification action plan based on the national export strategy.</w:t>
            </w:r>
          </w:p>
          <w:p w14:paraId="3587D8B6" w14:textId="77777777" w:rsidR="00C15F2E" w:rsidRPr="00D96063" w:rsidRDefault="00C15F2E" w:rsidP="00053198">
            <w:pPr>
              <w:jc w:val="left"/>
              <w:rPr>
                <w:sz w:val="16"/>
                <w:szCs w:val="16"/>
              </w:rPr>
            </w:pPr>
          </w:p>
          <w:p w14:paraId="3791847A" w14:textId="77777777" w:rsidR="00C15F2E" w:rsidRPr="00D96063" w:rsidRDefault="00C15F2E" w:rsidP="00053198">
            <w:pPr>
              <w:jc w:val="left"/>
              <w:rPr>
                <w:sz w:val="16"/>
                <w:szCs w:val="16"/>
              </w:rPr>
            </w:pPr>
            <w:r w:rsidRPr="00D96063">
              <w:rPr>
                <w:sz w:val="16"/>
                <w:szCs w:val="16"/>
              </w:rPr>
              <w:t>Restructure the operations of Ghana Export Promotion Authority (GEPA) to enhance export diversification and take advantage of EPA, the African Growth and Opportunity Act, and intra-Africa trade.</w:t>
            </w:r>
          </w:p>
          <w:p w14:paraId="6494054C" w14:textId="77777777" w:rsidR="00C15F2E" w:rsidRPr="00D96063" w:rsidRDefault="00C15F2E" w:rsidP="00053198">
            <w:pPr>
              <w:jc w:val="left"/>
              <w:rPr>
                <w:sz w:val="16"/>
                <w:szCs w:val="16"/>
              </w:rPr>
            </w:pPr>
          </w:p>
          <w:p w14:paraId="1D9C31AB" w14:textId="77777777" w:rsidR="00C15F2E" w:rsidRPr="00D96063" w:rsidRDefault="00C15F2E" w:rsidP="00053198">
            <w:pPr>
              <w:jc w:val="left"/>
              <w:rPr>
                <w:sz w:val="16"/>
                <w:szCs w:val="16"/>
              </w:rPr>
            </w:pPr>
            <w:r w:rsidRPr="00D96063">
              <w:rPr>
                <w:sz w:val="16"/>
                <w:szCs w:val="16"/>
              </w:rPr>
              <w:t>Provide support for organizations such as the Association of Ghana Industries (AGI), Ghana Exporters Association (GEA), and the Ghana Chamber of Commerce (GCC) for export promotion activities.</w:t>
            </w:r>
          </w:p>
        </w:tc>
        <w:tc>
          <w:tcPr>
            <w:tcW w:w="1308" w:type="pct"/>
            <w:tcBorders>
              <w:top w:val="nil"/>
              <w:left w:val="single" w:sz="4" w:space="0" w:color="auto"/>
              <w:bottom w:val="nil"/>
              <w:right w:val="single" w:sz="4" w:space="0" w:color="auto"/>
            </w:tcBorders>
          </w:tcPr>
          <w:p w14:paraId="0C2A26AB" w14:textId="77777777" w:rsidR="00C15F2E" w:rsidRPr="00D96063" w:rsidRDefault="00C15F2E" w:rsidP="00053198">
            <w:pPr>
              <w:jc w:val="left"/>
              <w:rPr>
                <w:sz w:val="16"/>
                <w:szCs w:val="16"/>
              </w:rPr>
            </w:pPr>
            <w:r w:rsidRPr="00D96063">
              <w:rPr>
                <w:sz w:val="16"/>
                <w:szCs w:val="16"/>
              </w:rPr>
              <w:t>The GEPA has developed a Ghana Export Development Strategy (2019-2023).</w:t>
            </w:r>
            <w:r w:rsidRPr="00D96063">
              <w:rPr>
                <w:sz w:val="16"/>
                <w:szCs w:val="16"/>
                <w:vertAlign w:val="superscript"/>
              </w:rPr>
              <w:t>b</w:t>
            </w:r>
          </w:p>
        </w:tc>
      </w:tr>
      <w:tr w:rsidR="00C15F2E" w:rsidRPr="00D96063" w14:paraId="41769DAC" w14:textId="77777777" w:rsidTr="00C03C75">
        <w:trPr>
          <w:cnfStyle w:val="000000010000" w:firstRow="0" w:lastRow="0" w:firstColumn="0" w:lastColumn="0" w:oddVBand="0" w:evenVBand="0" w:oddHBand="0" w:evenHBand="1" w:firstRowFirstColumn="0" w:firstRowLastColumn="0" w:lastRowFirstColumn="0" w:lastRowLastColumn="0"/>
          <w:trHeight w:val="20"/>
        </w:trPr>
        <w:tc>
          <w:tcPr>
            <w:tcW w:w="1084" w:type="pct"/>
            <w:tcBorders>
              <w:top w:val="nil"/>
              <w:left w:val="single" w:sz="4" w:space="0" w:color="auto"/>
              <w:bottom w:val="nil"/>
              <w:right w:val="single" w:sz="4" w:space="0" w:color="auto"/>
            </w:tcBorders>
            <w:hideMark/>
          </w:tcPr>
          <w:p w14:paraId="30679B26" w14:textId="77777777" w:rsidR="00C15F2E" w:rsidRPr="00D96063" w:rsidRDefault="00C15F2E" w:rsidP="00053198">
            <w:pPr>
              <w:jc w:val="left"/>
              <w:rPr>
                <w:sz w:val="16"/>
                <w:szCs w:val="16"/>
              </w:rPr>
            </w:pPr>
            <w:r w:rsidRPr="00D96063">
              <w:rPr>
                <w:sz w:val="16"/>
                <w:szCs w:val="16"/>
              </w:rPr>
              <w:t>Enhancing domestic trade</w:t>
            </w:r>
          </w:p>
        </w:tc>
        <w:tc>
          <w:tcPr>
            <w:tcW w:w="2609" w:type="pct"/>
            <w:tcBorders>
              <w:top w:val="nil"/>
              <w:left w:val="single" w:sz="4" w:space="0" w:color="auto"/>
              <w:bottom w:val="nil"/>
              <w:right w:val="single" w:sz="4" w:space="0" w:color="auto"/>
            </w:tcBorders>
          </w:tcPr>
          <w:p w14:paraId="11B7C704" w14:textId="77777777" w:rsidR="00C15F2E" w:rsidRPr="00D96063" w:rsidRDefault="00C15F2E" w:rsidP="00053198">
            <w:pPr>
              <w:jc w:val="left"/>
              <w:rPr>
                <w:sz w:val="16"/>
                <w:szCs w:val="16"/>
              </w:rPr>
            </w:pPr>
            <w:r w:rsidRPr="00D96063">
              <w:rPr>
                <w:sz w:val="16"/>
                <w:szCs w:val="16"/>
              </w:rPr>
              <w:t>Introduce a local content law that will require a substantial proportion of all government contracts and procurement to be executed by local corporate entities.</w:t>
            </w:r>
          </w:p>
          <w:p w14:paraId="525A9F7F" w14:textId="77777777" w:rsidR="00C15F2E" w:rsidRPr="00D96063" w:rsidRDefault="00C15F2E" w:rsidP="00053198">
            <w:pPr>
              <w:jc w:val="left"/>
              <w:rPr>
                <w:sz w:val="16"/>
                <w:szCs w:val="16"/>
              </w:rPr>
            </w:pPr>
          </w:p>
          <w:p w14:paraId="79A5AA11" w14:textId="77777777" w:rsidR="00C15F2E" w:rsidRPr="00D96063" w:rsidRDefault="00C15F2E" w:rsidP="00053198">
            <w:pPr>
              <w:jc w:val="left"/>
              <w:rPr>
                <w:sz w:val="16"/>
                <w:szCs w:val="16"/>
              </w:rPr>
            </w:pPr>
            <w:r w:rsidRPr="00D96063">
              <w:rPr>
                <w:sz w:val="16"/>
                <w:szCs w:val="16"/>
              </w:rPr>
              <w:t>Introduce a competition law.</w:t>
            </w:r>
          </w:p>
          <w:p w14:paraId="637A53B2" w14:textId="77777777" w:rsidR="00C15F2E" w:rsidRPr="00D96063" w:rsidRDefault="00C15F2E" w:rsidP="00053198">
            <w:pPr>
              <w:jc w:val="left"/>
              <w:rPr>
                <w:sz w:val="16"/>
                <w:szCs w:val="16"/>
              </w:rPr>
            </w:pPr>
          </w:p>
          <w:p w14:paraId="66E9C7E0" w14:textId="77777777" w:rsidR="00C15F2E" w:rsidRPr="00D96063" w:rsidRDefault="00C15F2E" w:rsidP="00053198">
            <w:pPr>
              <w:jc w:val="left"/>
              <w:rPr>
                <w:sz w:val="16"/>
                <w:szCs w:val="16"/>
              </w:rPr>
            </w:pPr>
            <w:r w:rsidRPr="00D96063">
              <w:rPr>
                <w:sz w:val="16"/>
                <w:szCs w:val="16"/>
              </w:rPr>
              <w:t>Ensure that rules and regulations regarding the reservation of areas of the retail trade for Ghanaians are strictly enforced.</w:t>
            </w:r>
          </w:p>
        </w:tc>
        <w:tc>
          <w:tcPr>
            <w:tcW w:w="1308" w:type="pct"/>
            <w:tcBorders>
              <w:top w:val="nil"/>
              <w:left w:val="single" w:sz="4" w:space="0" w:color="auto"/>
              <w:bottom w:val="nil"/>
              <w:right w:val="single" w:sz="4" w:space="0" w:color="auto"/>
            </w:tcBorders>
          </w:tcPr>
          <w:p w14:paraId="31A5D203" w14:textId="77777777" w:rsidR="00C15F2E" w:rsidRPr="00D96063" w:rsidRDefault="00C15F2E" w:rsidP="00053198">
            <w:pPr>
              <w:jc w:val="left"/>
              <w:rPr>
                <w:sz w:val="16"/>
                <w:szCs w:val="16"/>
              </w:rPr>
            </w:pPr>
          </w:p>
        </w:tc>
      </w:tr>
      <w:tr w:rsidR="00C15F2E" w:rsidRPr="00D96063" w14:paraId="315D3A26" w14:textId="77777777" w:rsidTr="00C03C75">
        <w:trPr>
          <w:trHeight w:val="20"/>
        </w:trPr>
        <w:tc>
          <w:tcPr>
            <w:tcW w:w="1084" w:type="pct"/>
            <w:tcBorders>
              <w:top w:val="nil"/>
              <w:left w:val="single" w:sz="4" w:space="0" w:color="auto"/>
              <w:bottom w:val="nil"/>
              <w:right w:val="single" w:sz="4" w:space="0" w:color="auto"/>
            </w:tcBorders>
            <w:hideMark/>
          </w:tcPr>
          <w:p w14:paraId="7E8BAE7D" w14:textId="77777777" w:rsidR="00C15F2E" w:rsidRPr="00D96063" w:rsidRDefault="00C15F2E" w:rsidP="00952BFE">
            <w:pPr>
              <w:keepNext/>
              <w:jc w:val="left"/>
              <w:rPr>
                <w:sz w:val="16"/>
                <w:szCs w:val="16"/>
              </w:rPr>
            </w:pPr>
            <w:r w:rsidRPr="00D96063">
              <w:rPr>
                <w:sz w:val="16"/>
                <w:szCs w:val="16"/>
              </w:rPr>
              <w:t>Enhancing business enabling environment</w:t>
            </w:r>
          </w:p>
        </w:tc>
        <w:tc>
          <w:tcPr>
            <w:tcW w:w="2609" w:type="pct"/>
            <w:tcBorders>
              <w:top w:val="nil"/>
              <w:left w:val="single" w:sz="4" w:space="0" w:color="auto"/>
              <w:bottom w:val="nil"/>
              <w:right w:val="single" w:sz="4" w:space="0" w:color="auto"/>
            </w:tcBorders>
          </w:tcPr>
          <w:p w14:paraId="4FB1FDE6" w14:textId="77777777" w:rsidR="00C15F2E" w:rsidRPr="00D96063" w:rsidRDefault="00C15F2E" w:rsidP="00952BFE">
            <w:pPr>
              <w:keepNext/>
              <w:jc w:val="left"/>
              <w:rPr>
                <w:sz w:val="16"/>
                <w:szCs w:val="16"/>
              </w:rPr>
            </w:pPr>
            <w:r w:rsidRPr="00D96063">
              <w:rPr>
                <w:sz w:val="16"/>
                <w:szCs w:val="16"/>
              </w:rPr>
              <w:t>Establish electronic register for business regulations, legislations, and processes, which should lead to providing a complete repository of business laws and transparency for investments.</w:t>
            </w:r>
          </w:p>
          <w:p w14:paraId="7A665092" w14:textId="77777777" w:rsidR="00C15F2E" w:rsidRPr="00D96063" w:rsidRDefault="00C15F2E" w:rsidP="00952BFE">
            <w:pPr>
              <w:keepNext/>
              <w:jc w:val="left"/>
              <w:rPr>
                <w:sz w:val="16"/>
                <w:szCs w:val="16"/>
              </w:rPr>
            </w:pPr>
          </w:p>
          <w:p w14:paraId="422DE015" w14:textId="77777777" w:rsidR="00C15F2E" w:rsidRPr="00D96063" w:rsidRDefault="00C15F2E" w:rsidP="00952BFE">
            <w:pPr>
              <w:keepNext/>
              <w:jc w:val="left"/>
              <w:rPr>
                <w:color w:val="000000"/>
                <w:sz w:val="16"/>
                <w:szCs w:val="16"/>
              </w:rPr>
            </w:pPr>
            <w:r w:rsidRPr="00D96063">
              <w:rPr>
                <w:color w:val="000000"/>
                <w:sz w:val="16"/>
                <w:szCs w:val="16"/>
              </w:rPr>
              <w:t>Centralized consultations and web portal for business regulations to act as One Stop portal.</w:t>
            </w:r>
          </w:p>
          <w:p w14:paraId="74FA66F5" w14:textId="77777777" w:rsidR="00C15F2E" w:rsidRPr="00D96063" w:rsidRDefault="00C15F2E" w:rsidP="00952BFE">
            <w:pPr>
              <w:keepNext/>
              <w:jc w:val="left"/>
              <w:rPr>
                <w:color w:val="000000"/>
                <w:sz w:val="16"/>
                <w:szCs w:val="16"/>
              </w:rPr>
            </w:pPr>
          </w:p>
          <w:p w14:paraId="454CC355" w14:textId="77777777" w:rsidR="00C15F2E" w:rsidRPr="00D96063" w:rsidRDefault="00C15F2E" w:rsidP="00952BFE">
            <w:pPr>
              <w:keepNext/>
              <w:jc w:val="left"/>
              <w:rPr>
                <w:sz w:val="16"/>
                <w:szCs w:val="16"/>
              </w:rPr>
            </w:pPr>
            <w:r w:rsidRPr="00D96063">
              <w:rPr>
                <w:sz w:val="16"/>
                <w:szCs w:val="16"/>
              </w:rPr>
              <w:t xml:space="preserve">Design targeted regulatory relief for small and medium-sized enterprises (SMEs) to reduce entry barriers for young entrepreneurs and start-ups. </w:t>
            </w:r>
          </w:p>
        </w:tc>
        <w:tc>
          <w:tcPr>
            <w:tcW w:w="1308" w:type="pct"/>
            <w:tcBorders>
              <w:top w:val="nil"/>
              <w:left w:val="single" w:sz="4" w:space="0" w:color="auto"/>
              <w:bottom w:val="nil"/>
              <w:right w:val="single" w:sz="4" w:space="0" w:color="auto"/>
            </w:tcBorders>
          </w:tcPr>
          <w:p w14:paraId="2CEE774F" w14:textId="77777777" w:rsidR="00C15F2E" w:rsidRPr="00D96063" w:rsidRDefault="00C15F2E" w:rsidP="00952BFE">
            <w:pPr>
              <w:keepNext/>
              <w:jc w:val="left"/>
              <w:rPr>
                <w:sz w:val="16"/>
                <w:szCs w:val="16"/>
              </w:rPr>
            </w:pPr>
            <w:r w:rsidRPr="00D96063">
              <w:rPr>
                <w:sz w:val="16"/>
                <w:szCs w:val="16"/>
              </w:rPr>
              <w:t>A business regulatory consultation portal was developed and launched in 2019.</w:t>
            </w:r>
            <w:r w:rsidRPr="00D96063">
              <w:rPr>
                <w:sz w:val="16"/>
                <w:szCs w:val="16"/>
                <w:vertAlign w:val="superscript"/>
              </w:rPr>
              <w:t>c</w:t>
            </w:r>
          </w:p>
          <w:p w14:paraId="5363ECF6" w14:textId="77777777" w:rsidR="00C15F2E" w:rsidRPr="00D96063" w:rsidRDefault="00C15F2E" w:rsidP="00952BFE">
            <w:pPr>
              <w:keepNext/>
              <w:jc w:val="left"/>
              <w:rPr>
                <w:sz w:val="16"/>
                <w:szCs w:val="16"/>
              </w:rPr>
            </w:pPr>
          </w:p>
          <w:p w14:paraId="3B867C59" w14:textId="77777777" w:rsidR="00C15F2E" w:rsidRPr="00D96063" w:rsidRDefault="00C15F2E" w:rsidP="00952BFE">
            <w:pPr>
              <w:keepNext/>
              <w:jc w:val="left"/>
              <w:rPr>
                <w:sz w:val="16"/>
                <w:szCs w:val="16"/>
              </w:rPr>
            </w:pPr>
          </w:p>
        </w:tc>
      </w:tr>
      <w:tr w:rsidR="00C15F2E" w:rsidRPr="00D96063" w14:paraId="79316BA7" w14:textId="77777777" w:rsidTr="00C03C75">
        <w:trPr>
          <w:cnfStyle w:val="000000010000" w:firstRow="0" w:lastRow="0" w:firstColumn="0" w:lastColumn="0" w:oddVBand="0" w:evenVBand="0" w:oddHBand="0" w:evenHBand="1" w:firstRowFirstColumn="0" w:firstRowLastColumn="0" w:lastRowFirstColumn="0" w:lastRowLastColumn="0"/>
          <w:trHeight w:val="20"/>
        </w:trPr>
        <w:tc>
          <w:tcPr>
            <w:tcW w:w="1084" w:type="pct"/>
            <w:tcBorders>
              <w:top w:val="nil"/>
              <w:left w:val="single" w:sz="4" w:space="0" w:color="auto"/>
              <w:bottom w:val="single" w:sz="4" w:space="0" w:color="auto"/>
              <w:right w:val="single" w:sz="4" w:space="0" w:color="auto"/>
            </w:tcBorders>
            <w:hideMark/>
          </w:tcPr>
          <w:p w14:paraId="608C9925" w14:textId="77777777" w:rsidR="00C15F2E" w:rsidRPr="00D96063" w:rsidRDefault="00C15F2E" w:rsidP="00053198">
            <w:pPr>
              <w:jc w:val="left"/>
              <w:rPr>
                <w:sz w:val="16"/>
                <w:szCs w:val="16"/>
              </w:rPr>
            </w:pPr>
            <w:r w:rsidRPr="00D96063">
              <w:rPr>
                <w:sz w:val="16"/>
                <w:szCs w:val="16"/>
              </w:rPr>
              <w:t>SME development</w:t>
            </w:r>
          </w:p>
        </w:tc>
        <w:tc>
          <w:tcPr>
            <w:tcW w:w="2609" w:type="pct"/>
            <w:tcBorders>
              <w:top w:val="nil"/>
              <w:left w:val="single" w:sz="4" w:space="0" w:color="auto"/>
              <w:bottom w:val="single" w:sz="4" w:space="0" w:color="auto"/>
              <w:right w:val="single" w:sz="4" w:space="0" w:color="auto"/>
            </w:tcBorders>
            <w:hideMark/>
          </w:tcPr>
          <w:p w14:paraId="0CDC1C60" w14:textId="77777777" w:rsidR="00C15F2E" w:rsidRPr="00D96063" w:rsidRDefault="00C15F2E" w:rsidP="00053198">
            <w:pPr>
              <w:jc w:val="left"/>
              <w:rPr>
                <w:sz w:val="16"/>
                <w:szCs w:val="16"/>
              </w:rPr>
            </w:pPr>
            <w:r w:rsidRPr="00D96063">
              <w:rPr>
                <w:color w:val="000000"/>
                <w:sz w:val="16"/>
                <w:szCs w:val="16"/>
              </w:rPr>
              <w:t>Launch a comprehensive National Plan for Entrepreneurship and Innovation.</w:t>
            </w:r>
          </w:p>
        </w:tc>
        <w:tc>
          <w:tcPr>
            <w:tcW w:w="1308" w:type="pct"/>
            <w:tcBorders>
              <w:top w:val="nil"/>
              <w:left w:val="single" w:sz="4" w:space="0" w:color="auto"/>
              <w:bottom w:val="single" w:sz="4" w:space="0" w:color="auto"/>
              <w:right w:val="single" w:sz="4" w:space="0" w:color="auto"/>
            </w:tcBorders>
          </w:tcPr>
          <w:p w14:paraId="733952FB" w14:textId="77777777" w:rsidR="00C15F2E" w:rsidRPr="00D96063" w:rsidRDefault="00C15F2E" w:rsidP="00053198">
            <w:pPr>
              <w:jc w:val="left"/>
              <w:rPr>
                <w:sz w:val="16"/>
                <w:szCs w:val="16"/>
              </w:rPr>
            </w:pPr>
            <w:r w:rsidRPr="00D96063">
              <w:rPr>
                <w:sz w:val="16"/>
                <w:szCs w:val="16"/>
              </w:rPr>
              <w:t>National MSME Policy launched in 2021. The Ghana Enterprises Act, adopted in 2020, established the Ghana Enterprises Agency, which has disbursed over GHS 200 million in support of MSMEs.</w:t>
            </w:r>
          </w:p>
        </w:tc>
      </w:tr>
      <w:tr w:rsidR="00C15F2E" w:rsidRPr="00D96063" w14:paraId="403BC951" w14:textId="77777777" w:rsidTr="00C03C75">
        <w:trPr>
          <w:trHeight w:val="20"/>
        </w:trPr>
        <w:tc>
          <w:tcPr>
            <w:tcW w:w="1084" w:type="pct"/>
            <w:tcBorders>
              <w:top w:val="single" w:sz="4" w:space="0" w:color="auto"/>
              <w:left w:val="single" w:sz="4" w:space="0" w:color="auto"/>
              <w:bottom w:val="nil"/>
              <w:right w:val="single" w:sz="4" w:space="0" w:color="auto"/>
            </w:tcBorders>
            <w:hideMark/>
          </w:tcPr>
          <w:p w14:paraId="77FBEB43" w14:textId="77777777" w:rsidR="00C15F2E" w:rsidRPr="00D96063" w:rsidRDefault="00C15F2E" w:rsidP="00053198">
            <w:pPr>
              <w:jc w:val="left"/>
              <w:rPr>
                <w:sz w:val="16"/>
                <w:szCs w:val="16"/>
              </w:rPr>
            </w:pPr>
            <w:r w:rsidRPr="00D96063">
              <w:rPr>
                <w:sz w:val="16"/>
                <w:szCs w:val="16"/>
              </w:rPr>
              <w:lastRenderedPageBreak/>
              <w:t>Development of industrial parks and SEZs</w:t>
            </w:r>
          </w:p>
        </w:tc>
        <w:tc>
          <w:tcPr>
            <w:tcW w:w="2609" w:type="pct"/>
            <w:tcBorders>
              <w:top w:val="single" w:sz="4" w:space="0" w:color="auto"/>
              <w:left w:val="single" w:sz="4" w:space="0" w:color="auto"/>
              <w:bottom w:val="nil"/>
              <w:right w:val="single" w:sz="4" w:space="0" w:color="auto"/>
            </w:tcBorders>
          </w:tcPr>
          <w:p w14:paraId="167D6473" w14:textId="77777777" w:rsidR="00C15F2E" w:rsidRPr="00D96063" w:rsidRDefault="00C15F2E" w:rsidP="00053198">
            <w:pPr>
              <w:jc w:val="left"/>
              <w:rPr>
                <w:color w:val="000000"/>
                <w:sz w:val="16"/>
                <w:szCs w:val="16"/>
              </w:rPr>
            </w:pPr>
            <w:r w:rsidRPr="00D96063">
              <w:rPr>
                <w:color w:val="000000"/>
                <w:sz w:val="16"/>
                <w:szCs w:val="16"/>
              </w:rPr>
              <w:t xml:space="preserve">Facilitate access to dedicated land in every region for the establishment of multi-purpose industrial parks, sector-specific industrial enclaves, and enterprise free zones. </w:t>
            </w:r>
          </w:p>
        </w:tc>
        <w:tc>
          <w:tcPr>
            <w:tcW w:w="1308" w:type="pct"/>
            <w:tcBorders>
              <w:top w:val="single" w:sz="4" w:space="0" w:color="auto"/>
              <w:left w:val="single" w:sz="4" w:space="0" w:color="auto"/>
              <w:bottom w:val="nil"/>
              <w:right w:val="single" w:sz="4" w:space="0" w:color="auto"/>
            </w:tcBorders>
            <w:hideMark/>
          </w:tcPr>
          <w:p w14:paraId="63835409" w14:textId="77777777" w:rsidR="00C15F2E" w:rsidRPr="00D96063" w:rsidRDefault="00C15F2E" w:rsidP="00053198">
            <w:pPr>
              <w:jc w:val="left"/>
              <w:rPr>
                <w:sz w:val="16"/>
                <w:szCs w:val="16"/>
              </w:rPr>
            </w:pPr>
            <w:r w:rsidRPr="00D96063">
              <w:rPr>
                <w:sz w:val="16"/>
                <w:szCs w:val="16"/>
              </w:rPr>
              <w:t>Nine parks in four regions are under implementation, including through private sector development.</w:t>
            </w:r>
            <w:r w:rsidRPr="00D96063">
              <w:rPr>
                <w:sz w:val="16"/>
                <w:szCs w:val="16"/>
                <w:vertAlign w:val="superscript"/>
              </w:rPr>
              <w:t>d</w:t>
            </w:r>
          </w:p>
        </w:tc>
      </w:tr>
      <w:tr w:rsidR="00C15F2E" w:rsidRPr="00D96063" w14:paraId="73ED7F38" w14:textId="77777777" w:rsidTr="00053198">
        <w:trPr>
          <w:cnfStyle w:val="000000010000" w:firstRow="0" w:lastRow="0" w:firstColumn="0" w:lastColumn="0" w:oddVBand="0" w:evenVBand="0" w:oddHBand="0" w:evenHBand="1" w:firstRowFirstColumn="0" w:firstRowLastColumn="0" w:lastRowFirstColumn="0" w:lastRowLastColumn="0"/>
          <w:trHeight w:val="20"/>
        </w:trPr>
        <w:tc>
          <w:tcPr>
            <w:tcW w:w="0" w:type="pct"/>
            <w:tcBorders>
              <w:top w:val="nil"/>
              <w:left w:val="single" w:sz="4" w:space="0" w:color="auto"/>
              <w:bottom w:val="nil"/>
              <w:right w:val="single" w:sz="4" w:space="0" w:color="auto"/>
            </w:tcBorders>
            <w:hideMark/>
          </w:tcPr>
          <w:p w14:paraId="50A6FF6B" w14:textId="77777777" w:rsidR="00C15F2E" w:rsidRPr="00D96063" w:rsidRDefault="00C15F2E" w:rsidP="00053198">
            <w:pPr>
              <w:jc w:val="left"/>
              <w:rPr>
                <w:sz w:val="16"/>
                <w:szCs w:val="16"/>
              </w:rPr>
            </w:pPr>
            <w:r w:rsidRPr="00D96063">
              <w:rPr>
                <w:sz w:val="16"/>
                <w:szCs w:val="16"/>
              </w:rPr>
              <w:t xml:space="preserve">National Industrial Revitalization Programme </w:t>
            </w:r>
          </w:p>
        </w:tc>
        <w:tc>
          <w:tcPr>
            <w:tcW w:w="0" w:type="pct"/>
            <w:tcBorders>
              <w:top w:val="nil"/>
              <w:left w:val="single" w:sz="4" w:space="0" w:color="auto"/>
              <w:bottom w:val="nil"/>
              <w:right w:val="single" w:sz="4" w:space="0" w:color="auto"/>
            </w:tcBorders>
            <w:hideMark/>
          </w:tcPr>
          <w:p w14:paraId="31A1814A" w14:textId="77777777" w:rsidR="00C15F2E" w:rsidRPr="00D96063" w:rsidRDefault="00C15F2E" w:rsidP="00053198">
            <w:pPr>
              <w:jc w:val="left"/>
              <w:rPr>
                <w:sz w:val="16"/>
                <w:szCs w:val="16"/>
              </w:rPr>
            </w:pPr>
            <w:r w:rsidRPr="00D96063">
              <w:rPr>
                <w:color w:val="000000"/>
                <w:sz w:val="16"/>
                <w:szCs w:val="16"/>
              </w:rPr>
              <w:t>Creation of a stimulus fund to be disbursed to local companies based on specified criteria.</w:t>
            </w:r>
          </w:p>
        </w:tc>
        <w:tc>
          <w:tcPr>
            <w:tcW w:w="0" w:type="pct"/>
            <w:tcBorders>
              <w:top w:val="nil"/>
              <w:left w:val="single" w:sz="4" w:space="0" w:color="auto"/>
              <w:bottom w:val="nil"/>
              <w:right w:val="single" w:sz="4" w:space="0" w:color="auto"/>
            </w:tcBorders>
            <w:hideMark/>
          </w:tcPr>
          <w:p w14:paraId="1BE9D06C" w14:textId="77777777" w:rsidR="00C15F2E" w:rsidRPr="00D96063" w:rsidRDefault="00C15F2E" w:rsidP="00053198">
            <w:pPr>
              <w:jc w:val="left"/>
              <w:rPr>
                <w:sz w:val="16"/>
                <w:szCs w:val="16"/>
              </w:rPr>
            </w:pPr>
            <w:r w:rsidRPr="00D96063">
              <w:rPr>
                <w:sz w:val="16"/>
                <w:szCs w:val="16"/>
              </w:rPr>
              <w:t>Over GHS 321.3 million was disbursed to 29 beneficiary companies.</w:t>
            </w:r>
            <w:r w:rsidRPr="00D96063">
              <w:rPr>
                <w:sz w:val="16"/>
                <w:szCs w:val="16"/>
                <w:vertAlign w:val="superscript"/>
              </w:rPr>
              <w:t>e</w:t>
            </w:r>
          </w:p>
        </w:tc>
      </w:tr>
      <w:tr w:rsidR="00C15F2E" w:rsidRPr="00D96063" w14:paraId="514BF7AB" w14:textId="77777777" w:rsidTr="00053198">
        <w:trPr>
          <w:trHeight w:val="20"/>
        </w:trPr>
        <w:tc>
          <w:tcPr>
            <w:tcW w:w="0" w:type="pct"/>
            <w:tcBorders>
              <w:top w:val="nil"/>
              <w:left w:val="single" w:sz="4" w:space="0" w:color="auto"/>
              <w:bottom w:val="single" w:sz="4" w:space="0" w:color="auto"/>
              <w:right w:val="single" w:sz="4" w:space="0" w:color="auto"/>
            </w:tcBorders>
            <w:hideMark/>
          </w:tcPr>
          <w:p w14:paraId="79368C30" w14:textId="77777777" w:rsidR="00C15F2E" w:rsidRPr="00D96063" w:rsidRDefault="00C15F2E" w:rsidP="00053198">
            <w:pPr>
              <w:jc w:val="left"/>
              <w:rPr>
                <w:sz w:val="16"/>
                <w:szCs w:val="16"/>
              </w:rPr>
            </w:pPr>
            <w:r w:rsidRPr="00D96063">
              <w:rPr>
                <w:sz w:val="16"/>
                <w:szCs w:val="16"/>
              </w:rPr>
              <w:t>Industrial Sub</w:t>
            </w:r>
            <w:r w:rsidRPr="00D96063">
              <w:rPr>
                <w:sz w:val="16"/>
                <w:szCs w:val="16"/>
              </w:rPr>
              <w:noBreakHyphen/>
              <w:t>Contracting Exchange</w:t>
            </w:r>
          </w:p>
        </w:tc>
        <w:tc>
          <w:tcPr>
            <w:tcW w:w="0" w:type="pct"/>
            <w:tcBorders>
              <w:top w:val="nil"/>
              <w:left w:val="single" w:sz="4" w:space="0" w:color="auto"/>
              <w:bottom w:val="single" w:sz="4" w:space="0" w:color="auto"/>
              <w:right w:val="single" w:sz="4" w:space="0" w:color="auto"/>
            </w:tcBorders>
            <w:hideMark/>
          </w:tcPr>
          <w:p w14:paraId="3CAD0F97" w14:textId="77777777" w:rsidR="00C15F2E" w:rsidRPr="00D96063" w:rsidRDefault="00C15F2E" w:rsidP="00053198">
            <w:pPr>
              <w:jc w:val="left"/>
              <w:rPr>
                <w:sz w:val="16"/>
                <w:szCs w:val="16"/>
              </w:rPr>
            </w:pPr>
            <w:r w:rsidRPr="00D96063">
              <w:rPr>
                <w:sz w:val="16"/>
                <w:szCs w:val="16"/>
              </w:rPr>
              <w:t>Ensure that SMEs develop productive capacity to feed industrial requirements of large-scale enterprises.</w:t>
            </w:r>
          </w:p>
        </w:tc>
        <w:tc>
          <w:tcPr>
            <w:tcW w:w="0" w:type="pct"/>
            <w:tcBorders>
              <w:top w:val="nil"/>
              <w:left w:val="single" w:sz="4" w:space="0" w:color="auto"/>
              <w:bottom w:val="single" w:sz="4" w:space="0" w:color="auto"/>
              <w:right w:val="single" w:sz="4" w:space="0" w:color="auto"/>
            </w:tcBorders>
          </w:tcPr>
          <w:p w14:paraId="563BDAF6" w14:textId="77777777" w:rsidR="00C15F2E" w:rsidRPr="00D96063" w:rsidRDefault="00C15F2E" w:rsidP="00053198">
            <w:pPr>
              <w:jc w:val="left"/>
              <w:rPr>
                <w:sz w:val="16"/>
                <w:szCs w:val="16"/>
              </w:rPr>
            </w:pPr>
          </w:p>
        </w:tc>
      </w:tr>
    </w:tbl>
    <w:p w14:paraId="6A692EF7" w14:textId="77777777" w:rsidR="00C15F2E" w:rsidRPr="00D96063" w:rsidRDefault="00C15F2E" w:rsidP="00D868BF">
      <w:pPr>
        <w:pStyle w:val="NoteText"/>
        <w:spacing w:before="240"/>
        <w:ind w:left="850" w:hanging="850"/>
      </w:pPr>
      <w:r w:rsidRPr="00D96063">
        <w:t xml:space="preserve">a </w:t>
      </w:r>
      <w:r w:rsidRPr="00D96063">
        <w:tab/>
        <w:t xml:space="preserve">MOTI (2021), "President Commissions Premium Foods Under 1D1F", 18 June. Viewed at: </w:t>
      </w:r>
      <w:hyperlink r:id="rId92" w:history="1">
        <w:r w:rsidRPr="00D96063">
          <w:rPr>
            <w:rStyle w:val="Hyperlink"/>
          </w:rPr>
          <w:t>https://moti.gov.gh/article.php?id=NTM=</w:t>
        </w:r>
      </w:hyperlink>
      <w:r w:rsidRPr="00D96063">
        <w:t>.</w:t>
      </w:r>
    </w:p>
    <w:p w14:paraId="603B9D62" w14:textId="22D8B123" w:rsidR="00C15F2E" w:rsidRPr="00D96063" w:rsidRDefault="00C15F2E" w:rsidP="00D868BF">
      <w:pPr>
        <w:pStyle w:val="NoteText"/>
        <w:ind w:left="850" w:hanging="850"/>
      </w:pPr>
      <w:r w:rsidRPr="00D96063">
        <w:t>b</w:t>
      </w:r>
      <w:r w:rsidRPr="00D96063">
        <w:tab/>
        <w:t xml:space="preserve">Parliament, </w:t>
      </w:r>
      <w:r w:rsidRPr="00D96063">
        <w:rPr>
          <w:i/>
          <w:iCs/>
        </w:rPr>
        <w:t>Report of the Committee on Trade, Industry and Tourism on the 2020 Annual Budget Estimates of the Ministry of Trade and Industry</w:t>
      </w:r>
      <w:r w:rsidRPr="00D96063">
        <w:t xml:space="preserve">. Viewed at: </w:t>
      </w:r>
      <w:hyperlink r:id="rId93" w:history="1">
        <w:r w:rsidRPr="00D96063">
          <w:rPr>
            <w:rStyle w:val="Hyperlink"/>
          </w:rPr>
          <w:t>http://ir.parliament.gh/bitstream/handle/123456789/1502/2019_12_20_15_03_19.pdf?sequence=1&amp;isAllowed=y</w:t>
        </w:r>
      </w:hyperlink>
      <w:r w:rsidRPr="00D96063">
        <w:rPr>
          <w:rStyle w:val="Hyperlink"/>
          <w:color w:val="auto"/>
          <w:u w:val="none"/>
        </w:rPr>
        <w:t>.</w:t>
      </w:r>
    </w:p>
    <w:p w14:paraId="6A11A8C4" w14:textId="77777777" w:rsidR="00C15F2E" w:rsidRPr="00D96063" w:rsidRDefault="00C15F2E" w:rsidP="00D868BF">
      <w:pPr>
        <w:pStyle w:val="NoteText"/>
        <w:ind w:left="850" w:hanging="850"/>
      </w:pPr>
      <w:r w:rsidRPr="00D96063">
        <w:t xml:space="preserve">c </w:t>
      </w:r>
      <w:r w:rsidRPr="00D96063">
        <w:tab/>
        <w:t xml:space="preserve">Ghana Business Regulatory Reforms Portal. Viewed at: </w:t>
      </w:r>
      <w:hyperlink r:id="rId94" w:history="1">
        <w:r w:rsidRPr="00D96063">
          <w:rPr>
            <w:rStyle w:val="Hyperlink"/>
          </w:rPr>
          <w:t>https://www.bcp.gov.gh/login</w:t>
        </w:r>
      </w:hyperlink>
      <w:r w:rsidRPr="00D96063">
        <w:t>.</w:t>
      </w:r>
    </w:p>
    <w:p w14:paraId="4284642F" w14:textId="77777777" w:rsidR="00C15F2E" w:rsidRPr="00D96063" w:rsidRDefault="00C15F2E" w:rsidP="00D868BF">
      <w:pPr>
        <w:pStyle w:val="NoteText"/>
        <w:ind w:left="850" w:hanging="850"/>
      </w:pPr>
      <w:r w:rsidRPr="00D96063">
        <w:t xml:space="preserve">d </w:t>
      </w:r>
      <w:r w:rsidRPr="00D96063">
        <w:tab/>
        <w:t xml:space="preserve">MOTI (2019), </w:t>
      </w:r>
      <w:r w:rsidRPr="00D96063">
        <w:rPr>
          <w:i/>
          <w:iCs/>
        </w:rPr>
        <w:t>Meet the Press</w:t>
      </w:r>
      <w:r w:rsidRPr="00D96063">
        <w:t xml:space="preserve">. Viewed at: </w:t>
      </w:r>
      <w:hyperlink r:id="rId95" w:history="1">
        <w:r w:rsidRPr="00D96063">
          <w:rPr>
            <w:rStyle w:val="Hyperlink"/>
          </w:rPr>
          <w:t>https://www.moti.gov.gh/docs/Hon_Minister_Presentation.pdf</w:t>
        </w:r>
      </w:hyperlink>
      <w:r w:rsidRPr="00D96063">
        <w:rPr>
          <w:rStyle w:val="Hyperlink"/>
          <w:color w:val="auto"/>
          <w:u w:val="none"/>
        </w:rPr>
        <w:t>.</w:t>
      </w:r>
    </w:p>
    <w:p w14:paraId="6C043803" w14:textId="77777777" w:rsidR="00C15F2E" w:rsidRPr="00D96063" w:rsidRDefault="00C15F2E" w:rsidP="00D868BF">
      <w:pPr>
        <w:pStyle w:val="NoteText"/>
        <w:ind w:left="850" w:hanging="850"/>
      </w:pPr>
      <w:r w:rsidRPr="00D96063">
        <w:t xml:space="preserve">e </w:t>
      </w:r>
      <w:r w:rsidRPr="00D96063">
        <w:tab/>
        <w:t xml:space="preserve">Parliament, </w:t>
      </w:r>
      <w:r w:rsidRPr="00D96063">
        <w:rPr>
          <w:i/>
          <w:iCs/>
        </w:rPr>
        <w:t>Report of the Committee on Trade, Industry and Tourism on the 2020 Annual Budget Estimates of the Ministry of Trade and Industry</w:t>
      </w:r>
      <w:r w:rsidRPr="00D96063">
        <w:t>.</w:t>
      </w:r>
    </w:p>
    <w:p w14:paraId="78E5BC3A" w14:textId="77777777" w:rsidR="00C15F2E" w:rsidRPr="00D96063" w:rsidRDefault="00C15F2E" w:rsidP="00D868BF">
      <w:pPr>
        <w:pStyle w:val="NoteText"/>
        <w:spacing w:before="120" w:after="240"/>
      </w:pPr>
      <w:r w:rsidRPr="00D96063">
        <w:t xml:space="preserve">Source: </w:t>
      </w:r>
      <w:r w:rsidRPr="00D96063">
        <w:tab/>
        <w:t>WTO Secretariat based on information provided by authorities.</w:t>
      </w:r>
    </w:p>
    <w:p w14:paraId="20730811" w14:textId="77777777" w:rsidR="00C15F2E" w:rsidRPr="00D96063" w:rsidRDefault="00C15F2E" w:rsidP="00D868BF">
      <w:pPr>
        <w:pStyle w:val="BodyText"/>
      </w:pPr>
      <w:r w:rsidRPr="00D96063">
        <w:t>Over the past two decades (2000 to 2019), the manufacturing sector contributed only modestly towards overall economic growth. To produce more locally to meet domestic demand, expand exports and move Ghana "beyond aid", a 10-point Industrial Transformation Agenda was adopted in 2017 (Table 4.16).</w:t>
      </w:r>
    </w:p>
    <w:p w14:paraId="7809258D" w14:textId="77777777" w:rsidR="00C15F2E" w:rsidRPr="00D96063" w:rsidRDefault="00C15F2E" w:rsidP="003758E5">
      <w:pPr>
        <w:numPr>
          <w:ilvl w:val="6"/>
          <w:numId w:val="18"/>
        </w:numPr>
        <w:spacing w:after="240"/>
      </w:pPr>
      <w:r w:rsidRPr="00D96063">
        <w:t>Manufacturing incentives include tax holidays and other corporate tax reductions depending on the location of the industry (Table 3.10). Ghana provides import duty exemptions for industrial plants, machinery or equipment and parts thereof (HS Chapters 82, 84, 85, and 98) (Table 3.5). An enterprise whose plant, machinery, or equipment and parts are not zero</w:t>
      </w:r>
      <w:r w:rsidRPr="00D96063">
        <w:noBreakHyphen/>
        <w:t>rated under the Customs, Excise and Preventive Service Management Act, 1993 may apply for an exemption from import duties and related charges.</w:t>
      </w:r>
      <w:r w:rsidRPr="00D96063">
        <w:rPr>
          <w:rStyle w:val="FootnoteReference"/>
        </w:rPr>
        <w:footnoteReference w:id="189"/>
      </w:r>
    </w:p>
    <w:p w14:paraId="11F286F7" w14:textId="77777777" w:rsidR="00C15F2E" w:rsidRPr="00D96063" w:rsidRDefault="00C15F2E" w:rsidP="00D868BF">
      <w:pPr>
        <w:pStyle w:val="Heading3"/>
      </w:pPr>
      <w:bookmarkStart w:id="231" w:name="_Toc103607723"/>
      <w:r w:rsidRPr="00D96063">
        <w:t>Pharmaceutical industry</w:t>
      </w:r>
      <w:bookmarkEnd w:id="231"/>
    </w:p>
    <w:p w14:paraId="20306535" w14:textId="77777777" w:rsidR="00C15F2E" w:rsidRPr="00D96063" w:rsidRDefault="00C15F2E" w:rsidP="00D868BF">
      <w:pPr>
        <w:pStyle w:val="BodyText"/>
      </w:pPr>
      <w:r w:rsidRPr="00D96063">
        <w:t>Ghana had the second-largest pharmaceutical industry in the ECOWAS region in 2019. The industry comprises both innovator and generic firms (local and international) with a turnover estimated at USD 600 million.</w:t>
      </w:r>
      <w:r w:rsidRPr="00D96063">
        <w:rPr>
          <w:rStyle w:val="FootnoteReference"/>
        </w:rPr>
        <w:footnoteReference w:id="190"/>
      </w:r>
      <w:r w:rsidRPr="00D96063">
        <w:t xml:space="preserve"> The local manufacturers are represented by the Pharmaceutical Manufacturers Association of Ghana (PMAG). It had about 38 members as of July 2021, with over 30 active manufacturers, employing over 5,000 people.</w:t>
      </w:r>
      <w:r w:rsidRPr="00D96063">
        <w:rPr>
          <w:rStyle w:val="FootnoteReference"/>
        </w:rPr>
        <w:footnoteReference w:id="191"/>
      </w:r>
    </w:p>
    <w:p w14:paraId="7BA773EC" w14:textId="77777777" w:rsidR="00C15F2E" w:rsidRPr="00D96063" w:rsidRDefault="00C15F2E" w:rsidP="00D868BF">
      <w:pPr>
        <w:pStyle w:val="BodyText"/>
      </w:pPr>
      <w:r w:rsidRPr="00D96063">
        <w:t>The pharmaceutical industry is fragmented with numerous enterprises at various stages of development. There are three predominant business models: (i) a hybrid model whereby companies manufacture locally, but import and distribute products from international principals, some of whom also operate in the retail pharmacy business; (ii) a 100% local manufacturing model; and (iii) a model whereby importers import the finished products and distribute nationally through local distributors or their own distribution system.</w:t>
      </w:r>
    </w:p>
    <w:p w14:paraId="6217247C" w14:textId="77777777" w:rsidR="00C15F2E" w:rsidRPr="00D96063" w:rsidRDefault="00C15F2E" w:rsidP="00D868BF">
      <w:pPr>
        <w:pStyle w:val="BodyText"/>
      </w:pPr>
      <w:r w:rsidRPr="00D96063">
        <w:t xml:space="preserve">The local industry supplies about one third of the national requirements of essential medicines, relying heavily on imported inputs, such as active pharmaceutical ingredients, </w:t>
      </w:r>
      <w:r w:rsidRPr="00D96063">
        <w:lastRenderedPageBreak/>
        <w:t>equipment, and packaging materials.</w:t>
      </w:r>
      <w:r w:rsidRPr="00D96063">
        <w:rPr>
          <w:rStyle w:val="FootnoteReference"/>
        </w:rPr>
        <w:footnoteReference w:id="192"/>
      </w:r>
      <w:r w:rsidRPr="00D96063">
        <w:t xml:space="preserve"> Due to, </w:t>
      </w:r>
      <w:r w:rsidRPr="00D96063">
        <w:rPr>
          <w:i/>
          <w:iCs/>
        </w:rPr>
        <w:t>inter alia</w:t>
      </w:r>
      <w:r w:rsidRPr="00D96063">
        <w:t>, limited technical expertise and capital, local companies have limited and virtually identical product portfolios, and largely produce over-the-counter and simple generics or essential medicines.</w:t>
      </w:r>
    </w:p>
    <w:p w14:paraId="2CDF9DB6" w14:textId="27E45042" w:rsidR="00C15F2E" w:rsidRPr="00D96063" w:rsidRDefault="00C15F2E" w:rsidP="00D868BF">
      <w:pPr>
        <w:pStyle w:val="BodyText"/>
      </w:pPr>
      <w:r w:rsidRPr="00D96063">
        <w:t>Since 1985, Ghana has maintained an import substitution policy for pharmaceuticals.</w:t>
      </w:r>
      <w:r w:rsidRPr="00D96063">
        <w:rPr>
          <w:rStyle w:val="FootnoteReference"/>
        </w:rPr>
        <w:footnoteReference w:id="193"/>
      </w:r>
      <w:r w:rsidRPr="00D96063">
        <w:t xml:space="preserve"> Under this scheme, there are three groups of drugs, which are subject to different treatment (Box</w:t>
      </w:r>
      <w:r w:rsidR="00A70DE0">
        <w:t> </w:t>
      </w:r>
      <w:r w:rsidRPr="00D96063">
        <w:t>4.1).</w:t>
      </w:r>
    </w:p>
    <w:p w14:paraId="19B221D7" w14:textId="7CE7CC3D" w:rsidR="00C15F2E" w:rsidRPr="00D96063" w:rsidRDefault="00C15F2E" w:rsidP="003758E5">
      <w:pPr>
        <w:pStyle w:val="ListBullet3"/>
        <w:numPr>
          <w:ilvl w:val="2"/>
          <w:numId w:val="28"/>
        </w:numPr>
      </w:pPr>
      <w:r w:rsidRPr="00D96063">
        <w:t>Substances subject to a production ban (banned substances) for safety reasons, i.e.</w:t>
      </w:r>
      <w:r w:rsidR="00A70DE0">
        <w:t> </w:t>
      </w:r>
      <w:r w:rsidRPr="00D96063">
        <w:t>substances that are not safe for human consumption.</w:t>
      </w:r>
    </w:p>
    <w:p w14:paraId="61C8FCF6" w14:textId="77777777" w:rsidR="00C15F2E" w:rsidRPr="00D96063" w:rsidRDefault="00C15F2E" w:rsidP="003758E5">
      <w:pPr>
        <w:pStyle w:val="ListBullet3"/>
        <w:numPr>
          <w:ilvl w:val="2"/>
          <w:numId w:val="28"/>
        </w:numPr>
      </w:pPr>
      <w:r w:rsidRPr="00D96063">
        <w:t>Selected drugs subject to an import ban, which the pharmaceutical industry undertakes to manufacture locally. The number of products reserved for local production increased from 14 to 49 during the review period.</w:t>
      </w:r>
      <w:r w:rsidRPr="00D96063">
        <w:rPr>
          <w:rStyle w:val="FootnoteReference"/>
          <w:color w:val="000000" w:themeColor="text1"/>
        </w:rPr>
        <w:footnoteReference w:id="194"/>
      </w:r>
      <w:r w:rsidRPr="00D96063">
        <w:t xml:space="preserve"> Additionally, in government procurement, Ghana offers a 15% preference margin for domestically produced pharmaceutical products.</w:t>
      </w:r>
      <w:r w:rsidRPr="00D96063">
        <w:rPr>
          <w:rStyle w:val="FootnoteReference"/>
          <w:color w:val="000000" w:themeColor="text1"/>
        </w:rPr>
        <w:footnoteReference w:id="195"/>
      </w:r>
    </w:p>
    <w:p w14:paraId="769D4A9F" w14:textId="00A97493" w:rsidR="00C15F2E" w:rsidRPr="00D96063" w:rsidRDefault="00C15F2E" w:rsidP="003758E5">
      <w:pPr>
        <w:pStyle w:val="ListBullet3"/>
        <w:numPr>
          <w:ilvl w:val="2"/>
          <w:numId w:val="28"/>
        </w:numPr>
      </w:pPr>
      <w:r w:rsidRPr="00D96063">
        <w:t>Specialized products that local companies are unable to produce or have no immediate plans to produce. The import tariff on pharmaceutical products (HS 30) is set at zero.</w:t>
      </w:r>
    </w:p>
    <w:p w14:paraId="2AF5D795" w14:textId="00AACCFA" w:rsidR="00C15F2E" w:rsidRPr="00D96063" w:rsidRDefault="00C15F2E" w:rsidP="00D868BF">
      <w:pPr>
        <w:pStyle w:val="Caption"/>
      </w:pPr>
      <w:bookmarkStart w:id="232" w:name="_Toc103607972"/>
      <w:r w:rsidRPr="00D96063">
        <w:rPr>
          <w:bCs w:val="0"/>
        </w:rPr>
        <w:t xml:space="preserve">Box </w:t>
      </w:r>
      <w:r w:rsidR="00952BFE" w:rsidRPr="00D96063">
        <w:rPr>
          <w:bCs w:val="0"/>
        </w:rPr>
        <w:fldChar w:fldCharType="begin"/>
      </w:r>
      <w:r w:rsidR="00952BFE" w:rsidRPr="00D96063">
        <w:rPr>
          <w:bCs w:val="0"/>
        </w:rPr>
        <w:instrText xml:space="preserve"> STYLEREF 1 \s </w:instrText>
      </w:r>
      <w:r w:rsidR="00952BFE" w:rsidRPr="00D96063">
        <w:rPr>
          <w:bCs w:val="0"/>
        </w:rPr>
        <w:fldChar w:fldCharType="separate"/>
      </w:r>
      <w:r w:rsidR="004B63B1">
        <w:rPr>
          <w:bCs w:val="0"/>
          <w:noProof/>
        </w:rPr>
        <w:t>4</w:t>
      </w:r>
      <w:r w:rsidR="00952BFE" w:rsidRPr="00D96063">
        <w:rPr>
          <w:bCs w:val="0"/>
        </w:rPr>
        <w:fldChar w:fldCharType="end"/>
      </w:r>
      <w:r w:rsidR="00952BFE" w:rsidRPr="00D96063">
        <w:rPr>
          <w:bCs w:val="0"/>
        </w:rPr>
        <w:t>.</w:t>
      </w:r>
      <w:r w:rsidR="00952BFE" w:rsidRPr="00D96063">
        <w:rPr>
          <w:bCs w:val="0"/>
        </w:rPr>
        <w:fldChar w:fldCharType="begin"/>
      </w:r>
      <w:r w:rsidR="00952BFE" w:rsidRPr="00D96063">
        <w:rPr>
          <w:bCs w:val="0"/>
        </w:rPr>
        <w:instrText xml:space="preserve"> SEQ Box \* ARABIC \s 1 </w:instrText>
      </w:r>
      <w:r w:rsidR="00952BFE" w:rsidRPr="00D96063">
        <w:rPr>
          <w:bCs w:val="0"/>
        </w:rPr>
        <w:fldChar w:fldCharType="separate"/>
      </w:r>
      <w:r w:rsidR="004B63B1">
        <w:rPr>
          <w:bCs w:val="0"/>
          <w:noProof/>
        </w:rPr>
        <w:t>1</w:t>
      </w:r>
      <w:r w:rsidR="00952BFE" w:rsidRPr="00D96063">
        <w:rPr>
          <w:bCs w:val="0"/>
        </w:rPr>
        <w:fldChar w:fldCharType="end"/>
      </w:r>
      <w:r w:rsidRPr="00D96063">
        <w:t xml:space="preserve"> Pharmaceutical products banned for production or import, 2021</w:t>
      </w:r>
      <w:bookmarkEnd w:id="232"/>
    </w:p>
    <w:tbl>
      <w:tblPr>
        <w:tblStyle w:val="WTOBox1"/>
        <w:tblW w:w="0" w:type="auto"/>
        <w:tblLook w:val="04A0" w:firstRow="1" w:lastRow="0" w:firstColumn="1" w:lastColumn="0" w:noHBand="0" w:noVBand="1"/>
      </w:tblPr>
      <w:tblGrid>
        <w:gridCol w:w="9016"/>
      </w:tblGrid>
      <w:tr w:rsidR="00C15F2E" w:rsidRPr="00D96063" w14:paraId="216B0921" w14:textId="77777777" w:rsidTr="00053198">
        <w:tc>
          <w:tcPr>
            <w:tcW w:w="9016" w:type="dxa"/>
            <w:tcBorders>
              <w:top w:val="nil"/>
              <w:left w:val="nil"/>
              <w:bottom w:val="single" w:sz="6" w:space="0" w:color="FFFFFF"/>
              <w:right w:val="nil"/>
            </w:tcBorders>
            <w:hideMark/>
          </w:tcPr>
          <w:p w14:paraId="345C3364" w14:textId="77777777" w:rsidR="00C15F2E" w:rsidRPr="00D96063" w:rsidRDefault="00C15F2E" w:rsidP="00053198">
            <w:pPr>
              <w:rPr>
                <w:b/>
                <w:sz w:val="16"/>
              </w:rPr>
            </w:pPr>
            <w:r w:rsidRPr="00D96063">
              <w:rPr>
                <w:b/>
                <w:sz w:val="16"/>
              </w:rPr>
              <w:t>Banned substances</w:t>
            </w:r>
          </w:p>
          <w:p w14:paraId="502C4903" w14:textId="77777777" w:rsidR="00C15F2E" w:rsidRPr="00D96063" w:rsidRDefault="00C15F2E" w:rsidP="00053198">
            <w:pPr>
              <w:rPr>
                <w:sz w:val="16"/>
                <w:szCs w:val="16"/>
              </w:rPr>
            </w:pPr>
            <w:r w:rsidRPr="00D96063">
              <w:rPr>
                <w:sz w:val="16"/>
                <w:szCs w:val="16"/>
              </w:rPr>
              <w:t xml:space="preserve">The following pharmaceuticals are banned in Ghana and </w:t>
            </w:r>
            <w:r w:rsidRPr="00D96063">
              <w:rPr>
                <w:b/>
                <w:bCs/>
                <w:sz w:val="16"/>
                <w:szCs w:val="16"/>
              </w:rPr>
              <w:t>cannot be produced</w:t>
            </w:r>
            <w:r w:rsidRPr="00D96063">
              <w:rPr>
                <w:sz w:val="16"/>
                <w:szCs w:val="16"/>
              </w:rPr>
              <w:t xml:space="preserve"> or imported:</w:t>
            </w:r>
          </w:p>
          <w:p w14:paraId="4DF9CF15" w14:textId="77777777" w:rsidR="00C15F2E" w:rsidRPr="00D96063" w:rsidRDefault="00C15F2E" w:rsidP="003758E5">
            <w:pPr>
              <w:pStyle w:val="ListParagraph"/>
              <w:numPr>
                <w:ilvl w:val="0"/>
                <w:numId w:val="38"/>
              </w:numPr>
              <w:rPr>
                <w:sz w:val="16"/>
                <w:szCs w:val="16"/>
              </w:rPr>
            </w:pPr>
            <w:r w:rsidRPr="00D96063">
              <w:rPr>
                <w:sz w:val="16"/>
                <w:szCs w:val="16"/>
              </w:rPr>
              <w:t>Iodochlorhydroxyquinoline and its derivatives (0.1%-0.5%)</w:t>
            </w:r>
          </w:p>
          <w:p w14:paraId="038A2E0D" w14:textId="77777777" w:rsidR="00C15F2E" w:rsidRPr="00D96063" w:rsidRDefault="00C15F2E" w:rsidP="003758E5">
            <w:pPr>
              <w:pStyle w:val="ListParagraph"/>
              <w:numPr>
                <w:ilvl w:val="0"/>
                <w:numId w:val="38"/>
              </w:numPr>
              <w:rPr>
                <w:sz w:val="16"/>
                <w:szCs w:val="16"/>
              </w:rPr>
            </w:pPr>
            <w:r w:rsidRPr="00D96063">
              <w:rPr>
                <w:sz w:val="16"/>
                <w:szCs w:val="16"/>
              </w:rPr>
              <w:t>Methaqualone and its salts</w:t>
            </w:r>
          </w:p>
          <w:p w14:paraId="67155EE5" w14:textId="77777777" w:rsidR="00C15F2E" w:rsidRPr="00D96063" w:rsidRDefault="00C15F2E" w:rsidP="003758E5">
            <w:pPr>
              <w:pStyle w:val="ListParagraph"/>
              <w:numPr>
                <w:ilvl w:val="0"/>
                <w:numId w:val="38"/>
              </w:numPr>
              <w:rPr>
                <w:sz w:val="16"/>
                <w:szCs w:val="16"/>
              </w:rPr>
            </w:pPr>
            <w:r w:rsidRPr="00D96063">
              <w:rPr>
                <w:sz w:val="16"/>
                <w:szCs w:val="16"/>
              </w:rPr>
              <w:t>Phenylbutazone, its salts and derivatives</w:t>
            </w:r>
          </w:p>
          <w:p w14:paraId="39E65D8B" w14:textId="77777777" w:rsidR="00C15F2E" w:rsidRPr="00D96063" w:rsidRDefault="00C15F2E" w:rsidP="003758E5">
            <w:pPr>
              <w:pStyle w:val="ListParagraph"/>
              <w:numPr>
                <w:ilvl w:val="0"/>
                <w:numId w:val="38"/>
              </w:numPr>
              <w:rPr>
                <w:sz w:val="16"/>
                <w:szCs w:val="16"/>
              </w:rPr>
            </w:pPr>
            <w:r w:rsidRPr="00D96063">
              <w:rPr>
                <w:sz w:val="16"/>
                <w:szCs w:val="16"/>
              </w:rPr>
              <w:t>Sercobarbital (Quinalbarbitone)</w:t>
            </w:r>
          </w:p>
          <w:p w14:paraId="559F7BFB" w14:textId="77777777" w:rsidR="00C15F2E" w:rsidRPr="00D96063" w:rsidRDefault="00C15F2E" w:rsidP="003758E5">
            <w:pPr>
              <w:pStyle w:val="ListParagraph"/>
              <w:numPr>
                <w:ilvl w:val="0"/>
                <w:numId w:val="38"/>
              </w:numPr>
              <w:rPr>
                <w:sz w:val="16"/>
                <w:szCs w:val="16"/>
              </w:rPr>
            </w:pPr>
            <w:r w:rsidRPr="00D96063">
              <w:rPr>
                <w:sz w:val="16"/>
                <w:szCs w:val="16"/>
              </w:rPr>
              <w:t>All formulations with plain Ephedrine</w:t>
            </w:r>
          </w:p>
          <w:p w14:paraId="626427E5" w14:textId="77777777" w:rsidR="00C15F2E" w:rsidRPr="00D96063" w:rsidRDefault="00C15F2E" w:rsidP="003758E5">
            <w:pPr>
              <w:pStyle w:val="ListParagraph"/>
              <w:numPr>
                <w:ilvl w:val="0"/>
                <w:numId w:val="38"/>
              </w:numPr>
              <w:rPr>
                <w:sz w:val="16"/>
                <w:szCs w:val="16"/>
              </w:rPr>
            </w:pPr>
            <w:r w:rsidRPr="00D96063">
              <w:rPr>
                <w:sz w:val="16"/>
                <w:szCs w:val="16"/>
              </w:rPr>
              <w:t>Chloroquine for malaria</w:t>
            </w:r>
          </w:p>
          <w:p w14:paraId="375B629F" w14:textId="77777777" w:rsidR="00C15F2E" w:rsidRPr="00D96063" w:rsidRDefault="00C15F2E" w:rsidP="003758E5">
            <w:pPr>
              <w:pStyle w:val="ListParagraph"/>
              <w:numPr>
                <w:ilvl w:val="0"/>
                <w:numId w:val="38"/>
              </w:numPr>
              <w:rPr>
                <w:sz w:val="16"/>
                <w:szCs w:val="16"/>
              </w:rPr>
            </w:pPr>
            <w:r w:rsidRPr="00D96063">
              <w:rPr>
                <w:sz w:val="16"/>
                <w:szCs w:val="16"/>
              </w:rPr>
              <w:t>Nimesulide</w:t>
            </w:r>
          </w:p>
          <w:p w14:paraId="47E32CDA" w14:textId="77777777" w:rsidR="00C15F2E" w:rsidRPr="00D96063" w:rsidRDefault="00C15F2E" w:rsidP="003758E5">
            <w:pPr>
              <w:pStyle w:val="ListParagraph"/>
              <w:numPr>
                <w:ilvl w:val="0"/>
                <w:numId w:val="38"/>
              </w:numPr>
              <w:rPr>
                <w:sz w:val="16"/>
                <w:szCs w:val="16"/>
              </w:rPr>
            </w:pPr>
            <w:r w:rsidRPr="00D96063">
              <w:rPr>
                <w:sz w:val="16"/>
                <w:szCs w:val="16"/>
              </w:rPr>
              <w:t>Rofecoxib</w:t>
            </w:r>
          </w:p>
          <w:p w14:paraId="713C7EC9" w14:textId="77777777" w:rsidR="00C15F2E" w:rsidRPr="00D96063" w:rsidRDefault="00C15F2E" w:rsidP="003758E5">
            <w:pPr>
              <w:pStyle w:val="ListParagraph"/>
              <w:numPr>
                <w:ilvl w:val="0"/>
                <w:numId w:val="38"/>
              </w:numPr>
              <w:rPr>
                <w:sz w:val="16"/>
                <w:szCs w:val="16"/>
              </w:rPr>
            </w:pPr>
            <w:r w:rsidRPr="00D96063">
              <w:rPr>
                <w:sz w:val="16"/>
                <w:szCs w:val="16"/>
              </w:rPr>
              <w:t>Rosiglitazone</w:t>
            </w:r>
          </w:p>
          <w:p w14:paraId="38D8CBD2" w14:textId="77777777" w:rsidR="00C15F2E" w:rsidRPr="00D96063" w:rsidRDefault="00C15F2E" w:rsidP="003758E5">
            <w:pPr>
              <w:pStyle w:val="ListParagraph"/>
              <w:numPr>
                <w:ilvl w:val="0"/>
                <w:numId w:val="38"/>
              </w:numPr>
              <w:rPr>
                <w:sz w:val="16"/>
                <w:szCs w:val="16"/>
              </w:rPr>
            </w:pPr>
            <w:r w:rsidRPr="00D96063">
              <w:rPr>
                <w:sz w:val="16"/>
                <w:szCs w:val="16"/>
              </w:rPr>
              <w:t>Ketoconazole tablets</w:t>
            </w:r>
          </w:p>
          <w:p w14:paraId="70101938" w14:textId="77777777" w:rsidR="00C15F2E" w:rsidRPr="00D96063" w:rsidRDefault="00C15F2E" w:rsidP="003758E5">
            <w:pPr>
              <w:pStyle w:val="ListParagraph"/>
              <w:numPr>
                <w:ilvl w:val="0"/>
                <w:numId w:val="38"/>
              </w:numPr>
              <w:rPr>
                <w:sz w:val="16"/>
                <w:szCs w:val="16"/>
              </w:rPr>
            </w:pPr>
            <w:r w:rsidRPr="00D96063">
              <w:rPr>
                <w:sz w:val="16"/>
                <w:szCs w:val="16"/>
              </w:rPr>
              <w:t>Codeine-containing cough syrup</w:t>
            </w:r>
          </w:p>
          <w:p w14:paraId="34A462B2" w14:textId="77777777" w:rsidR="00C15F2E" w:rsidRPr="00D96063" w:rsidRDefault="00C15F2E" w:rsidP="003758E5">
            <w:pPr>
              <w:pStyle w:val="ListParagraph"/>
              <w:numPr>
                <w:ilvl w:val="0"/>
                <w:numId w:val="38"/>
              </w:numPr>
              <w:rPr>
                <w:sz w:val="16"/>
                <w:szCs w:val="16"/>
              </w:rPr>
            </w:pPr>
            <w:r w:rsidRPr="00D96063">
              <w:rPr>
                <w:sz w:val="16"/>
                <w:szCs w:val="16"/>
              </w:rPr>
              <w:t>Sulphathiazole</w:t>
            </w:r>
          </w:p>
        </w:tc>
      </w:tr>
      <w:tr w:rsidR="00C15F2E" w:rsidRPr="00D96063" w14:paraId="13C44CD6" w14:textId="77777777" w:rsidTr="00053198">
        <w:tc>
          <w:tcPr>
            <w:tcW w:w="9016" w:type="dxa"/>
            <w:tcBorders>
              <w:top w:val="single" w:sz="6" w:space="0" w:color="FFFFFF"/>
              <w:left w:val="nil"/>
              <w:bottom w:val="nil"/>
              <w:right w:val="nil"/>
            </w:tcBorders>
            <w:hideMark/>
          </w:tcPr>
          <w:p w14:paraId="2249EEE3" w14:textId="77777777" w:rsidR="00C15F2E" w:rsidRPr="00D96063" w:rsidRDefault="00C15F2E" w:rsidP="00053198">
            <w:pPr>
              <w:rPr>
                <w:sz w:val="16"/>
              </w:rPr>
            </w:pPr>
            <w:r w:rsidRPr="00D96063">
              <w:rPr>
                <w:b/>
                <w:sz w:val="16"/>
              </w:rPr>
              <w:t>Drugs under import ban</w:t>
            </w:r>
          </w:p>
          <w:p w14:paraId="095E4147" w14:textId="77777777" w:rsidR="00C15F2E" w:rsidRPr="00D96063" w:rsidRDefault="00C15F2E" w:rsidP="00053198">
            <w:pPr>
              <w:rPr>
                <w:sz w:val="16"/>
                <w:szCs w:val="16"/>
              </w:rPr>
            </w:pPr>
            <w:r w:rsidRPr="00D96063">
              <w:rPr>
                <w:sz w:val="16"/>
                <w:szCs w:val="16"/>
              </w:rPr>
              <w:t>Importation of the finished products of the listed items is not permitted. Only raw materials may be imported for local manufacture:</w:t>
            </w:r>
          </w:p>
          <w:p w14:paraId="7FFAE6DA" w14:textId="77777777" w:rsidR="00C15F2E" w:rsidRPr="00D96063" w:rsidRDefault="00C15F2E" w:rsidP="00053198">
            <w:pPr>
              <w:rPr>
                <w:sz w:val="16"/>
                <w:szCs w:val="16"/>
              </w:rPr>
            </w:pPr>
            <w:r w:rsidRPr="00D96063">
              <w:rPr>
                <w:b/>
                <w:bCs/>
                <w:sz w:val="16"/>
                <w:szCs w:val="16"/>
              </w:rPr>
              <w:t>1. Tablets:</w:t>
            </w:r>
            <w:r w:rsidRPr="00D96063">
              <w:rPr>
                <w:sz w:val="16"/>
                <w:szCs w:val="16"/>
              </w:rPr>
              <w:t xml:space="preserve"> aluminium hydroxide, magnesium trisilicate, aspirin, caffeine, bendrofluazide, cetirizine, co</w:t>
            </w:r>
            <w:r w:rsidRPr="00D96063">
              <w:rPr>
                <w:sz w:val="16"/>
                <w:szCs w:val="16"/>
              </w:rPr>
              <w:noBreakHyphen/>
              <w:t>trimoxazole, dexamethasone, diazepam, diclofenac, folic acid, glibenclamide, griseofulvin, hydrochlorothiazide, ibuprofen, iron iii polymaltose, lisinopril, magnesium trisilicate, metronidazole, multivitamins, paracetamol, paracetamol caffeine, codeine, phenobarbitone, prednisolone, vitamin b complex</w:t>
            </w:r>
          </w:p>
          <w:p w14:paraId="577743E3" w14:textId="77777777" w:rsidR="00C15F2E" w:rsidRPr="00D96063" w:rsidRDefault="00C15F2E" w:rsidP="00053198">
            <w:pPr>
              <w:rPr>
                <w:sz w:val="16"/>
                <w:szCs w:val="16"/>
              </w:rPr>
            </w:pPr>
            <w:r w:rsidRPr="00D96063">
              <w:rPr>
                <w:b/>
                <w:bCs/>
                <w:sz w:val="16"/>
                <w:szCs w:val="16"/>
              </w:rPr>
              <w:t>2. Capsules: a</w:t>
            </w:r>
            <w:r w:rsidRPr="00D96063">
              <w:rPr>
                <w:sz w:val="16"/>
                <w:szCs w:val="16"/>
              </w:rPr>
              <w:t>moxicillin, chlordiazepoxide, doxycycline, oxytetracycline, tetracycline</w:t>
            </w:r>
          </w:p>
          <w:p w14:paraId="15743DB3" w14:textId="77777777" w:rsidR="00C15F2E" w:rsidRPr="00D96063" w:rsidRDefault="00C15F2E" w:rsidP="00053198">
            <w:pPr>
              <w:rPr>
                <w:sz w:val="16"/>
                <w:szCs w:val="16"/>
              </w:rPr>
            </w:pPr>
            <w:r w:rsidRPr="00D96063">
              <w:rPr>
                <w:b/>
                <w:bCs/>
                <w:sz w:val="16"/>
                <w:szCs w:val="16"/>
              </w:rPr>
              <w:t xml:space="preserve">3. Syrup: </w:t>
            </w:r>
            <w:r w:rsidRPr="00D96063">
              <w:rPr>
                <w:sz w:val="16"/>
                <w:szCs w:val="16"/>
              </w:rPr>
              <w:t>iron iii polymaltose, multivitamin, simple linctus, paracetamol, cetirizine</w:t>
            </w:r>
          </w:p>
          <w:p w14:paraId="276FB486" w14:textId="77777777" w:rsidR="00C15F2E" w:rsidRPr="00D96063" w:rsidRDefault="00C15F2E" w:rsidP="00053198">
            <w:pPr>
              <w:rPr>
                <w:sz w:val="16"/>
                <w:szCs w:val="16"/>
              </w:rPr>
            </w:pPr>
            <w:r w:rsidRPr="00D96063">
              <w:rPr>
                <w:b/>
                <w:bCs/>
                <w:sz w:val="16"/>
                <w:szCs w:val="16"/>
              </w:rPr>
              <w:t>4. Suspension:</w:t>
            </w:r>
            <w:r w:rsidRPr="00D96063">
              <w:rPr>
                <w:sz w:val="16"/>
                <w:szCs w:val="16"/>
              </w:rPr>
              <w:t xml:space="preserve"> aluminium hydroxide, amoxicillin,</w:t>
            </w:r>
            <w:r w:rsidRPr="00D96063">
              <w:rPr>
                <w:b/>
                <w:bCs/>
                <w:sz w:val="16"/>
                <w:szCs w:val="16"/>
              </w:rPr>
              <w:t xml:space="preserve"> </w:t>
            </w:r>
            <w:r w:rsidRPr="00D96063">
              <w:rPr>
                <w:sz w:val="16"/>
                <w:szCs w:val="16"/>
              </w:rPr>
              <w:t>magnesium trisilicate, co-trimoxazole, metronidazole</w:t>
            </w:r>
          </w:p>
          <w:p w14:paraId="036D50E0" w14:textId="77777777" w:rsidR="00C15F2E" w:rsidRPr="00D96063" w:rsidRDefault="00C15F2E" w:rsidP="00053198">
            <w:pPr>
              <w:rPr>
                <w:b/>
                <w:sz w:val="16"/>
              </w:rPr>
            </w:pPr>
            <w:r w:rsidRPr="00D96063">
              <w:rPr>
                <w:b/>
                <w:bCs/>
                <w:sz w:val="16"/>
                <w:szCs w:val="16"/>
              </w:rPr>
              <w:t>5.</w:t>
            </w:r>
            <w:r w:rsidRPr="00D96063">
              <w:rPr>
                <w:sz w:val="16"/>
                <w:szCs w:val="16"/>
              </w:rPr>
              <w:t xml:space="preserve"> </w:t>
            </w:r>
            <w:r w:rsidRPr="00D96063">
              <w:rPr>
                <w:b/>
                <w:bCs/>
                <w:sz w:val="16"/>
                <w:szCs w:val="16"/>
              </w:rPr>
              <w:t>Other:</w:t>
            </w:r>
            <w:r w:rsidRPr="00D96063">
              <w:rPr>
                <w:sz w:val="16"/>
                <w:szCs w:val="16"/>
              </w:rPr>
              <w:t xml:space="preserve"> ferrous fumarate, ferrous sulphate, ferrous fumarate or ferrous ammonium citrate in combination with folic acid, oral rehydration salts, simethicone containing antacids</w:t>
            </w:r>
          </w:p>
        </w:tc>
      </w:tr>
    </w:tbl>
    <w:p w14:paraId="6CC46EB4" w14:textId="0B3BF685" w:rsidR="00C15F2E" w:rsidRPr="00D96063" w:rsidRDefault="00C15F2E" w:rsidP="00D868BF">
      <w:pPr>
        <w:pStyle w:val="NoteText"/>
        <w:spacing w:before="120" w:after="240"/>
      </w:pPr>
      <w:r w:rsidRPr="00D96063">
        <w:t>Source:</w:t>
      </w:r>
      <w:r w:rsidRPr="00D96063">
        <w:tab/>
        <w:t xml:space="preserve">FDA (2018), </w:t>
      </w:r>
      <w:r w:rsidRPr="00D96063">
        <w:rPr>
          <w:i/>
          <w:iCs/>
        </w:rPr>
        <w:t>Guidelines for Importation of Drugs</w:t>
      </w:r>
      <w:r w:rsidRPr="00D96063">
        <w:t xml:space="preserve">. Viewed at: </w:t>
      </w:r>
      <w:hyperlink r:id="rId96" w:history="1">
        <w:r w:rsidRPr="00D96063">
          <w:rPr>
            <w:rStyle w:val="Hyperlink"/>
          </w:rPr>
          <w:t>https://fdaghana.gov.gh/img/organisation/GUIDELINES%20FOR%20IMPORTATION%20OF%20DRUGS.pdf</w:t>
        </w:r>
      </w:hyperlink>
      <w:r w:rsidRPr="00D96063">
        <w:t>.</w:t>
      </w:r>
    </w:p>
    <w:p w14:paraId="39285B50" w14:textId="77777777" w:rsidR="00C03C75" w:rsidRPr="00D96063" w:rsidRDefault="00C03C75" w:rsidP="00C03C75">
      <w:pPr>
        <w:pStyle w:val="BodyText"/>
        <w:rPr>
          <w:color w:val="000000" w:themeColor="text1"/>
        </w:rPr>
      </w:pPr>
      <w:r w:rsidRPr="00D96063">
        <w:t xml:space="preserve">Pursuant to part 7 of the Public Health Act, 2012 (Act 851), the Food and Drugs Authority (FDA) has the mandate to register pharmaceutical products, license facilities, and issue import licences/permits. The implementation of the import prohibition for pharmaceutical products takes </w:t>
      </w:r>
      <w:r w:rsidRPr="00D96063">
        <w:lastRenderedPageBreak/>
        <w:t>the form of non</w:t>
      </w:r>
      <w:r w:rsidRPr="00D96063">
        <w:rPr>
          <w:color w:val="000000" w:themeColor="text1"/>
        </w:rPr>
        <w:noBreakHyphen/>
        <w:t>certification of the designated products.</w:t>
      </w:r>
      <w:r w:rsidRPr="00D96063">
        <w:rPr>
          <w:rStyle w:val="FootnoteReference"/>
          <w:color w:val="000000" w:themeColor="text1"/>
        </w:rPr>
        <w:footnoteReference w:id="196"/>
      </w:r>
      <w:r w:rsidRPr="00D96063">
        <w:rPr>
          <w:color w:val="000000" w:themeColor="text1"/>
        </w:rPr>
        <w:t xml:space="preserve"> Certified pharmaceutical products may be imported only through approved ports, namely Accra Airport, Tema Port, and other sea or air borders, as approved by the FDA.</w:t>
      </w:r>
      <w:r w:rsidRPr="00D96063">
        <w:rPr>
          <w:rStyle w:val="FootnoteReference"/>
          <w:color w:val="000000" w:themeColor="text1"/>
        </w:rPr>
        <w:footnoteReference w:id="197"/>
      </w:r>
    </w:p>
    <w:p w14:paraId="5C43D963" w14:textId="77777777" w:rsidR="00C03C75" w:rsidRPr="00D96063" w:rsidRDefault="00C03C75" w:rsidP="00C03C75">
      <w:pPr>
        <w:pStyle w:val="BodyText"/>
        <w:rPr>
          <w:lang w:eastAsia="en-GB"/>
        </w:rPr>
      </w:pPr>
      <w:r w:rsidRPr="00D96063">
        <w:rPr>
          <w:rFonts w:cs="Tahoma"/>
        </w:rPr>
        <w:t>According to some observers, the import restrictions have allowed the companies to survive and diversify into other products. United Nations Industrial Development Organization (</w:t>
      </w:r>
      <w:r w:rsidRPr="00D96063">
        <w:t>UNIDO) outlines the benefits that have accrued from protecting the local industry, as the pharmaceutical industry has grown from 5 to 30 companies within 30 years.</w:t>
      </w:r>
      <w:r w:rsidRPr="00D96063">
        <w:rPr>
          <w:rStyle w:val="FootnoteReference"/>
          <w:color w:val="000000" w:themeColor="text1"/>
        </w:rPr>
        <w:footnoteReference w:id="198"/>
      </w:r>
      <w:r w:rsidRPr="00D96063">
        <w:t xml:space="preserve"> </w:t>
      </w:r>
      <w:r w:rsidRPr="00D96063">
        <w:rPr>
          <w:lang w:eastAsia="en-GB"/>
        </w:rPr>
        <w:t>Several companies have partnered with multi-nationals; most of them have at least one major brand that is on the "banned for imports" list of products, which has served as a main source of income for further development of the industry. Some other observers, however, consider that the policy has not allowed the protected companies to achieve export quality requirements, and has not prevented the growth of imports (Chart 4.2), but that it has instead increased the cost of healthcare.</w:t>
      </w:r>
    </w:p>
    <w:p w14:paraId="46D7DBBD" w14:textId="17A13166" w:rsidR="00C15F2E" w:rsidRPr="00D96063" w:rsidRDefault="00C15F2E" w:rsidP="00D868BF">
      <w:pPr>
        <w:pStyle w:val="BodyText"/>
      </w:pPr>
      <w:r w:rsidRPr="00D96063">
        <w:t xml:space="preserve">A potential market for pharmaceutical companies exists under the Global Fund's Affordable Medicines Facility </w:t>
      </w:r>
      <w:r w:rsidRPr="00D96063">
        <w:rPr>
          <w:lang w:eastAsia="en-GB"/>
        </w:rPr>
        <w:t>for</w:t>
      </w:r>
      <w:r w:rsidRPr="00D96063">
        <w:t xml:space="preserve"> Malaria programme of subsidies, provided manufacturers can meet the WHO pre-</w:t>
      </w:r>
      <w:r w:rsidRPr="00D96063">
        <w:rPr>
          <w:lang w:eastAsia="en-GB"/>
        </w:rPr>
        <w:t>qualification</w:t>
      </w:r>
      <w:r w:rsidRPr="00D96063">
        <w:t xml:space="preserve"> standards and Good Manufacturing Practices (as of 2019, none of the Ghanaian manufacturers were enlisted).</w:t>
      </w:r>
      <w:r w:rsidRPr="00D96063">
        <w:rPr>
          <w:rStyle w:val="FootnoteReference"/>
        </w:rPr>
        <w:footnoteReference w:id="199"/>
      </w:r>
      <w:r w:rsidRPr="00D96063">
        <w:t xml:space="preserve"> The Global Fund does not directly fund manufacturers but may purchase their products.</w:t>
      </w:r>
    </w:p>
    <w:p w14:paraId="6215AE4F" w14:textId="4DEE331D" w:rsidR="00C15F2E" w:rsidRPr="00D96063" w:rsidRDefault="00C15F2E" w:rsidP="00DE304D">
      <w:pPr>
        <w:pStyle w:val="Caption"/>
        <w:keepLines/>
        <w:rPr>
          <w:b w:val="0"/>
          <w:bCs w:val="0"/>
        </w:rPr>
      </w:pPr>
      <w:bookmarkStart w:id="233" w:name="_Toc103607807"/>
      <w:r w:rsidRPr="00D96063">
        <w:rPr>
          <w:bCs w:val="0"/>
        </w:rPr>
        <w:t xml:space="preserve">Chart </w:t>
      </w:r>
      <w:r w:rsidR="00045F7A">
        <w:rPr>
          <w:bCs w:val="0"/>
        </w:rPr>
        <w:fldChar w:fldCharType="begin"/>
      </w:r>
      <w:r w:rsidR="00045F7A">
        <w:rPr>
          <w:bCs w:val="0"/>
        </w:rPr>
        <w:instrText xml:space="preserve"> STYLEREF 1 \s </w:instrText>
      </w:r>
      <w:r w:rsidR="00045F7A">
        <w:rPr>
          <w:bCs w:val="0"/>
        </w:rPr>
        <w:fldChar w:fldCharType="separate"/>
      </w:r>
      <w:r w:rsidR="004B63B1">
        <w:rPr>
          <w:bCs w:val="0"/>
          <w:noProof/>
        </w:rPr>
        <w:t>4</w:t>
      </w:r>
      <w:r w:rsidR="00045F7A">
        <w:rPr>
          <w:bCs w:val="0"/>
        </w:rPr>
        <w:fldChar w:fldCharType="end"/>
      </w:r>
      <w:r w:rsidR="00045F7A">
        <w:rPr>
          <w:bCs w:val="0"/>
        </w:rPr>
        <w:t>.</w:t>
      </w:r>
      <w:r w:rsidR="00045F7A">
        <w:rPr>
          <w:bCs w:val="0"/>
        </w:rPr>
        <w:fldChar w:fldCharType="begin"/>
      </w:r>
      <w:r w:rsidR="00045F7A">
        <w:rPr>
          <w:bCs w:val="0"/>
        </w:rPr>
        <w:instrText xml:space="preserve"> SEQ Chart \* ARABIC \s 1 </w:instrText>
      </w:r>
      <w:r w:rsidR="00045F7A">
        <w:rPr>
          <w:bCs w:val="0"/>
        </w:rPr>
        <w:fldChar w:fldCharType="separate"/>
      </w:r>
      <w:r w:rsidR="004B63B1">
        <w:rPr>
          <w:bCs w:val="0"/>
          <w:noProof/>
        </w:rPr>
        <w:t>2</w:t>
      </w:r>
      <w:r w:rsidR="00045F7A">
        <w:rPr>
          <w:bCs w:val="0"/>
        </w:rPr>
        <w:fldChar w:fldCharType="end"/>
      </w:r>
      <w:r w:rsidRPr="00D96063">
        <w:t xml:space="preserve"> Ghana's trade in pharmaceuticals</w:t>
      </w:r>
      <w:r w:rsidR="00DE304D">
        <w:t xml:space="preserve"> (HS 30)</w:t>
      </w:r>
      <w:r w:rsidRPr="00D96063">
        <w:t>, 2014-</w:t>
      </w:r>
      <w:r w:rsidR="00DE304D">
        <w:t>19</w:t>
      </w:r>
      <w:bookmarkEnd w:id="233"/>
    </w:p>
    <w:p w14:paraId="74CD05EE" w14:textId="77777777" w:rsidR="00C15F2E" w:rsidRPr="00D96063" w:rsidRDefault="00C15F2E" w:rsidP="00E51370">
      <w:pPr>
        <w:pStyle w:val="NoteText"/>
        <w:keepNext/>
        <w:keepLines/>
        <w:spacing w:before="120"/>
      </w:pPr>
      <w:r w:rsidRPr="00D96063">
        <w:t>(USD million)</w:t>
      </w:r>
    </w:p>
    <w:p w14:paraId="2DD311C7" w14:textId="1D6BDBA4" w:rsidR="00DE304D" w:rsidRDefault="00DE304D" w:rsidP="00DE304D">
      <w:r w:rsidRPr="00DE304D">
        <w:rPr>
          <w:noProof/>
        </w:rPr>
        <w:drawing>
          <wp:inline distT="0" distB="0" distL="0" distR="0" wp14:anchorId="0235C12D" wp14:editId="6B8926F6">
            <wp:extent cx="5731510" cy="2373484"/>
            <wp:effectExtent l="0" t="0" r="254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7" cstate="print">
                      <a:extLst>
                        <a:ext uri="{28A0092B-C50C-407E-A947-70E740481C1C}">
                          <a14:useLocalDpi xmlns:a14="http://schemas.microsoft.com/office/drawing/2010/main" val="0"/>
                        </a:ext>
                      </a:extLst>
                    </a:blip>
                    <a:srcRect l="1" t="15892" r="-16" b="8844"/>
                    <a:stretch/>
                  </pic:blipFill>
                  <pic:spPr bwMode="auto">
                    <a:xfrm>
                      <a:off x="0" y="0"/>
                      <a:ext cx="5732385" cy="2373846"/>
                    </a:xfrm>
                    <a:prstGeom prst="rect">
                      <a:avLst/>
                    </a:prstGeom>
                    <a:noFill/>
                    <a:ln>
                      <a:noFill/>
                    </a:ln>
                    <a:extLst>
                      <a:ext uri="{53640926-AAD7-44D8-BBD7-CCE9431645EC}">
                        <a14:shadowObscured xmlns:a14="http://schemas.microsoft.com/office/drawing/2010/main"/>
                      </a:ext>
                    </a:extLst>
                  </pic:spPr>
                </pic:pic>
              </a:graphicData>
            </a:graphic>
          </wp:inline>
        </w:drawing>
      </w:r>
    </w:p>
    <w:p w14:paraId="011EC17E" w14:textId="34BD34B6" w:rsidR="00C15F2E" w:rsidRPr="00D96063" w:rsidRDefault="00C15F2E" w:rsidP="00560FD8">
      <w:pPr>
        <w:pStyle w:val="NoteText"/>
        <w:spacing w:before="120" w:after="240"/>
      </w:pPr>
      <w:r w:rsidRPr="00D96063">
        <w:t xml:space="preserve">Source: </w:t>
      </w:r>
      <w:r w:rsidRPr="00D96063">
        <w:tab/>
        <w:t>UN Comtrade.</w:t>
      </w:r>
    </w:p>
    <w:p w14:paraId="3A27D4BC" w14:textId="4C76E751" w:rsidR="00C15F2E" w:rsidRPr="00D96063" w:rsidRDefault="00C15F2E" w:rsidP="003758E5">
      <w:pPr>
        <w:numPr>
          <w:ilvl w:val="6"/>
          <w:numId w:val="18"/>
        </w:numPr>
        <w:spacing w:after="240"/>
        <w:rPr>
          <w:color w:val="000000" w:themeColor="text1"/>
        </w:rPr>
      </w:pPr>
      <w:r w:rsidRPr="00D96063">
        <w:rPr>
          <w:color w:val="000000" w:themeColor="text1"/>
        </w:rPr>
        <w:t>Incentives made available to the pharmaceutical sector include corporate tax rebates of 12.5% (if the pharmaceutical company is located outside Accra and Tema but located in the other regional capitals) and 50% (if the company is located outside the other regional capitals), capital allowances and full deduction of R&amp;D expenditures, expedited registration of products manufactured locally, and restricting ownership of the retail business for finished pharmaceutical products to Ghanaian citizens.</w:t>
      </w:r>
    </w:p>
    <w:p w14:paraId="25190228" w14:textId="77777777" w:rsidR="00C15F2E" w:rsidRPr="00D96063" w:rsidRDefault="00C15F2E" w:rsidP="003758E5">
      <w:pPr>
        <w:numPr>
          <w:ilvl w:val="6"/>
          <w:numId w:val="18"/>
        </w:numPr>
        <w:spacing w:after="240"/>
      </w:pPr>
      <w:r w:rsidRPr="00D96063">
        <w:rPr>
          <w:color w:val="000000" w:themeColor="text1"/>
        </w:rPr>
        <w:t xml:space="preserve">Pursuant to Section 122 subsection 2 of the Public Health Act, 2012, parallel imports of drugs or herbal medicinal products are accepted, but require </w:t>
      </w:r>
      <w:r w:rsidRPr="00D96063">
        <w:t xml:space="preserve">authorization from the FDA in the form of parallel import registration. The conditions for registration of parallel imports include: (i) the registered product in relation to which an application for parallel imports has been submitted must </w:t>
      </w:r>
      <w:r w:rsidRPr="00D96063">
        <w:lastRenderedPageBreak/>
        <w:t>have a valid registration, and the registered and the parallel imported products must contain the same active substance and have the same pharmaceutical form; (ii) the parallel imported medicinal product must be covered by an existing valid registration from the exporting country; (iii) the parallel imported medicinal product must have justification of shelf life based on stability studies under WHO Zone IVb conditions; (iv) there must not be any differences in therapeutic significance between the parallel imported product and the registered medicinal product; (v) an application must be submitted for registration of parallel import from each individual exporting country; and (vi) the parallel importer is responsible for notifying the registration licence holder of the registered product about their intention of parallel importation of the medicinal product in question. Parallel import registration is valid for three years from the time when the first registration for parallel imports is issued.</w:t>
      </w:r>
      <w:r w:rsidRPr="00D96063">
        <w:rPr>
          <w:rStyle w:val="FootnoteReference"/>
        </w:rPr>
        <w:footnoteReference w:id="200"/>
      </w:r>
    </w:p>
    <w:p w14:paraId="4B749032" w14:textId="0894E665" w:rsidR="00C15F2E" w:rsidRPr="00D96063" w:rsidRDefault="00C15F2E" w:rsidP="00D868BF">
      <w:pPr>
        <w:pStyle w:val="BodyText"/>
        <w:rPr>
          <w:color w:val="000000" w:themeColor="text1"/>
        </w:rPr>
      </w:pPr>
      <w:r w:rsidRPr="00D96063">
        <w:t xml:space="preserve">Ghana </w:t>
      </w:r>
      <w:r w:rsidRPr="00D96063">
        <w:rPr>
          <w:lang w:eastAsia="en-GB"/>
        </w:rPr>
        <w:t>has</w:t>
      </w:r>
      <w:r w:rsidRPr="00D96063">
        <w:t xml:space="preserve"> yet to start the production of human vaccines.</w:t>
      </w:r>
      <w:r w:rsidRPr="00D96063">
        <w:rPr>
          <w:rStyle w:val="FootnoteReference"/>
        </w:rPr>
        <w:footnoteReference w:id="201"/>
      </w:r>
      <w:r w:rsidRPr="00D96063">
        <w:t xml:space="preserve"> In 2021, the pharmaceutical industry reportedly approached AstraZeneca PLC concerning the acquisition of rights to manufacture the COVID-19 vaccine locally within Ghana.</w:t>
      </w:r>
      <w:r w:rsidRPr="00D96063">
        <w:rPr>
          <w:rStyle w:val="FootnoteReference"/>
        </w:rPr>
        <w:footnoteReference w:id="202"/>
      </w:r>
      <w:r w:rsidRPr="00D96063">
        <w:t xml:space="preserve"> Following the initiatives taken towards the domestic manufacturing of vaccines </w:t>
      </w:r>
      <w:r w:rsidRPr="00D96063">
        <w:rPr>
          <w:color w:val="000000" w:themeColor="text1"/>
        </w:rPr>
        <w:t>in Ghana, the European Commission reportedly indicated the selection of Ghana as a possible manufacturing hub for COVID-19 vaccines in Africa with possible support by the European Investment Bank.</w:t>
      </w:r>
      <w:r w:rsidRPr="00D96063">
        <w:rPr>
          <w:rStyle w:val="FootnoteReference"/>
          <w:color w:val="000000" w:themeColor="text1"/>
        </w:rPr>
        <w:footnoteReference w:id="203"/>
      </w:r>
    </w:p>
    <w:p w14:paraId="51CCBBEF" w14:textId="77777777" w:rsidR="00C15F2E" w:rsidRPr="00D96063" w:rsidRDefault="00C15F2E" w:rsidP="00D868BF">
      <w:pPr>
        <w:pStyle w:val="Heading3"/>
      </w:pPr>
      <w:bookmarkStart w:id="234" w:name="_Toc103607724"/>
      <w:r w:rsidRPr="00D96063">
        <w:t>Automotive industry</w:t>
      </w:r>
      <w:bookmarkEnd w:id="234"/>
    </w:p>
    <w:p w14:paraId="36529DA3" w14:textId="77777777" w:rsidR="00C15F2E" w:rsidRPr="00D96063" w:rsidRDefault="00C15F2E" w:rsidP="003758E5">
      <w:pPr>
        <w:numPr>
          <w:ilvl w:val="6"/>
          <w:numId w:val="18"/>
        </w:numPr>
        <w:spacing w:after="240"/>
        <w:rPr>
          <w:color w:val="000000" w:themeColor="text1"/>
        </w:rPr>
      </w:pPr>
      <w:r w:rsidRPr="00D96063">
        <w:rPr>
          <w:color w:val="000000" w:themeColor="text1"/>
        </w:rPr>
        <w:t>In the automobile industry, retailers of imported used vehicles and a few retail distributers of new vehicles predominate. The average number of imported vehicles is estimated at over 100,000 per year, of which about 90% are used vehicles, with an estimated value of USD 1.14 billion, making used vehicles one of Ghana's top imports (Table A1.2).</w:t>
      </w:r>
      <w:r w:rsidRPr="00D96063">
        <w:rPr>
          <w:rStyle w:val="FootnoteReference"/>
          <w:color w:val="000000" w:themeColor="text1"/>
        </w:rPr>
        <w:footnoteReference w:id="204"/>
      </w:r>
    </w:p>
    <w:p w14:paraId="1A763994" w14:textId="77777777" w:rsidR="00C15F2E" w:rsidRPr="00D96063" w:rsidRDefault="00C15F2E" w:rsidP="00D868BF">
      <w:pPr>
        <w:pStyle w:val="BodyText"/>
      </w:pPr>
      <w:r w:rsidRPr="00D96063">
        <w:t>In 2019, the Ghana Automotive Development Policy (GADP) was launched with the aim of attracting investment from leading original equipment manufacturers (OEMs). In addition, a local company known as Kantanka Automobile Company Limited, which assembles vehicles in Ghana, began commercial production of vehicles in 2015 specializing in sedans and SUVs. As of December 2021, VW, Toyota, and Kantanka were operational; Nissan, Peugeot, KIA, Hyundai, Isuzu, Changan, and Renault were at various stages of establishing their assembly plants.</w:t>
      </w:r>
    </w:p>
    <w:p w14:paraId="448BA18E" w14:textId="53576D9B" w:rsidR="00C15F2E" w:rsidRPr="00D96063" w:rsidRDefault="00C15F2E" w:rsidP="00D868BF">
      <w:pPr>
        <w:pStyle w:val="BodyText"/>
      </w:pPr>
      <w:bookmarkStart w:id="235" w:name="_Hlk100566722"/>
      <w:r w:rsidRPr="00D96063">
        <w:t>The GADP focuses on providing a framework for establishing assembly and manufacturing capacity in the country. The initial coverage of vehicles to be assembled includes new passenger cars, SUVs, and light commercial vehicles, including pickups, mini-buses, and cargo vans. The policy provides for incentives including tax holidays of 5 to 10 years and the exemption from import duties on any plant, machinery, or equipment.</w:t>
      </w:r>
      <w:r w:rsidRPr="00D96063">
        <w:rPr>
          <w:vertAlign w:val="superscript"/>
        </w:rPr>
        <w:footnoteReference w:id="205"/>
      </w:r>
      <w:r w:rsidRPr="00D96063">
        <w:t xml:space="preserve"> Registered assemblers are granted a rebate on the CET rate on some fully built-up vehicles imported from their OEMs. The rebate is proportional to the declared customs value of imported semi-knocked down (SKD) or completely knocked down (CKD) kits, according to a formula aimed at encouraging a transition towards importing mostly CKD. Each registered assembler is also awarded points based on the local content in assembled automobiles. The points earned will then be added to the customs value declaration of the imported kits. </w:t>
      </w:r>
    </w:p>
    <w:bookmarkEnd w:id="235"/>
    <w:p w14:paraId="3BC1A6AB" w14:textId="5C14C6FF" w:rsidR="00C15F2E" w:rsidRPr="00D96063" w:rsidRDefault="00C15F2E" w:rsidP="00D868BF">
      <w:pPr>
        <w:pStyle w:val="BodyText"/>
      </w:pPr>
      <w:r w:rsidRPr="00D96063">
        <w:t xml:space="preserve">The automobile policy also prohibits the importation of vehicles older than 10 years and salvaged vehicles. Additionally, Ghana requires a destination certificate issued by an OEM certifying </w:t>
      </w:r>
      <w:r w:rsidRPr="00D96063">
        <w:lastRenderedPageBreak/>
        <w:t>Ghana as the destination market for any vehicle.</w:t>
      </w:r>
      <w:r w:rsidRPr="00D96063">
        <w:rPr>
          <w:rStyle w:val="FootnoteReference"/>
          <w:color w:val="000000" w:themeColor="text1"/>
        </w:rPr>
        <w:footnoteReference w:id="206"/>
      </w:r>
      <w:r w:rsidRPr="00D96063">
        <w:t xml:space="preserve"> Mandatory standards </w:t>
      </w:r>
      <w:r w:rsidRPr="00D96063">
        <w:rPr>
          <w:rFonts w:eastAsia="Calibri" w:cs="Times New Roman"/>
        </w:rPr>
        <w:t>are being developed to regulate the importation of used vehicles.</w:t>
      </w:r>
    </w:p>
    <w:p w14:paraId="0F23BF0C" w14:textId="77777777" w:rsidR="00C15F2E" w:rsidRPr="00D96063" w:rsidRDefault="00C15F2E" w:rsidP="00D868BF">
      <w:pPr>
        <w:pStyle w:val="BodyText"/>
      </w:pPr>
      <w:r w:rsidRPr="00D96063">
        <w:t>Under the Ghana CARES (Obaatan pa) programme, the supported manufacturing activities in 2021 included the establishment of a fund for civil servants to purchase 200 locally assembled vehicles and upgrading three existing pharmaceutical manufacturing companies to GMP standards.</w:t>
      </w:r>
      <w:r w:rsidRPr="00D96063">
        <w:rPr>
          <w:rStyle w:val="FootnoteReference"/>
        </w:rPr>
        <w:footnoteReference w:id="207"/>
      </w:r>
    </w:p>
    <w:p w14:paraId="6964E96D" w14:textId="77777777" w:rsidR="00C15F2E" w:rsidRPr="00D96063" w:rsidRDefault="00C15F2E" w:rsidP="00D868BF">
      <w:pPr>
        <w:pStyle w:val="Heading2"/>
      </w:pPr>
      <w:bookmarkStart w:id="236" w:name="_Toc103607725"/>
      <w:r w:rsidRPr="00D96063">
        <w:t>Services</w:t>
      </w:r>
      <w:bookmarkEnd w:id="236"/>
    </w:p>
    <w:p w14:paraId="5F5BF208" w14:textId="77777777" w:rsidR="00C15F2E" w:rsidRPr="00D96063" w:rsidRDefault="00C15F2E" w:rsidP="00952BFE">
      <w:pPr>
        <w:pStyle w:val="Heading3"/>
      </w:pPr>
      <w:bookmarkStart w:id="237" w:name="_Toc103607726"/>
      <w:r w:rsidRPr="00D96063">
        <w:t>Overview</w:t>
      </w:r>
      <w:bookmarkEnd w:id="237"/>
    </w:p>
    <w:p w14:paraId="65610B46" w14:textId="77777777" w:rsidR="00C15F2E" w:rsidRPr="00D96063" w:rsidRDefault="00C15F2E" w:rsidP="00D868BF">
      <w:pPr>
        <w:pStyle w:val="BodyText"/>
      </w:pPr>
      <w:bookmarkStart w:id="238" w:name="_Hlk82420975"/>
      <w:r w:rsidRPr="00D96063">
        <w:t>Ghana is a net importer of services. Its trade in services more than doubled between 2006 and 2014 and has tripled since then (Chart 4.3). The services in which most trade takes place comprise business, and travel and freight; business services have expanded the most. While the general openness of the transport market to foreign suppliers has led to an increase in imports of transport services, this has also been followed by a substantial increase in exports of business services (Chart 4.3), as more Ghanaian companies started providing business services to foreign transport operators using Ghana's ports, roads, and airports.</w:t>
      </w:r>
    </w:p>
    <w:p w14:paraId="56FA6B9F" w14:textId="63DD63A2" w:rsidR="00C15F2E" w:rsidRPr="00D96063" w:rsidRDefault="00C15F2E" w:rsidP="00D868BF">
      <w:pPr>
        <w:pStyle w:val="Caption"/>
      </w:pPr>
      <w:bookmarkStart w:id="239" w:name="_Toc103607808"/>
      <w:bookmarkStart w:id="240" w:name="_Hlk83105702"/>
      <w:r w:rsidRPr="00D96063">
        <w:t xml:space="preserve">Chart </w:t>
      </w:r>
      <w:fldSimple w:instr=" STYLEREF 1 \s ">
        <w:r w:rsidR="004B63B1">
          <w:rPr>
            <w:noProof/>
          </w:rPr>
          <w:t>4</w:t>
        </w:r>
      </w:fldSimple>
      <w:r w:rsidR="00045F7A">
        <w:t>.</w:t>
      </w:r>
      <w:fldSimple w:instr=" SEQ Chart \* ARABIC \s 1 ">
        <w:r w:rsidR="004B63B1">
          <w:rPr>
            <w:noProof/>
          </w:rPr>
          <w:t>3</w:t>
        </w:r>
      </w:fldSimple>
      <w:r w:rsidRPr="00D96063">
        <w:t xml:space="preserve"> Trade in services, 2006-20</w:t>
      </w:r>
      <w:bookmarkEnd w:id="239"/>
    </w:p>
    <w:bookmarkEnd w:id="240"/>
    <w:p w14:paraId="5FFFA1E1" w14:textId="77777777" w:rsidR="00C15F2E" w:rsidRPr="00D96063" w:rsidRDefault="00C15F2E" w:rsidP="00D868BF">
      <w:r w:rsidRPr="00D96063">
        <w:rPr>
          <w:noProof/>
          <w:lang w:eastAsia="en-GB"/>
        </w:rPr>
        <w:drawing>
          <wp:inline distT="0" distB="0" distL="0" distR="0" wp14:anchorId="3960D7A7" wp14:editId="533DF357">
            <wp:extent cx="5730240" cy="40157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8" cstate="print">
                      <a:extLst>
                        <a:ext uri="{28A0092B-C50C-407E-A947-70E740481C1C}">
                          <a14:useLocalDpi xmlns:a14="http://schemas.microsoft.com/office/drawing/2010/main" val="0"/>
                        </a:ext>
                      </a:extLst>
                    </a:blip>
                    <a:srcRect t="4220" b="10227"/>
                    <a:stretch/>
                  </pic:blipFill>
                  <pic:spPr bwMode="auto">
                    <a:xfrm>
                      <a:off x="0" y="0"/>
                      <a:ext cx="5730240" cy="4015740"/>
                    </a:xfrm>
                    <a:prstGeom prst="rect">
                      <a:avLst/>
                    </a:prstGeom>
                    <a:noFill/>
                    <a:ln>
                      <a:noFill/>
                    </a:ln>
                    <a:extLst>
                      <a:ext uri="{53640926-AAD7-44D8-BBD7-CCE9431645EC}">
                        <a14:shadowObscured xmlns:a14="http://schemas.microsoft.com/office/drawing/2010/main"/>
                      </a:ext>
                    </a:extLst>
                  </pic:spPr>
                </pic:pic>
              </a:graphicData>
            </a:graphic>
          </wp:inline>
        </w:drawing>
      </w:r>
    </w:p>
    <w:p w14:paraId="6CF21CE3" w14:textId="77777777" w:rsidR="00C15F2E" w:rsidRPr="00D96063" w:rsidRDefault="00C15F2E" w:rsidP="00D868BF">
      <w:pPr>
        <w:pStyle w:val="NoteText"/>
        <w:spacing w:before="120" w:after="120"/>
      </w:pPr>
      <w:r w:rsidRPr="00D96063">
        <w:t>Note:</w:t>
      </w:r>
      <w:r w:rsidRPr="00D96063">
        <w:tab/>
        <w:t>Data for the period of 2006-12 based on IMF data.</w:t>
      </w:r>
    </w:p>
    <w:p w14:paraId="1F4B1CBD" w14:textId="77777777" w:rsidR="00C15F2E" w:rsidRPr="00D96063" w:rsidRDefault="00C15F2E" w:rsidP="00D868BF">
      <w:pPr>
        <w:pStyle w:val="NoteText"/>
        <w:spacing w:before="120" w:after="240"/>
      </w:pPr>
      <w:r w:rsidRPr="00D96063">
        <w:t>Source:</w:t>
      </w:r>
      <w:r w:rsidRPr="00D96063">
        <w:tab/>
        <w:t xml:space="preserve">BoG, </w:t>
      </w:r>
      <w:r w:rsidRPr="00D96063">
        <w:rPr>
          <w:i/>
          <w:iCs/>
        </w:rPr>
        <w:t>Economic Data</w:t>
      </w:r>
      <w:r w:rsidRPr="00D96063">
        <w:t xml:space="preserve">. Viewed at: </w:t>
      </w:r>
      <w:hyperlink r:id="rId99" w:history="1">
        <w:r w:rsidRPr="00D96063">
          <w:rPr>
            <w:rStyle w:val="Hyperlink"/>
          </w:rPr>
          <w:t>https://www.bog.gov.gh/economic-data/</w:t>
        </w:r>
      </w:hyperlink>
      <w:r w:rsidRPr="00D96063">
        <w:rPr>
          <w:rStyle w:val="Hyperlink"/>
          <w:color w:val="auto"/>
          <w:u w:val="none"/>
        </w:rPr>
        <w:t xml:space="preserve">; </w:t>
      </w:r>
      <w:r w:rsidRPr="00D96063">
        <w:t xml:space="preserve">and IMF Data, </w:t>
      </w:r>
      <w:r w:rsidRPr="00D96063">
        <w:rPr>
          <w:i/>
          <w:iCs/>
        </w:rPr>
        <w:t>Balance of Payments</w:t>
      </w:r>
      <w:r w:rsidRPr="00D96063">
        <w:t xml:space="preserve">. Viewed at: </w:t>
      </w:r>
      <w:hyperlink r:id="rId100" w:history="1">
        <w:r w:rsidRPr="00D96063">
          <w:rPr>
            <w:rStyle w:val="Hyperlink"/>
          </w:rPr>
          <w:t>https://data.imf.org/</w:t>
        </w:r>
      </w:hyperlink>
      <w:r w:rsidRPr="00D96063">
        <w:t>.</w:t>
      </w:r>
    </w:p>
    <w:bookmarkEnd w:id="238"/>
    <w:p w14:paraId="1F9A4445" w14:textId="77777777" w:rsidR="00C15F2E" w:rsidRPr="00D96063" w:rsidRDefault="00C15F2E" w:rsidP="00C027E5">
      <w:pPr>
        <w:numPr>
          <w:ilvl w:val="6"/>
          <w:numId w:val="31"/>
        </w:numPr>
        <w:spacing w:after="200"/>
      </w:pPr>
      <w:r w:rsidRPr="00D96063">
        <w:rPr>
          <w:snapToGrid w:val="0"/>
        </w:rPr>
        <w:t xml:space="preserve">Ghana has a largely open services regime, which explains in part the dynamic development of its services industries. Ghana's specific commitments under the GATS, in 1994, already covered a large panoply of services subsectors. For example, Ghana has generally committed to maintaining open cross-border supply of services (mode 1) and their consumption abroad (mode 2) in the </w:t>
      </w:r>
      <w:r w:rsidRPr="00D96063">
        <w:rPr>
          <w:snapToGrid w:val="0"/>
        </w:rPr>
        <w:lastRenderedPageBreak/>
        <w:t>numerous sectors in which it made GATS commitments, including secondary and higher education services. The exception is insurance services, where the authorities have attempted to enforce certain obligations to insure locally, including for imported products</w:t>
      </w:r>
      <w:r w:rsidRPr="00D96063">
        <w:t xml:space="preserve"> i.e. freight</w:t>
      </w:r>
      <w:r w:rsidRPr="00D96063">
        <w:rPr>
          <w:snapToGrid w:val="0"/>
        </w:rPr>
        <w:t xml:space="preserve"> </w:t>
      </w:r>
      <w:r w:rsidRPr="00D96063">
        <w:t xml:space="preserve">insurance </w:t>
      </w:r>
      <w:r w:rsidRPr="00D96063">
        <w:rPr>
          <w:snapToGrid w:val="0"/>
        </w:rPr>
        <w:t>(Section 4.5.4.3).</w:t>
      </w:r>
      <w:r w:rsidRPr="00D96063">
        <w:rPr>
          <w:rStyle w:val="FootnoteReference"/>
          <w:snapToGrid w:val="0"/>
        </w:rPr>
        <w:footnoteReference w:id="208"/>
      </w:r>
      <w:r w:rsidRPr="00D96063">
        <w:rPr>
          <w:snapToGrid w:val="0"/>
        </w:rPr>
        <w:t xml:space="preserve"> </w:t>
      </w:r>
      <w:r w:rsidRPr="00D96063">
        <w:t>Ghana, however, continues to maintain limitations on commercial presence (mode 3) that may affect certain types of foreign investment (and therefore market access) in all sectors, including services (Section 2.4.2).</w:t>
      </w:r>
    </w:p>
    <w:p w14:paraId="7C39DB16" w14:textId="77777777" w:rsidR="00C15F2E" w:rsidRPr="00D96063" w:rsidRDefault="00C15F2E" w:rsidP="00C027E5">
      <w:pPr>
        <w:numPr>
          <w:ilvl w:val="6"/>
          <w:numId w:val="31"/>
        </w:numPr>
        <w:spacing w:after="200"/>
      </w:pPr>
      <w:r w:rsidRPr="00D96063">
        <w:t xml:space="preserve">Ghana's GATS horizontal commitments cover the case of foreign companies bringing in foreign executives, specifying that work permits </w:t>
      </w:r>
      <w:r w:rsidRPr="00D96063">
        <w:rPr>
          <w:snapToGrid w:val="0"/>
        </w:rPr>
        <w:t>for</w:t>
      </w:r>
      <w:r w:rsidRPr="00D96063">
        <w:t xml:space="preserve"> up to four expatriate senior executives and personnel with specialized skills are granted to foreign companies; approval is needed for additional expatriate workers; and enterprises must also provide training in "higher skills" to Ghanaians.</w:t>
      </w:r>
      <w:r w:rsidRPr="00D96063">
        <w:rPr>
          <w:rStyle w:val="FootnoteReference"/>
          <w:color w:val="000000"/>
          <w:szCs w:val="18"/>
        </w:rPr>
        <w:footnoteReference w:id="209"/>
      </w:r>
      <w:r w:rsidRPr="00D96063">
        <w:t xml:space="preserve"> Additional information is available in Section 4.5.5 regarding the natural presence of foreign professionals.</w:t>
      </w:r>
    </w:p>
    <w:p w14:paraId="5296DAE5" w14:textId="77777777" w:rsidR="00C15F2E" w:rsidRPr="00D96063" w:rsidRDefault="00C15F2E" w:rsidP="00C027E5">
      <w:pPr>
        <w:pStyle w:val="Heading3"/>
        <w:spacing w:after="200"/>
        <w:rPr>
          <w:rFonts w:eastAsia="Times New Roman"/>
        </w:rPr>
      </w:pPr>
      <w:bookmarkStart w:id="241" w:name="_Toc103607727"/>
      <w:r w:rsidRPr="00D96063">
        <w:rPr>
          <w:rFonts w:eastAsia="Times New Roman"/>
        </w:rPr>
        <w:t>Transport services</w:t>
      </w:r>
      <w:bookmarkEnd w:id="241"/>
    </w:p>
    <w:p w14:paraId="00585F6F" w14:textId="77777777" w:rsidR="00C15F2E" w:rsidRPr="00D96063" w:rsidRDefault="00C15F2E" w:rsidP="00C027E5">
      <w:pPr>
        <w:pStyle w:val="Heading4"/>
        <w:spacing w:after="200"/>
        <w:rPr>
          <w:rFonts w:eastAsia="Times New Roman"/>
        </w:rPr>
      </w:pPr>
      <w:bookmarkStart w:id="242" w:name="_Toc103607728"/>
      <w:r w:rsidRPr="00D96063">
        <w:t>Overview</w:t>
      </w:r>
      <w:bookmarkEnd w:id="242"/>
    </w:p>
    <w:p w14:paraId="5951C970" w14:textId="77777777" w:rsidR="00C15F2E" w:rsidRPr="00D96063" w:rsidRDefault="00C15F2E" w:rsidP="00C027E5">
      <w:pPr>
        <w:numPr>
          <w:ilvl w:val="6"/>
          <w:numId w:val="18"/>
        </w:numPr>
        <w:spacing w:after="200"/>
        <w:rPr>
          <w:color w:val="000000" w:themeColor="text1"/>
        </w:rPr>
      </w:pPr>
      <w:r w:rsidRPr="00D96063">
        <w:t xml:space="preserve">Transport is one of Ghana's largest and fastest-growing services sectors, representing 7.2% of GDP in 2020, compared to 5.4% in 2014 (Table 1.1). Recognizing that transport is central to trade and economic expansion, Ghana has maintained an open market access policy on transport, with a relatively liberal regime on road and air transport services, and a few restrictions in the maritime transport services sector, mainly in fishing and cabotage. This, coupled with large recent investments in infrastructure, and new efforts to enhance quality of service to customers, has been followed by strong increases in trade flows and economic activity over the review period. Also, Ghana's stable socio-political environment by regional comparison has contributed to the strong increase in transit traffic </w:t>
      </w:r>
      <w:r w:rsidRPr="00D96063">
        <w:rPr>
          <w:color w:val="000000" w:themeColor="text1"/>
        </w:rPr>
        <w:t>to neighbouring countries, particularly Burkina Faso and Côte d'Ivoire.</w:t>
      </w:r>
    </w:p>
    <w:p w14:paraId="31A9BCA9" w14:textId="24230FDC" w:rsidR="00C15F2E" w:rsidRPr="00D96063" w:rsidRDefault="00C15F2E" w:rsidP="00C027E5">
      <w:pPr>
        <w:numPr>
          <w:ilvl w:val="6"/>
          <w:numId w:val="31"/>
        </w:numPr>
        <w:spacing w:after="200"/>
        <w:rPr>
          <w:bCs/>
          <w:iCs/>
          <w:color w:val="000000" w:themeColor="text1"/>
          <w:lang w:eastAsia="en-GB"/>
        </w:rPr>
      </w:pPr>
      <w:r w:rsidRPr="00D96063">
        <w:rPr>
          <w:color w:val="000000" w:themeColor="text1"/>
        </w:rPr>
        <w:t xml:space="preserve">Ghana's imports of transport services have increased strongly to over USD 2 billion in 2019 (Chart 4.4), as more and more operators chose to export their merchandise through Ghana's </w:t>
      </w:r>
      <w:r w:rsidRPr="00D96063">
        <w:rPr>
          <w:color w:val="000000" w:themeColor="text1"/>
          <w:lang w:eastAsia="fr-CH"/>
        </w:rPr>
        <w:t>two main ports, Tema and Takoradi.</w:t>
      </w:r>
    </w:p>
    <w:p w14:paraId="513B9184" w14:textId="7BED81ED" w:rsidR="00E23AF2" w:rsidRDefault="00E23AF2" w:rsidP="00E23AF2">
      <w:pPr>
        <w:pStyle w:val="Caption"/>
      </w:pPr>
      <w:bookmarkStart w:id="243" w:name="_Toc103607809"/>
      <w:r>
        <w:t xml:space="preserve">Chart </w:t>
      </w:r>
      <w:fldSimple w:instr=" STYLEREF 1 \s ">
        <w:r w:rsidR="004B63B1">
          <w:rPr>
            <w:noProof/>
          </w:rPr>
          <w:t>4</w:t>
        </w:r>
      </w:fldSimple>
      <w:r w:rsidR="00045F7A">
        <w:t>.</w:t>
      </w:r>
      <w:fldSimple w:instr=" SEQ Chart \* ARABIC \s 1 ">
        <w:r w:rsidR="004B63B1">
          <w:rPr>
            <w:noProof/>
          </w:rPr>
          <w:t>4</w:t>
        </w:r>
      </w:fldSimple>
      <w:r>
        <w:t xml:space="preserve"> Trade in transport services, 2014-20</w:t>
      </w:r>
      <w:bookmarkEnd w:id="243"/>
    </w:p>
    <w:p w14:paraId="31294D35" w14:textId="4BBDF3B7" w:rsidR="00C15F2E" w:rsidRPr="00E23AF2" w:rsidRDefault="00C15F2E" w:rsidP="00E23AF2">
      <w:pPr>
        <w:rPr>
          <w:sz w:val="16"/>
          <w:szCs w:val="20"/>
        </w:rPr>
      </w:pPr>
      <w:r w:rsidRPr="00E23AF2">
        <w:rPr>
          <w:sz w:val="16"/>
          <w:szCs w:val="20"/>
        </w:rPr>
        <w:t>(USD million)</w:t>
      </w:r>
    </w:p>
    <w:p w14:paraId="1883BD6D" w14:textId="77777777" w:rsidR="00C15F2E" w:rsidRPr="00D96063" w:rsidRDefault="00C15F2E" w:rsidP="00D868BF">
      <w:pPr>
        <w:rPr>
          <w:lang w:eastAsia="fr-CH"/>
        </w:rPr>
      </w:pPr>
      <w:r w:rsidRPr="00D96063">
        <w:rPr>
          <w:noProof/>
          <w:szCs w:val="18"/>
          <w:lang w:eastAsia="en-GB"/>
        </w:rPr>
        <w:drawing>
          <wp:inline distT="0" distB="0" distL="0" distR="0" wp14:anchorId="0AAD2A00" wp14:editId="0D5E5C8D">
            <wp:extent cx="5524500" cy="2886344"/>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1" cstate="print">
                      <a:extLst>
                        <a:ext uri="{28A0092B-C50C-407E-A947-70E740481C1C}">
                          <a14:useLocalDpi xmlns:a14="http://schemas.microsoft.com/office/drawing/2010/main" val="0"/>
                        </a:ext>
                      </a:extLst>
                    </a:blip>
                    <a:srcRect t="16985" b="8241"/>
                    <a:stretch>
                      <a:fillRect/>
                    </a:stretch>
                  </pic:blipFill>
                  <pic:spPr bwMode="auto">
                    <a:xfrm>
                      <a:off x="0" y="0"/>
                      <a:ext cx="5536096" cy="2892403"/>
                    </a:xfrm>
                    <a:prstGeom prst="rect">
                      <a:avLst/>
                    </a:prstGeom>
                    <a:noFill/>
                    <a:ln>
                      <a:noFill/>
                    </a:ln>
                  </pic:spPr>
                </pic:pic>
              </a:graphicData>
            </a:graphic>
          </wp:inline>
        </w:drawing>
      </w:r>
    </w:p>
    <w:p w14:paraId="1106C9E7" w14:textId="77777777" w:rsidR="00C15F2E" w:rsidRPr="00D96063" w:rsidRDefault="00C15F2E" w:rsidP="00C03C75">
      <w:pPr>
        <w:tabs>
          <w:tab w:val="left" w:pos="851"/>
        </w:tabs>
        <w:spacing w:before="120" w:after="120"/>
        <w:ind w:left="851" w:hanging="851"/>
        <w:jc w:val="left"/>
        <w:rPr>
          <w:sz w:val="16"/>
          <w:lang w:eastAsia="en-GB"/>
        </w:rPr>
      </w:pPr>
      <w:r w:rsidRPr="00D96063">
        <w:rPr>
          <w:sz w:val="16"/>
          <w:lang w:eastAsia="en-GB"/>
        </w:rPr>
        <w:t>Source:</w:t>
      </w:r>
      <w:r w:rsidRPr="00D96063">
        <w:rPr>
          <w:sz w:val="16"/>
          <w:lang w:eastAsia="en-GB"/>
        </w:rPr>
        <w:tab/>
        <w:t xml:space="preserve">BoG, </w:t>
      </w:r>
      <w:r w:rsidRPr="00D96063">
        <w:rPr>
          <w:i/>
          <w:iCs/>
          <w:sz w:val="16"/>
          <w:lang w:eastAsia="en-GB"/>
        </w:rPr>
        <w:t>Economic Data</w:t>
      </w:r>
      <w:r w:rsidRPr="00D96063">
        <w:rPr>
          <w:sz w:val="16"/>
          <w:lang w:eastAsia="en-GB"/>
        </w:rPr>
        <w:t xml:space="preserve">. Viewed at: </w:t>
      </w:r>
      <w:r w:rsidRPr="00D96063">
        <w:rPr>
          <w:color w:val="0000FF"/>
          <w:sz w:val="15"/>
          <w:u w:val="single"/>
        </w:rPr>
        <w:t>http://www.bog.gov.gh/economic-data/</w:t>
      </w:r>
      <w:r w:rsidRPr="00D96063">
        <w:rPr>
          <w:sz w:val="16"/>
          <w:lang w:eastAsia="en-GB"/>
        </w:rPr>
        <w:t>.</w:t>
      </w:r>
    </w:p>
    <w:p w14:paraId="4C7C6B73" w14:textId="77777777" w:rsidR="00C15F2E" w:rsidRPr="00D96063" w:rsidRDefault="00C15F2E" w:rsidP="003758E5">
      <w:pPr>
        <w:numPr>
          <w:ilvl w:val="6"/>
          <w:numId w:val="18"/>
        </w:numPr>
        <w:spacing w:after="240"/>
        <w:rPr>
          <w:iCs/>
          <w:lang w:eastAsia="en-GB"/>
        </w:rPr>
      </w:pPr>
      <w:r w:rsidRPr="00D96063">
        <w:rPr>
          <w:lang w:eastAsia="fr-CH"/>
        </w:rPr>
        <w:lastRenderedPageBreak/>
        <w:t>Aware of the interlinkages between maritime traffic, rail, and road transport in Ghana (as a transit port hub), the Government has committed to improving land transport, thus facilitating domestic and regional trade.</w:t>
      </w:r>
      <w:r w:rsidRPr="00D96063">
        <w:rPr>
          <w:vertAlign w:val="superscript"/>
          <w:lang w:eastAsia="fr-CH"/>
        </w:rPr>
        <w:footnoteReference w:id="210"/>
      </w:r>
      <w:r w:rsidRPr="00D96063">
        <w:rPr>
          <w:lang w:eastAsia="fr-CH"/>
        </w:rPr>
        <w:t xml:space="preserve"> Since 2007, Ghana's maritime cargo traffic (excluding exports of crude oil), which had stagnated, has started to expand dynamically, thanks to investments in physical infrastructure, coupled with </w:t>
      </w:r>
      <w:r w:rsidRPr="00D96063">
        <w:rPr>
          <w:iCs/>
          <w:lang w:eastAsia="en-GB"/>
        </w:rPr>
        <w:t>efforts</w:t>
      </w:r>
      <w:r w:rsidRPr="00D96063">
        <w:rPr>
          <w:lang w:eastAsia="fr-CH"/>
        </w:rPr>
        <w:t xml:space="preserve"> to enhance quality of service to customers and effective marketing of the ports.</w:t>
      </w:r>
    </w:p>
    <w:p w14:paraId="5C32EE05" w14:textId="77777777" w:rsidR="00C15F2E" w:rsidRPr="00D96063" w:rsidRDefault="00C15F2E" w:rsidP="00394E74">
      <w:pPr>
        <w:pStyle w:val="Heading4"/>
      </w:pPr>
      <w:bookmarkStart w:id="244" w:name="_Toc103607729"/>
      <w:r w:rsidRPr="00D96063">
        <w:t>Rail transport services</w:t>
      </w:r>
      <w:bookmarkEnd w:id="244"/>
    </w:p>
    <w:p w14:paraId="28E22E74" w14:textId="702441FC" w:rsidR="00C15F2E" w:rsidRPr="00D96063" w:rsidRDefault="00C15F2E" w:rsidP="003758E5">
      <w:pPr>
        <w:numPr>
          <w:ilvl w:val="6"/>
          <w:numId w:val="18"/>
        </w:numPr>
        <w:spacing w:after="240"/>
        <w:rPr>
          <w:color w:val="000000" w:themeColor="text1"/>
          <w:lang w:eastAsia="fr-CH"/>
        </w:rPr>
      </w:pPr>
      <w:r w:rsidRPr="00D96063">
        <w:rPr>
          <w:snapToGrid w:val="0"/>
          <w:lang w:eastAsia="fr-CH"/>
        </w:rPr>
        <w:t>The Railways Act, 2008 (Act 779)</w:t>
      </w:r>
      <w:r w:rsidRPr="00D96063">
        <w:rPr>
          <w:snapToGrid w:val="0"/>
          <w:vertAlign w:val="superscript"/>
          <w:lang w:eastAsia="fr-CH"/>
        </w:rPr>
        <w:footnoteReference w:id="211"/>
      </w:r>
      <w:r w:rsidRPr="00D96063">
        <w:rPr>
          <w:snapToGrid w:val="0"/>
          <w:lang w:eastAsia="fr-CH"/>
        </w:rPr>
        <w:t xml:space="preserve"> established the Ghana Railway Development Authority (GRDA) to separate regulation from operations, and to manage and improve railway assets and promote the development of railways and railway services, including suburban railway.</w:t>
      </w:r>
      <w:r w:rsidRPr="00D96063">
        <w:rPr>
          <w:snapToGrid w:val="0"/>
          <w:vertAlign w:val="superscript"/>
          <w:lang w:eastAsia="fr-CH"/>
        </w:rPr>
        <w:footnoteReference w:id="212"/>
      </w:r>
      <w:r w:rsidRPr="00D96063">
        <w:rPr>
          <w:snapToGrid w:val="0"/>
          <w:lang w:eastAsia="fr-CH"/>
        </w:rPr>
        <w:t xml:space="preserve"> The state</w:t>
      </w:r>
      <w:r w:rsidRPr="00D96063">
        <w:rPr>
          <w:snapToGrid w:val="0"/>
          <w:lang w:eastAsia="fr-CH"/>
        </w:rPr>
        <w:noBreakHyphen/>
        <w:t xml:space="preserve">owned </w:t>
      </w:r>
      <w:r w:rsidRPr="00D96063">
        <w:rPr>
          <w:lang w:eastAsia="fr-CH"/>
        </w:rPr>
        <w:t xml:space="preserve">Ghana </w:t>
      </w:r>
      <w:r w:rsidRPr="00D96063">
        <w:rPr>
          <w:color w:val="000000" w:themeColor="text1"/>
          <w:lang w:eastAsia="fr-CH"/>
        </w:rPr>
        <w:t>Railway Company Limited was created in 2001 and is currently the sole operator</w:t>
      </w:r>
      <w:r w:rsidRPr="00D96063">
        <w:rPr>
          <w:snapToGrid w:val="0"/>
          <w:color w:val="000000" w:themeColor="text1"/>
          <w:lang w:eastAsia="fr-CH"/>
        </w:rPr>
        <w:t>.</w:t>
      </w:r>
    </w:p>
    <w:p w14:paraId="081CDC8E" w14:textId="77777777" w:rsidR="00C15F2E" w:rsidRPr="00D96063" w:rsidRDefault="00C15F2E" w:rsidP="003758E5">
      <w:pPr>
        <w:numPr>
          <w:ilvl w:val="6"/>
          <w:numId w:val="18"/>
        </w:numPr>
        <w:spacing w:after="240"/>
        <w:rPr>
          <w:color w:val="000000" w:themeColor="text1"/>
          <w:lang w:eastAsia="fr-CH"/>
        </w:rPr>
      </w:pPr>
      <w:r w:rsidRPr="00D96063">
        <w:rPr>
          <w:snapToGrid w:val="0"/>
          <w:color w:val="000000" w:themeColor="text1"/>
          <w:lang w:eastAsia="fr-CH"/>
        </w:rPr>
        <w:t>Ghana has three railway lines (Eastern, Western, and Central) constructed during the colonial period and only about 13% of the roughly 947 km that operated in 1957 is still operating. Minerals constitute the main freight item, but cocoa and timber traffic made an important contribution to earnings of the network. Passenger train services are provided on all three lines. With the exception of the 30 km Takoradi-Manso section, which is double</w:t>
      </w:r>
      <w:r w:rsidRPr="00D96063">
        <w:rPr>
          <w:snapToGrid w:val="0"/>
          <w:color w:val="000000" w:themeColor="text1"/>
          <w:lang w:eastAsia="fr-CH"/>
        </w:rPr>
        <w:noBreakHyphen/>
        <w:t>track to meet increased traffic density, the rest of the network is on a single-track system.</w:t>
      </w:r>
    </w:p>
    <w:p w14:paraId="5645E0D7" w14:textId="77777777" w:rsidR="00C15F2E" w:rsidRPr="00D96063" w:rsidRDefault="00C15F2E" w:rsidP="003758E5">
      <w:pPr>
        <w:numPr>
          <w:ilvl w:val="6"/>
          <w:numId w:val="18"/>
        </w:numPr>
        <w:spacing w:after="240"/>
        <w:rPr>
          <w:snapToGrid w:val="0"/>
          <w:color w:val="000000" w:themeColor="text1"/>
        </w:rPr>
      </w:pPr>
      <w:r w:rsidRPr="00D96063">
        <w:rPr>
          <w:snapToGrid w:val="0"/>
          <w:color w:val="000000" w:themeColor="text1"/>
          <w:lang w:eastAsia="fr-CH"/>
        </w:rPr>
        <w:t>Although the Government of Ghana has invested directly in railway development, investments from the private sector are welcome in the development of the rail network, the provision of railway-related services and associated infrastructure. Recently, foreign financing has come from build-own-transfer agreements (BOTs), build-own-operate-transfer agreements (BOOTs), and other public-private partnerships (PPPs). In addition, some minerals such as iron and bauxite are mined under barter agreements providing a railway line construction.</w:t>
      </w:r>
      <w:r w:rsidRPr="00D96063">
        <w:rPr>
          <w:snapToGrid w:val="0"/>
          <w:color w:val="000000" w:themeColor="text1"/>
          <w:vertAlign w:val="superscript"/>
          <w:lang w:eastAsia="fr-CH"/>
        </w:rPr>
        <w:footnoteReference w:id="213"/>
      </w:r>
    </w:p>
    <w:p w14:paraId="51CF8D38" w14:textId="77777777" w:rsidR="00C15F2E" w:rsidRPr="00D96063" w:rsidRDefault="00C15F2E" w:rsidP="003758E5">
      <w:pPr>
        <w:numPr>
          <w:ilvl w:val="6"/>
          <w:numId w:val="18"/>
        </w:numPr>
        <w:spacing w:after="240"/>
        <w:rPr>
          <w:color w:val="000000" w:themeColor="text1"/>
          <w:lang w:eastAsia="fr-CH"/>
        </w:rPr>
      </w:pPr>
      <w:r w:rsidRPr="00D96063">
        <w:rPr>
          <w:color w:val="000000" w:themeColor="text1"/>
        </w:rPr>
        <w:t xml:space="preserve">In 2017, the Government undertook to upgrade Ghana's railway network; work effectively started in 2018. There are plans to build a </w:t>
      </w:r>
      <w:r w:rsidRPr="00D96063">
        <w:rPr>
          <w:snapToGrid w:val="0"/>
          <w:color w:val="000000" w:themeColor="text1"/>
          <w:lang w:eastAsia="fr-CH"/>
        </w:rPr>
        <w:t xml:space="preserve">rail network along the larger standard gauge, with investments of USD 21 billion, comprising expansions and rehabilitations. </w:t>
      </w:r>
      <w:r w:rsidRPr="00D96063">
        <w:rPr>
          <w:color w:val="000000" w:themeColor="text1"/>
        </w:rPr>
        <w:t>Several major rail transport projects include:</w:t>
      </w:r>
    </w:p>
    <w:p w14:paraId="22697383" w14:textId="77777777" w:rsidR="00C15F2E" w:rsidRPr="00D96063" w:rsidRDefault="00C15F2E" w:rsidP="00C03C75">
      <w:pPr>
        <w:pStyle w:val="ListBullet2"/>
        <w:rPr>
          <w:lang w:eastAsia="en-GB"/>
        </w:rPr>
      </w:pPr>
      <w:r w:rsidRPr="00D96063">
        <w:rPr>
          <w:rFonts w:eastAsia="Times New Roman" w:cs="Times New Roman"/>
          <w:snapToGrid w:val="0"/>
          <w:szCs w:val="20"/>
          <w:lang w:eastAsia="en-GB"/>
        </w:rPr>
        <w:t>Ghana–Burkina Faso railway and the Trans-ECOWAS project</w:t>
      </w:r>
      <w:r w:rsidRPr="00D96063">
        <w:rPr>
          <w:snapToGrid w:val="0"/>
          <w:lang w:eastAsia="fr-CH"/>
        </w:rPr>
        <w:t xml:space="preserve">. One project consists of the Central line expansion from Takoradi to Kumasi, from Accra to Kumasi, and from Kumasi to Paga at the border with Burkina Faso. The 1,200 km Ghana–Burkina Faso railway is being built under a </w:t>
      </w:r>
      <w:r w:rsidRPr="00D96063">
        <w:rPr>
          <w:rFonts w:eastAsiaTheme="majorEastAsia" w:cs="Times New Roman"/>
          <w:szCs w:val="24"/>
          <w:lang w:eastAsia="fr-CH"/>
        </w:rPr>
        <w:t>BOT partnership</w:t>
      </w:r>
      <w:r w:rsidRPr="00D96063">
        <w:rPr>
          <w:snapToGrid w:val="0"/>
          <w:lang w:eastAsia="fr-CH"/>
        </w:rPr>
        <w:t xml:space="preserve">. A section of the line from Tema Port to Mpakadan is currently under construction. This is expected to improve the transportation of passengers and freight including minerals such as bauxite, manganese, and iron ore. It is also expected to improve the overall logistics chain along the corridor with the objective of accelerating economic growth and development in both countries. The Ghana section of the project is expected to be completed in 2022. </w:t>
      </w:r>
      <w:r w:rsidRPr="00D96063">
        <w:rPr>
          <w:lang w:eastAsia="fr-CH"/>
        </w:rPr>
        <w:t>Also, feasibility studies are nearing completion (2021) towards the development of the Trans-ECOWAS Railway Line from Aflao to Elubo.</w:t>
      </w:r>
    </w:p>
    <w:p w14:paraId="42813E15" w14:textId="77777777" w:rsidR="00C15F2E" w:rsidRPr="00D96063" w:rsidRDefault="00C15F2E" w:rsidP="00C03C75">
      <w:pPr>
        <w:pStyle w:val="ListBullet2"/>
        <w:keepNext/>
        <w:keepLines/>
        <w:rPr>
          <w:rFonts w:eastAsia="Times New Roman" w:cs="Times New Roman"/>
          <w:snapToGrid w:val="0"/>
          <w:color w:val="006283"/>
          <w:szCs w:val="20"/>
          <w:lang w:eastAsia="en-GB"/>
        </w:rPr>
      </w:pPr>
      <w:r w:rsidRPr="00D96063">
        <w:rPr>
          <w:rFonts w:eastAsia="Times New Roman" w:cs="Times New Roman"/>
          <w:snapToGrid w:val="0"/>
          <w:szCs w:val="20"/>
          <w:lang w:eastAsia="en-GB"/>
        </w:rPr>
        <w:lastRenderedPageBreak/>
        <w:t xml:space="preserve">Western line from Kojokrom to Tarkwa. </w:t>
      </w:r>
      <w:r w:rsidRPr="00D96063">
        <w:rPr>
          <w:snapToGrid w:val="0"/>
          <w:lang w:eastAsia="fr-CH"/>
        </w:rPr>
        <w:t xml:space="preserve">The Government has recently rehabilitated a section of the (publicly owned) Western line </w:t>
      </w:r>
      <w:r w:rsidRPr="00D96063">
        <w:rPr>
          <w:rFonts w:eastAsiaTheme="majorEastAsia" w:cs="Times New Roman"/>
          <w:szCs w:val="24"/>
          <w:lang w:eastAsia="fr-CH"/>
        </w:rPr>
        <w:t xml:space="preserve">on a new standard gauge, </w:t>
      </w:r>
      <w:r w:rsidRPr="00D96063">
        <w:rPr>
          <w:snapToGrid w:val="0"/>
          <w:lang w:eastAsia="fr-CH"/>
        </w:rPr>
        <w:t>from Takoradi Port to Kojokrom to facilitate the haulage of manganese, and passenger rail service along the corridor. In addition, a</w:t>
      </w:r>
      <w:r w:rsidRPr="00D96063">
        <w:rPr>
          <w:rFonts w:eastAsiaTheme="majorEastAsia" w:cs="Times New Roman"/>
          <w:szCs w:val="24"/>
          <w:lang w:eastAsia="fr-CH"/>
        </w:rPr>
        <w:t xml:space="preserve"> 22 km double line is being built from Kojokrom to Manso. Under another agreement, China Railway Wuju Group Corporation undertook in 2019 to build 100 km of rail to continue the railway to Dunkwa.</w:t>
      </w:r>
    </w:p>
    <w:p w14:paraId="73378F22" w14:textId="77777777" w:rsidR="00C15F2E" w:rsidRPr="00D96063" w:rsidRDefault="00C15F2E" w:rsidP="00C03C75">
      <w:pPr>
        <w:pStyle w:val="ListBullet2"/>
        <w:keepNext/>
        <w:keepLines/>
        <w:rPr>
          <w:lang w:eastAsia="fr-CH"/>
        </w:rPr>
      </w:pPr>
      <w:r w:rsidRPr="00D96063">
        <w:rPr>
          <w:rFonts w:eastAsia="Times New Roman" w:cs="Times New Roman"/>
          <w:snapToGrid w:val="0"/>
          <w:szCs w:val="20"/>
          <w:lang w:eastAsia="en-GB"/>
        </w:rPr>
        <w:t>Eastern Railway line.</w:t>
      </w:r>
      <w:r w:rsidRPr="00D96063">
        <w:rPr>
          <w:rFonts w:eastAsia="Times New Roman" w:cs="Times New Roman"/>
          <w:i/>
          <w:iCs/>
          <w:snapToGrid w:val="0"/>
          <w:szCs w:val="20"/>
          <w:lang w:eastAsia="en-GB"/>
        </w:rPr>
        <w:t xml:space="preserve"> </w:t>
      </w:r>
      <w:r w:rsidRPr="00D96063">
        <w:rPr>
          <w:snapToGrid w:val="0"/>
          <w:lang w:eastAsia="fr-CH"/>
        </w:rPr>
        <w:t>Following years of neglect, large portions of the existing narrow-gauge line were not operational with the exception of the Accra to Tema and Accra to Nsawam sections, used to provide passenger commuter rail services. A public-private Eastern Rail project is planned to link Accra with Kumasi. Rehabilitation works were carried out on sections from Accra to Tema and from Accra to Nsawam by the Ghana Railway Company Limited in 2018-19.</w:t>
      </w:r>
    </w:p>
    <w:p w14:paraId="357AED95" w14:textId="77777777" w:rsidR="00C15F2E" w:rsidRPr="00D96063" w:rsidRDefault="00C15F2E" w:rsidP="00394E74">
      <w:pPr>
        <w:pStyle w:val="Heading4"/>
        <w:rPr>
          <w:rFonts w:eastAsia="Times New Roman"/>
        </w:rPr>
      </w:pPr>
      <w:bookmarkStart w:id="245" w:name="_Toc103607730"/>
      <w:r w:rsidRPr="00D96063">
        <w:rPr>
          <w:rFonts w:eastAsia="Times New Roman"/>
        </w:rPr>
        <w:t>Maritime transport</w:t>
      </w:r>
      <w:bookmarkEnd w:id="245"/>
    </w:p>
    <w:p w14:paraId="47F94C10" w14:textId="3A04634C" w:rsidR="00C15F2E" w:rsidRPr="00D96063" w:rsidRDefault="00C15F2E" w:rsidP="003758E5">
      <w:pPr>
        <w:numPr>
          <w:ilvl w:val="6"/>
          <w:numId w:val="18"/>
        </w:numPr>
        <w:spacing w:after="240"/>
        <w:rPr>
          <w:color w:val="000000" w:themeColor="text1"/>
        </w:rPr>
      </w:pPr>
      <w:r w:rsidRPr="00D96063">
        <w:rPr>
          <w:lang w:eastAsia="fr-CH"/>
        </w:rPr>
        <w:t>Ghana does not have a significant international maritime cargo fleet, and the share of tonnage transported internationally by foreign-flagged vessels is close to 100%. The Shipowners and Agents Association of Ghana (SOAAG) de</w:t>
      </w:r>
      <w:r w:rsidRPr="00D96063">
        <w:rPr>
          <w:color w:val="000000" w:themeColor="text1"/>
          <w:lang w:eastAsia="fr-CH"/>
        </w:rPr>
        <w:t>fends the interests of ship owners and their shipping agents.</w:t>
      </w:r>
      <w:r w:rsidRPr="00D96063">
        <w:rPr>
          <w:color w:val="000000" w:themeColor="text1"/>
          <w:vertAlign w:val="superscript"/>
          <w:lang w:eastAsia="fr-CH"/>
        </w:rPr>
        <w:footnoteReference w:id="214"/>
      </w:r>
      <w:r w:rsidRPr="00D96063">
        <w:rPr>
          <w:color w:val="000000" w:themeColor="text1"/>
          <w:lang w:eastAsia="fr-CH"/>
        </w:rPr>
        <w:t xml:space="preserve"> Shipping charges are set freely by shipping companies.</w:t>
      </w:r>
    </w:p>
    <w:p w14:paraId="41E7E0F9" w14:textId="77777777" w:rsidR="00C15F2E" w:rsidRPr="00D96063" w:rsidRDefault="00C15F2E" w:rsidP="003758E5">
      <w:pPr>
        <w:numPr>
          <w:ilvl w:val="6"/>
          <w:numId w:val="18"/>
        </w:numPr>
        <w:spacing w:after="240"/>
        <w:rPr>
          <w:color w:val="000000" w:themeColor="text1"/>
        </w:rPr>
      </w:pPr>
      <w:r w:rsidRPr="00D96063">
        <w:rPr>
          <w:color w:val="000000" w:themeColor="text1"/>
        </w:rPr>
        <w:t xml:space="preserve">The Ghana Maritime Authority (GMA) is responsible for monitoring and regulating activities under the Ghanaian flag in conformity with the Ghana Shipping Act, 2003 (Act 645). Under the GATS, Ghana made market access commitments </w:t>
      </w:r>
      <w:r w:rsidRPr="00D96063">
        <w:t xml:space="preserve">for international maritime freight and passenger transportation, and specified restrictions </w:t>
      </w:r>
      <w:r w:rsidRPr="00D96063">
        <w:rPr>
          <w:color w:val="000000" w:themeColor="text1"/>
        </w:rPr>
        <w:t>regarding the establishment of registered fleets operating under the Ghanaian flag</w:t>
      </w:r>
      <w:r w:rsidRPr="00D96063">
        <w:rPr>
          <w:color w:val="000000" w:themeColor="text1"/>
          <w:vertAlign w:val="superscript"/>
        </w:rPr>
        <w:footnoteReference w:id="215"/>
      </w:r>
      <w:r w:rsidRPr="00D96063">
        <w:rPr>
          <w:color w:val="000000" w:themeColor="text1"/>
        </w:rPr>
        <w:t>, e.g. foreigners must form joint ventures with Ghanaians to register under the Ghanaian flag; this registration is compulsory in order to carry out cabotage and fishing activities in Ghanaian waters, both inland and maritime.</w:t>
      </w:r>
    </w:p>
    <w:p w14:paraId="77AE7E28" w14:textId="77777777" w:rsidR="00C15F2E" w:rsidRPr="00D96063" w:rsidRDefault="00C15F2E" w:rsidP="003758E5">
      <w:pPr>
        <w:numPr>
          <w:ilvl w:val="6"/>
          <w:numId w:val="18"/>
        </w:numPr>
        <w:spacing w:after="240"/>
        <w:rPr>
          <w:color w:val="000000" w:themeColor="text1"/>
        </w:rPr>
      </w:pPr>
      <w:r w:rsidRPr="00D96063">
        <w:rPr>
          <w:color w:val="000000" w:themeColor="text1"/>
        </w:rPr>
        <w:t xml:space="preserve">The Ghana Shippers' Authority is an autonomous public-sector body that </w:t>
      </w:r>
      <w:r w:rsidRPr="00D96063">
        <w:rPr>
          <w:rFonts w:cs="Arial"/>
          <w:color w:val="000000" w:themeColor="text1"/>
          <w:szCs w:val="18"/>
        </w:rPr>
        <w:t xml:space="preserve">was established by the </w:t>
      </w:r>
      <w:r w:rsidRPr="00D96063">
        <w:rPr>
          <w:rFonts w:cs="Arial"/>
          <w:bCs/>
          <w:color w:val="000000" w:themeColor="text1"/>
        </w:rPr>
        <w:t>Ghana Shippers' Authority</w:t>
      </w:r>
      <w:r w:rsidRPr="00D96063">
        <w:rPr>
          <w:rFonts w:cs="Arial"/>
          <w:color w:val="000000" w:themeColor="text1"/>
        </w:rPr>
        <w:t xml:space="preserve"> Act, 1974 (</w:t>
      </w:r>
      <w:r w:rsidRPr="00D96063">
        <w:rPr>
          <w:rFonts w:cs="Arial"/>
          <w:color w:val="000000" w:themeColor="text1"/>
          <w:szCs w:val="18"/>
        </w:rPr>
        <w:t>NRCD 254), with the mandate to promote and protect the interest of importers and exporters (shippers).</w:t>
      </w:r>
      <w:r w:rsidRPr="00D96063">
        <w:rPr>
          <w:rFonts w:cs="Arial"/>
          <w:color w:val="000000" w:themeColor="text1"/>
          <w:szCs w:val="18"/>
          <w:vertAlign w:val="superscript"/>
        </w:rPr>
        <w:footnoteReference w:id="216"/>
      </w:r>
      <w:r w:rsidRPr="00D96063">
        <w:rPr>
          <w:rFonts w:cs="Arial"/>
          <w:color w:val="000000" w:themeColor="text1"/>
          <w:szCs w:val="18"/>
        </w:rPr>
        <w:t xml:space="preserve"> The GSA levies a service charge of </w:t>
      </w:r>
      <w:r w:rsidRPr="00D96063">
        <w:rPr>
          <w:color w:val="000000" w:themeColor="text1"/>
        </w:rPr>
        <w:t>2% of gross freight value of all freight entering or leaving Ghana by maritime transport, of which it must remit 50% to the GMA</w:t>
      </w:r>
      <w:r w:rsidRPr="00D96063">
        <w:rPr>
          <w:b/>
          <w:bCs/>
          <w:color w:val="000000" w:themeColor="text1"/>
        </w:rPr>
        <w:t>.</w:t>
      </w:r>
      <w:r w:rsidRPr="00D96063">
        <w:rPr>
          <w:rFonts w:cs="Arial"/>
          <w:color w:val="000000" w:themeColor="text1"/>
          <w:szCs w:val="18"/>
          <w:vertAlign w:val="superscript"/>
        </w:rPr>
        <w:footnoteReference w:id="217"/>
      </w:r>
    </w:p>
    <w:p w14:paraId="4C991B50" w14:textId="55623319" w:rsidR="00952BFE" w:rsidRPr="00D96063" w:rsidRDefault="00C15F2E" w:rsidP="003758E5">
      <w:pPr>
        <w:numPr>
          <w:ilvl w:val="6"/>
          <w:numId w:val="18"/>
        </w:numPr>
        <w:spacing w:after="240"/>
      </w:pPr>
      <w:r w:rsidRPr="00D96063">
        <w:rPr>
          <w:color w:val="000000" w:themeColor="text1"/>
        </w:rPr>
        <w:t xml:space="preserve">Ghana has two main commercial seaports, at Tema and Takoradi (Box 4.2). The Ghana Ports and Harbours Authority (GPHA), an SOE under the Ministry of Transport, manages the seaports, as well as various fishing harbours. The GPHA's role has shifted from a port operator to a regulator, while the operation of port facilities </w:t>
      </w:r>
      <w:r w:rsidRPr="00D96063">
        <w:t>has increasingly been taken over by private companies licensed by the GPHA; activities such as stevedoring, freight-forwarding, or cargo clearance are regulated but delivered by the private sector.</w:t>
      </w:r>
      <w:r w:rsidR="00952BFE" w:rsidRPr="00D96063">
        <w:t xml:space="preserve"> Prices for port services rendered to shipping lines and consignees at the seaports are determined by the GPHA with government approval.</w:t>
      </w:r>
      <w:r w:rsidR="00952BFE" w:rsidRPr="00D96063">
        <w:rPr>
          <w:vertAlign w:val="superscript"/>
        </w:rPr>
        <w:footnoteReference w:id="218"/>
      </w:r>
      <w:r w:rsidR="00952BFE" w:rsidRPr="00D96063">
        <w:t xml:space="preserve"> The latest Tariff was published in March 2021. All private port operator charges are determined through the published Tariff.</w:t>
      </w:r>
    </w:p>
    <w:p w14:paraId="7C2AAC3B" w14:textId="241B7661" w:rsidR="00C15F2E" w:rsidRPr="00D96063" w:rsidRDefault="00952BFE" w:rsidP="003758E5">
      <w:pPr>
        <w:numPr>
          <w:ilvl w:val="6"/>
          <w:numId w:val="18"/>
        </w:numPr>
        <w:spacing w:after="240"/>
      </w:pPr>
      <w:r w:rsidRPr="00D96063">
        <w:t>Under the GATS, Ghana made commitments on auxiliary services (cargo</w:t>
      </w:r>
      <w:r w:rsidRPr="00D96063">
        <w:noBreakHyphen/>
        <w:t>handling, storage and warehousing, and container stations and depots) and committed to make available, on reasonable and non-discriminatory conditions, pilotage, towing and tug assistance, provisioning, fuelling and watering, garbage collection and ballast waste disposal, port captain's services, navigation aids, and firefighting and ambulance services.</w:t>
      </w:r>
    </w:p>
    <w:p w14:paraId="35E8C0AA" w14:textId="0B41CFFB" w:rsidR="00C15F2E" w:rsidRPr="00D96063" w:rsidRDefault="00952BFE" w:rsidP="00952BFE">
      <w:pPr>
        <w:pStyle w:val="Caption"/>
        <w:rPr>
          <w:b w:val="0"/>
          <w:bCs w:val="0"/>
          <w:color w:val="000000" w:themeColor="text1"/>
        </w:rPr>
      </w:pPr>
      <w:bookmarkStart w:id="246" w:name="_Toc103607973"/>
      <w:r w:rsidRPr="00D96063">
        <w:lastRenderedPageBreak/>
        <w:t xml:space="preserve">Box </w:t>
      </w:r>
      <w:fldSimple w:instr=" STYLEREF 1 \s ">
        <w:r w:rsidR="004B63B1">
          <w:rPr>
            <w:noProof/>
          </w:rPr>
          <w:t>4</w:t>
        </w:r>
      </w:fldSimple>
      <w:r w:rsidRPr="00D96063">
        <w:t>.</w:t>
      </w:r>
      <w:fldSimple w:instr=" SEQ Box \* ARABIC \s 1 ">
        <w:r w:rsidR="004B63B1">
          <w:rPr>
            <w:noProof/>
          </w:rPr>
          <w:t>2</w:t>
        </w:r>
      </w:fldSimple>
      <w:r w:rsidRPr="00D96063">
        <w:t xml:space="preserve"> Developments in Ghana's ports</w:t>
      </w:r>
      <w:bookmarkEnd w:id="246"/>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026"/>
      </w:tblGrid>
      <w:tr w:rsidR="00C15F2E" w:rsidRPr="00D96063" w14:paraId="2C936025" w14:textId="77777777" w:rsidTr="00053198">
        <w:tc>
          <w:tcPr>
            <w:tcW w:w="5000" w:type="pct"/>
            <w:shd w:val="clear" w:color="auto" w:fill="C9DED4"/>
            <w:hideMark/>
          </w:tcPr>
          <w:p w14:paraId="3D34171E" w14:textId="00823024" w:rsidR="00C15F2E" w:rsidRPr="00D96063" w:rsidRDefault="00C15F2E" w:rsidP="00053198">
            <w:pPr>
              <w:spacing w:after="120" w:line="276" w:lineRule="auto"/>
              <w:rPr>
                <w:sz w:val="16"/>
                <w:szCs w:val="16"/>
                <w:lang w:eastAsia="fr-CH"/>
              </w:rPr>
            </w:pPr>
            <w:r w:rsidRPr="00D96063">
              <w:rPr>
                <w:sz w:val="16"/>
                <w:szCs w:val="16"/>
                <w:lang w:eastAsia="fr-CH"/>
              </w:rPr>
              <w:t xml:space="preserve">The Port of Tema handles about 80% of the Ghana's import cargo, while of the Port of Takoradi handles more exports than Tema. Tema Port has 21 berths, of which </w:t>
            </w:r>
            <w:r w:rsidR="00952BFE" w:rsidRPr="00D96063">
              <w:rPr>
                <w:sz w:val="16"/>
                <w:szCs w:val="16"/>
                <w:lang w:eastAsia="fr-CH"/>
              </w:rPr>
              <w:t>one</w:t>
            </w:r>
            <w:r w:rsidRPr="00D96063">
              <w:rPr>
                <w:sz w:val="16"/>
                <w:szCs w:val="16"/>
                <w:lang w:eastAsia="fr-CH"/>
              </w:rPr>
              <w:t xml:space="preserve"> is for oil and another is operated by the Volta Aluminium Company (VALCO). The depths range from 8 to 16 metres. There are currently six storage sheds within the </w:t>
            </w:r>
            <w:r w:rsidR="00952BFE" w:rsidRPr="00D96063">
              <w:rPr>
                <w:sz w:val="16"/>
                <w:szCs w:val="16"/>
                <w:lang w:eastAsia="fr-CH"/>
              </w:rPr>
              <w:t>P</w:t>
            </w:r>
            <w:r w:rsidRPr="00D96063">
              <w:rPr>
                <w:sz w:val="16"/>
                <w:szCs w:val="16"/>
                <w:lang w:eastAsia="fr-CH"/>
              </w:rPr>
              <w:t xml:space="preserve">ort, which also includes a 100,000 deadweight tonnes dry dock, and a slipway facility operated by the PSC Tema Shipyard. There is also a dedicated container terminal as well as various off-dock </w:t>
            </w:r>
            <w:r w:rsidRPr="00D96063">
              <w:rPr>
                <w:sz w:val="16"/>
                <w:szCs w:val="16"/>
              </w:rPr>
              <w:t>container</w:t>
            </w:r>
            <w:r w:rsidRPr="00D96063">
              <w:rPr>
                <w:sz w:val="16"/>
                <w:szCs w:val="16"/>
                <w:lang w:eastAsia="fr-CH"/>
              </w:rPr>
              <w:t xml:space="preserve"> terminals and car parks run by private operators.</w:t>
            </w:r>
          </w:p>
          <w:p w14:paraId="1267C02E" w14:textId="32370D76" w:rsidR="00C15F2E" w:rsidRPr="00D96063" w:rsidRDefault="00C15F2E" w:rsidP="00053198">
            <w:pPr>
              <w:spacing w:after="120" w:line="276" w:lineRule="auto"/>
              <w:rPr>
                <w:sz w:val="16"/>
                <w:szCs w:val="16"/>
                <w:lang w:eastAsia="fr-CH"/>
              </w:rPr>
            </w:pPr>
            <w:r w:rsidRPr="00D96063">
              <w:rPr>
                <w:sz w:val="16"/>
                <w:szCs w:val="16"/>
              </w:rPr>
              <w:t xml:space="preserve">A new Meridian Ports Services (MPS) terminal (Terminal 3) was opened at the Tema Port in July 2019, with three of its four berths completed in late 2021, making it possible to cater for the largest vessels carrying 20,000 twenty-foot equivalent units (TEUs) and beyond. In addition to the terminal, investments in 7 Super Post Panamax Ship to Shore gantry cranes, and 20 rubber tyre </w:t>
            </w:r>
            <w:r w:rsidR="00D949B1">
              <w:rPr>
                <w:sz w:val="16"/>
                <w:szCs w:val="16"/>
              </w:rPr>
              <w:t>g</w:t>
            </w:r>
            <w:r w:rsidRPr="00D96063">
              <w:rPr>
                <w:sz w:val="16"/>
                <w:szCs w:val="16"/>
              </w:rPr>
              <w:t xml:space="preserve">antry </w:t>
            </w:r>
            <w:r w:rsidR="00D949B1">
              <w:rPr>
                <w:sz w:val="16"/>
                <w:szCs w:val="16"/>
              </w:rPr>
              <w:t>c</w:t>
            </w:r>
            <w:r w:rsidRPr="00D96063">
              <w:rPr>
                <w:sz w:val="16"/>
                <w:szCs w:val="16"/>
              </w:rPr>
              <w:t>ranes allow the Port to handle two</w:t>
            </w:r>
            <w:r w:rsidR="00C03C75">
              <w:rPr>
                <w:sz w:val="16"/>
                <w:szCs w:val="16"/>
              </w:rPr>
              <w:t> </w:t>
            </w:r>
            <w:r w:rsidRPr="00D96063">
              <w:rPr>
                <w:sz w:val="16"/>
                <w:szCs w:val="16"/>
              </w:rPr>
              <w:t>million TEUs per year.</w:t>
            </w:r>
            <w:r w:rsidRPr="00D96063">
              <w:rPr>
                <w:rFonts w:ascii="Helvetica" w:hAnsi="Helvetica" w:cs="Helvetica"/>
                <w:sz w:val="16"/>
                <w:szCs w:val="16"/>
                <w:vertAlign w:val="superscript"/>
              </w:rPr>
              <w:footnoteReference w:id="219"/>
            </w:r>
            <w:r w:rsidRPr="00D96063">
              <w:rPr>
                <w:sz w:val="16"/>
                <w:szCs w:val="16"/>
              </w:rPr>
              <w:t xml:space="preserve"> MPS is a joint venture between the GPHA and Meridian Port Holdings Limited, which is, in turn, a joint venture with Bolloré Transport and Logistics and APM Terminals (part of the MAERSK Group) as the two main shareholders.</w:t>
            </w:r>
          </w:p>
          <w:p w14:paraId="314455DD" w14:textId="346C9B3D" w:rsidR="00C15F2E" w:rsidRPr="00D96063" w:rsidRDefault="00C15F2E" w:rsidP="00053198">
            <w:pPr>
              <w:spacing w:after="120" w:line="276" w:lineRule="auto"/>
              <w:rPr>
                <w:sz w:val="16"/>
                <w:szCs w:val="16"/>
              </w:rPr>
            </w:pPr>
            <w:r w:rsidRPr="00D96063">
              <w:rPr>
                <w:sz w:val="16"/>
                <w:szCs w:val="16"/>
              </w:rPr>
              <w:t xml:space="preserve">The current port expansion project, under a PPP arrangement, is expected to allow Tema </w:t>
            </w:r>
            <w:r w:rsidR="00952BFE" w:rsidRPr="00D96063">
              <w:rPr>
                <w:sz w:val="16"/>
                <w:szCs w:val="16"/>
              </w:rPr>
              <w:t xml:space="preserve">Port </w:t>
            </w:r>
            <w:r w:rsidRPr="00D96063">
              <w:rPr>
                <w:sz w:val="16"/>
                <w:szCs w:val="16"/>
              </w:rPr>
              <w:t>to handle 3.5 million TEUs, making it the biggest container port in the subregion. Tema Port has seen a significant growth in traffic. In 2020, it handled over 19 million tonnes of cargo and nearly 1.25 million TEUs of containers. This throughput accounts for about 70% of Ghana's international maritime trade. Main imports include cement, clinker, machinery and equipment, wheat, crude oil, rice, and sugar; main exports include cocoa, fruit, shea nuts, shea butter, and aluminium ingots.</w:t>
            </w:r>
          </w:p>
          <w:p w14:paraId="259EDF1F" w14:textId="77777777" w:rsidR="00C15F2E" w:rsidRPr="00D96063" w:rsidRDefault="00C15F2E" w:rsidP="00053198">
            <w:pPr>
              <w:spacing w:after="120" w:line="276" w:lineRule="auto"/>
              <w:rPr>
                <w:sz w:val="16"/>
                <w:szCs w:val="16"/>
              </w:rPr>
            </w:pPr>
            <w:r w:rsidRPr="00D96063">
              <w:rPr>
                <w:sz w:val="16"/>
                <w:szCs w:val="16"/>
              </w:rPr>
              <w:t>Takoradi Port is fully state-owned and under the management of GPHA. The Port is well connected to the hinterland, which makes it the preferred gateway to the middle and northern parts of Ghana and Burkina Faso, Niger, and Mali. Principal exports through it include manganese, bauxite, forest products, bulk and bagged cocoa beans, and mining equipment; main imports include clinker, wheat, petroleum products, and containerized cargo. Takoradi Port is better located to support exploration and production activities at the oil and gas fields. Thanks to the completion of an 800-metre-long bulk cargo jetty in 2019, Takoradi Port is expected to attract significant volumes of dry bulk cargo.</w:t>
            </w:r>
          </w:p>
          <w:p w14:paraId="5AE267F3" w14:textId="2E343B8F" w:rsidR="00C15F2E" w:rsidRPr="00D96063" w:rsidRDefault="00C15F2E" w:rsidP="00053198">
            <w:pPr>
              <w:spacing w:line="276" w:lineRule="auto"/>
              <w:rPr>
                <w:sz w:val="16"/>
                <w:szCs w:val="16"/>
              </w:rPr>
            </w:pPr>
            <w:r w:rsidRPr="00D96063">
              <w:rPr>
                <w:sz w:val="16"/>
                <w:szCs w:val="16"/>
              </w:rPr>
              <w:t xml:space="preserve">Both Tema and Takoradi ports have drive-through scanners. The ports of Ghana operate an Integrated Management System in line with ISO 14001:2015 (environmental management), ISO 9001:2015 (quality management) and OHSAS 45001:2018 (occupational health and safety). The </w:t>
            </w:r>
            <w:r w:rsidR="00952BFE" w:rsidRPr="00D96063">
              <w:rPr>
                <w:sz w:val="16"/>
                <w:szCs w:val="16"/>
              </w:rPr>
              <w:t>P</w:t>
            </w:r>
            <w:r w:rsidRPr="00D96063">
              <w:rPr>
                <w:sz w:val="16"/>
                <w:szCs w:val="16"/>
              </w:rPr>
              <w:t>ort of Tema is ISPS code compliant.</w:t>
            </w:r>
          </w:p>
          <w:p w14:paraId="3ABABE41" w14:textId="77777777" w:rsidR="00C15F2E" w:rsidRPr="00D96063" w:rsidRDefault="00C15F2E" w:rsidP="00053198">
            <w:pPr>
              <w:spacing w:line="276" w:lineRule="auto"/>
              <w:rPr>
                <w:sz w:val="16"/>
                <w:szCs w:val="16"/>
                <w:lang w:eastAsia="fr-CH"/>
              </w:rPr>
            </w:pPr>
          </w:p>
          <w:p w14:paraId="29218973" w14:textId="4DF4A878" w:rsidR="00C15F2E" w:rsidRPr="00D96063" w:rsidRDefault="00C15F2E" w:rsidP="00053198">
            <w:pPr>
              <w:spacing w:line="276" w:lineRule="auto"/>
              <w:rPr>
                <w:sz w:val="16"/>
                <w:szCs w:val="16"/>
                <w:lang w:eastAsia="fr-CH"/>
              </w:rPr>
            </w:pPr>
            <w:r w:rsidRPr="00D96063">
              <w:rPr>
                <w:sz w:val="16"/>
                <w:szCs w:val="16"/>
                <w:lang w:eastAsia="fr-CH"/>
              </w:rPr>
              <w:t>According to authorities, Ghana has plans to develop a seaport at Keta on the eastern coastline, as motivated by the national development agenda, global and regional trends, development options for diversified cargo-specific port clusters, and trade facilitation. Feasibility studies have been carried out and the project cost is estimated at around US</w:t>
            </w:r>
            <w:r w:rsidR="00305414" w:rsidRPr="00D96063">
              <w:rPr>
                <w:sz w:val="16"/>
                <w:szCs w:val="16"/>
                <w:lang w:eastAsia="fr-CH"/>
              </w:rPr>
              <w:t>D </w:t>
            </w:r>
            <w:r w:rsidRPr="00D96063">
              <w:rPr>
                <w:sz w:val="16"/>
                <w:szCs w:val="16"/>
                <w:lang w:eastAsia="fr-CH"/>
              </w:rPr>
              <w:t>1.1 billion.</w:t>
            </w:r>
            <w:r w:rsidRPr="00D96063">
              <w:rPr>
                <w:rStyle w:val="CommentReference"/>
              </w:rPr>
              <w:t xml:space="preserve"> Currently, the project is at the Environmental Social Impact Assessment stage.</w:t>
            </w:r>
          </w:p>
          <w:p w14:paraId="06A2BF59" w14:textId="77777777" w:rsidR="00C15F2E" w:rsidRPr="00D96063" w:rsidRDefault="00C15F2E" w:rsidP="00053198">
            <w:pPr>
              <w:spacing w:line="276" w:lineRule="auto"/>
              <w:rPr>
                <w:sz w:val="16"/>
                <w:szCs w:val="16"/>
              </w:rPr>
            </w:pPr>
          </w:p>
        </w:tc>
      </w:tr>
    </w:tbl>
    <w:p w14:paraId="2CDC48BB" w14:textId="509D79F6" w:rsidR="00C15F2E" w:rsidRDefault="00C15F2E" w:rsidP="00D868BF">
      <w:pPr>
        <w:tabs>
          <w:tab w:val="left" w:pos="851"/>
        </w:tabs>
        <w:spacing w:before="120" w:after="240"/>
        <w:ind w:left="851" w:hanging="851"/>
        <w:jc w:val="left"/>
        <w:rPr>
          <w:sz w:val="16"/>
          <w:lang w:eastAsia="fr-CH"/>
        </w:rPr>
      </w:pPr>
      <w:r w:rsidRPr="00D96063">
        <w:rPr>
          <w:sz w:val="16"/>
          <w:lang w:eastAsia="fr-CH"/>
        </w:rPr>
        <w:t>Source:</w:t>
      </w:r>
      <w:r w:rsidRPr="00D96063">
        <w:rPr>
          <w:sz w:val="16"/>
          <w:lang w:eastAsia="fr-CH"/>
        </w:rPr>
        <w:tab/>
        <w:t>WTO Secretariat based on information provided by the authorities.</w:t>
      </w:r>
    </w:p>
    <w:p w14:paraId="315E6967" w14:textId="77777777" w:rsidR="00053B83" w:rsidRPr="00D96063" w:rsidRDefault="00053B83" w:rsidP="00053B83">
      <w:pPr>
        <w:numPr>
          <w:ilvl w:val="6"/>
          <w:numId w:val="18"/>
        </w:numPr>
        <w:spacing w:after="240"/>
        <w:rPr>
          <w:color w:val="000000" w:themeColor="text1"/>
          <w:szCs w:val="18"/>
          <w:lang w:eastAsia="fr-CH"/>
        </w:rPr>
      </w:pPr>
      <w:r w:rsidRPr="00D96063">
        <w:rPr>
          <w:lang w:eastAsia="fr-CH"/>
        </w:rPr>
        <w:t xml:space="preserve">A significant rise in total cargo throughput has taken place at Tema and Takoradi. This expansion partly reflects the construction of a USD 1.5 billion project completed in 2020 to nearly quadruple the container capacity of the </w:t>
      </w:r>
      <w:r>
        <w:rPr>
          <w:lang w:eastAsia="fr-CH"/>
        </w:rPr>
        <w:t>P</w:t>
      </w:r>
      <w:r w:rsidRPr="00D96063">
        <w:rPr>
          <w:lang w:eastAsia="fr-CH"/>
        </w:rPr>
        <w:t>ort of Tema from its 2017 level.</w:t>
      </w:r>
      <w:r w:rsidRPr="00D96063">
        <w:rPr>
          <w:rStyle w:val="FootnoteReference"/>
          <w:lang w:eastAsia="fr-CH"/>
        </w:rPr>
        <w:footnoteReference w:id="220"/>
      </w:r>
      <w:r w:rsidRPr="00D96063">
        <w:rPr>
          <w:lang w:eastAsia="fr-CH"/>
        </w:rPr>
        <w:t xml:space="preserve"> </w:t>
      </w:r>
      <w:r w:rsidRPr="00D96063">
        <w:rPr>
          <w:rFonts w:cs="AGaramondPro-Regular"/>
          <w:color w:val="000000" w:themeColor="text1"/>
          <w:lang w:eastAsia="fr-CH"/>
        </w:rPr>
        <w:t xml:space="preserve">Ghana's ports also show growing transhipment traffic, </w:t>
      </w:r>
      <w:r w:rsidRPr="00D96063">
        <w:rPr>
          <w:color w:val="000000" w:themeColor="text1"/>
          <w:lang w:eastAsia="fr-CH"/>
        </w:rPr>
        <w:t>from larger ships arriving in ports to smaller vessels leaving ports</w:t>
      </w:r>
      <w:r w:rsidRPr="00D96063">
        <w:rPr>
          <w:rFonts w:cs="AGaramondPro-Regular"/>
          <w:color w:val="000000" w:themeColor="text1"/>
          <w:lang w:eastAsia="fr-CH"/>
        </w:rPr>
        <w:t xml:space="preserve">. Transhipment </w:t>
      </w:r>
      <w:r w:rsidRPr="00D96063">
        <w:rPr>
          <w:color w:val="000000" w:themeColor="text1"/>
          <w:lang w:eastAsia="fr-CH"/>
        </w:rPr>
        <w:t xml:space="preserve">increased to </w:t>
      </w:r>
      <w:r w:rsidRPr="00D96063">
        <w:t xml:space="preserve">366,718 </w:t>
      </w:r>
      <w:r w:rsidRPr="00D96063">
        <w:rPr>
          <w:color w:val="000000" w:themeColor="text1"/>
          <w:lang w:eastAsia="fr-CH"/>
        </w:rPr>
        <w:t xml:space="preserve">tonnes in 2020 (up from </w:t>
      </w:r>
      <w:r w:rsidRPr="00D96063">
        <w:t xml:space="preserve">86,813 </w:t>
      </w:r>
      <w:r w:rsidRPr="00D96063">
        <w:rPr>
          <w:color w:val="000000" w:themeColor="text1"/>
          <w:lang w:eastAsia="fr-CH"/>
        </w:rPr>
        <w:t xml:space="preserve">tonnes </w:t>
      </w:r>
      <w:r w:rsidRPr="00D96063">
        <w:rPr>
          <w:lang w:eastAsia="fr-CH"/>
        </w:rPr>
        <w:t xml:space="preserve">in 2019). An even larger and growing amount of transit cargo is unloaded and moved to trucks destined for the landlocked countries north of Ghana. </w:t>
      </w:r>
      <w:r w:rsidRPr="00D96063">
        <w:rPr>
          <w:szCs w:val="18"/>
          <w:lang w:eastAsia="fr-CH"/>
        </w:rPr>
        <w:t xml:space="preserve">Transit cargo in </w:t>
      </w:r>
      <w:r w:rsidRPr="00D96063">
        <w:rPr>
          <w:color w:val="000000" w:themeColor="text1"/>
        </w:rPr>
        <w:t xml:space="preserve">Tema and Takoradi </w:t>
      </w:r>
      <w:r w:rsidRPr="00D96063">
        <w:rPr>
          <w:szCs w:val="18"/>
          <w:lang w:eastAsia="fr-CH"/>
        </w:rPr>
        <w:t>increased from about 950,000 tonnes in 2016, to 1.25 million </w:t>
      </w:r>
      <w:r w:rsidRPr="00D96063">
        <w:rPr>
          <w:color w:val="000000" w:themeColor="text1"/>
          <w:szCs w:val="18"/>
          <w:lang w:eastAsia="fr-CH"/>
        </w:rPr>
        <w:t xml:space="preserve">tonnes in 2017, to </w:t>
      </w:r>
      <w:r w:rsidRPr="00D96063">
        <w:rPr>
          <w:rFonts w:cs="Helvetica"/>
          <w:color w:val="000000" w:themeColor="text1"/>
          <w:szCs w:val="18"/>
          <w:lang w:eastAsia="fr-CH"/>
        </w:rPr>
        <w:t>1.5 million tonnes in 2020.</w:t>
      </w:r>
    </w:p>
    <w:p w14:paraId="0DFE6259" w14:textId="77777777" w:rsidR="00053B83" w:rsidRPr="00D96063" w:rsidRDefault="00053B83" w:rsidP="00053B83">
      <w:pPr>
        <w:numPr>
          <w:ilvl w:val="6"/>
          <w:numId w:val="18"/>
        </w:numPr>
        <w:spacing w:after="240"/>
        <w:rPr>
          <w:color w:val="000000" w:themeColor="text1"/>
          <w:lang w:eastAsia="fr-CH"/>
        </w:rPr>
      </w:pPr>
      <w:r w:rsidRPr="00D96063">
        <w:rPr>
          <w:lang w:eastAsia="fr-CH"/>
        </w:rPr>
        <w:t xml:space="preserve">The previous Review noted that Ghana has modified several features of its transit system since 2007 and that, as a result, transit flows have nearly doubled, showing that traders responded rapidly and favourably to appropriate trade facilitation measures. According to the authorities, the </w:t>
      </w:r>
      <w:r w:rsidRPr="00D96063">
        <w:t xml:space="preserve">GPHA has been promoting the benefits for landlocked countries of using the ports in Ghana (such as security of cargo and truckers, improved port infrastructure, significant reduction in inland check </w:t>
      </w:r>
      <w:r w:rsidRPr="00D96063">
        <w:lastRenderedPageBreak/>
        <w:t>points by police, customs and immigration, and abolition of a USD</w:t>
      </w:r>
      <w:r>
        <w:t> </w:t>
      </w:r>
      <w:r w:rsidRPr="00D96063">
        <w:t>200 customs levy customs</w:t>
      </w:r>
      <w:r>
        <w:t>)</w:t>
      </w:r>
      <w:r w:rsidRPr="00D96063">
        <w:t>.</w:t>
      </w:r>
      <w:r w:rsidRPr="00D96063">
        <w:rPr>
          <w:color w:val="000000" w:themeColor="text1"/>
          <w:lang w:eastAsia="fr-CH"/>
        </w:rPr>
        <w:t xml:space="preserve"> In addition, t</w:t>
      </w:r>
      <w:r w:rsidRPr="00D96063">
        <w:rPr>
          <w:lang w:eastAsia="fr-CH"/>
        </w:rPr>
        <w:t xml:space="preserve">ransponders are used </w:t>
      </w:r>
      <w:r w:rsidRPr="00D96063">
        <w:rPr>
          <w:color w:val="000000" w:themeColor="text1"/>
          <w:lang w:eastAsia="fr-CH"/>
        </w:rPr>
        <w:t>to track transit trucks in real time (USD</w:t>
      </w:r>
      <w:r>
        <w:rPr>
          <w:color w:val="000000" w:themeColor="text1"/>
          <w:lang w:eastAsia="fr-CH"/>
        </w:rPr>
        <w:t> </w:t>
      </w:r>
      <w:r w:rsidRPr="00D96063">
        <w:rPr>
          <w:color w:val="000000" w:themeColor="text1"/>
          <w:lang w:eastAsia="fr-CH"/>
        </w:rPr>
        <w:t>50 fee). Cameras installed at Ghana's entry and exit points, as well as inland transit check points, verify the integrity of transit vehicles and their loads. Among other measures, a joint interagency programme has been set up to tackle corruption and harassment, and thus remove barriers from the transit corridors.</w:t>
      </w:r>
    </w:p>
    <w:p w14:paraId="19DEE6E2" w14:textId="77777777" w:rsidR="00C15F2E" w:rsidRPr="00D96063" w:rsidRDefault="00C15F2E" w:rsidP="00560FD8">
      <w:pPr>
        <w:pStyle w:val="Heading4"/>
        <w:rPr>
          <w:rFonts w:eastAsia="Times New Roman"/>
        </w:rPr>
      </w:pPr>
      <w:bookmarkStart w:id="247" w:name="_Toc103607731"/>
      <w:r w:rsidRPr="00D96063">
        <w:rPr>
          <w:rFonts w:eastAsia="Times New Roman"/>
        </w:rPr>
        <w:t>Air transport</w:t>
      </w:r>
      <w:bookmarkEnd w:id="247"/>
    </w:p>
    <w:p w14:paraId="174C2161" w14:textId="712C40F1" w:rsidR="00C15F2E" w:rsidRPr="00D96063" w:rsidRDefault="00C15F2E" w:rsidP="003758E5">
      <w:pPr>
        <w:numPr>
          <w:ilvl w:val="6"/>
          <w:numId w:val="18"/>
        </w:numPr>
        <w:spacing w:after="240"/>
        <w:rPr>
          <w:color w:val="000000" w:themeColor="text1"/>
          <w:lang w:eastAsia="fr-CH"/>
        </w:rPr>
      </w:pPr>
      <w:r w:rsidRPr="00D96063">
        <w:rPr>
          <w:lang w:eastAsia="fr-CH"/>
        </w:rPr>
        <w:t xml:space="preserve">Air transport policy is under the responsibility of the Ministry of Transport, and the regulator is the Ghana Civil Aviation </w:t>
      </w:r>
      <w:r w:rsidRPr="00D96063">
        <w:rPr>
          <w:color w:val="000000" w:themeColor="text1"/>
          <w:lang w:eastAsia="fr-CH"/>
        </w:rPr>
        <w:t>Authority (GCAA), a semi-autonomous government agency operating under the Civil Aviation Act, 2004.</w:t>
      </w:r>
    </w:p>
    <w:p w14:paraId="5EA93F55" w14:textId="49C44EA8" w:rsidR="00C15F2E" w:rsidRPr="00D96063" w:rsidRDefault="00C15F2E" w:rsidP="003758E5">
      <w:pPr>
        <w:numPr>
          <w:ilvl w:val="6"/>
          <w:numId w:val="18"/>
        </w:numPr>
        <w:spacing w:after="240"/>
        <w:rPr>
          <w:snapToGrid w:val="0"/>
          <w:color w:val="000000" w:themeColor="text1"/>
        </w:rPr>
      </w:pPr>
      <w:r w:rsidRPr="00D96063">
        <w:rPr>
          <w:snapToGrid w:val="0"/>
          <w:color w:val="000000" w:themeColor="text1"/>
        </w:rPr>
        <w:t xml:space="preserve">Ghana is a signatory to the Yamoussoukro Declaration Concerning the Liberalization of Access to Air Transport Markets in Africa, which in principle covers the five first freedoms of the air. Ghana is also a party to the </w:t>
      </w:r>
      <w:r w:rsidRPr="00D96063">
        <w:rPr>
          <w:color w:val="000000" w:themeColor="text1"/>
        </w:rPr>
        <w:t>Banjul Accord Group Agreement, together with The Gambia, Sierra Leone, and Cabo Verde, an Agreement that does not contain further market access commitments relative to the Yamoussoukro Declaration.</w:t>
      </w:r>
    </w:p>
    <w:p w14:paraId="1DEF8975" w14:textId="77777777" w:rsidR="00C15F2E" w:rsidRPr="00D96063" w:rsidRDefault="00C15F2E" w:rsidP="003758E5">
      <w:pPr>
        <w:numPr>
          <w:ilvl w:val="6"/>
          <w:numId w:val="18"/>
        </w:numPr>
        <w:spacing w:after="240"/>
        <w:rPr>
          <w:snapToGrid w:val="0"/>
          <w:color w:val="000000" w:themeColor="text1"/>
        </w:rPr>
      </w:pPr>
      <w:r w:rsidRPr="00D96063">
        <w:rPr>
          <w:snapToGrid w:val="0"/>
          <w:color w:val="000000" w:themeColor="text1"/>
          <w:lang w:eastAsia="fr-CH"/>
        </w:rPr>
        <w:t>Most international flights (over 170 flights per week) to and from Ghana are handled by Accra's Kotoka International Airport (KIA), which is served by over 27</w:t>
      </w:r>
      <w:r w:rsidRPr="00D96063">
        <w:rPr>
          <w:b/>
          <w:bCs/>
          <w:snapToGrid w:val="0"/>
          <w:color w:val="000000" w:themeColor="text1"/>
          <w:lang w:eastAsia="fr-CH"/>
        </w:rPr>
        <w:t xml:space="preserve"> </w:t>
      </w:r>
      <w:r w:rsidRPr="00D96063">
        <w:rPr>
          <w:snapToGrid w:val="0"/>
          <w:color w:val="000000" w:themeColor="text1"/>
          <w:lang w:eastAsia="fr-CH"/>
        </w:rPr>
        <w:t xml:space="preserve">airlines. </w:t>
      </w:r>
      <w:r w:rsidRPr="00D96063">
        <w:rPr>
          <w:color w:val="000000" w:themeColor="text1"/>
          <w:lang w:eastAsia="fr-CH"/>
        </w:rPr>
        <w:t>The State holds a 70% stake in Ghana International Airlines.</w:t>
      </w:r>
    </w:p>
    <w:p w14:paraId="0978FE5C" w14:textId="0B0A50E3" w:rsidR="00C15F2E" w:rsidRPr="00D96063" w:rsidRDefault="00C15F2E" w:rsidP="003758E5">
      <w:pPr>
        <w:numPr>
          <w:ilvl w:val="6"/>
          <w:numId w:val="18"/>
        </w:numPr>
        <w:spacing w:after="240"/>
        <w:rPr>
          <w:snapToGrid w:val="0"/>
          <w:color w:val="000000" w:themeColor="text1"/>
        </w:rPr>
      </w:pPr>
      <w:r w:rsidRPr="00D96063">
        <w:rPr>
          <w:snapToGrid w:val="0"/>
          <w:color w:val="000000" w:themeColor="text1"/>
        </w:rPr>
        <w:t>Ghana has signed bilateral air transport agreements with 47 countries. These agreements normally cover the first four freedoms of the air and provide for allocation of traffic to national carriers from each party. In practice, several routes from Ghana to other countries are served by carriers from third countries (fifth freedom).</w:t>
      </w:r>
    </w:p>
    <w:p w14:paraId="01C2D363" w14:textId="77777777" w:rsidR="00C15F2E" w:rsidRPr="00D96063" w:rsidRDefault="00C15F2E" w:rsidP="003758E5">
      <w:pPr>
        <w:numPr>
          <w:ilvl w:val="6"/>
          <w:numId w:val="18"/>
        </w:numPr>
        <w:spacing w:after="240"/>
        <w:rPr>
          <w:lang w:eastAsia="fr-CH"/>
        </w:rPr>
      </w:pPr>
      <w:r w:rsidRPr="00D96063">
        <w:t xml:space="preserve">Airport management and development are under the responsibility of the state-owned Ghana Airports Company Limited. </w:t>
      </w:r>
      <w:r w:rsidRPr="00D96063">
        <w:rPr>
          <w:lang w:eastAsia="fr-CH"/>
        </w:rPr>
        <w:t xml:space="preserve">In addition, Ghana Airport Company Limited is mandated to plan, develop, manage, and maintain all aerodromes in Ghana and facilitate aircraft, passenger, cargo, and mail movements. </w:t>
      </w:r>
      <w:r w:rsidRPr="00D96063">
        <w:t>G</w:t>
      </w:r>
      <w:r w:rsidRPr="00D96063">
        <w:rPr>
          <w:snapToGrid w:val="0"/>
        </w:rPr>
        <w:t>round handling and catering airport services are carried out by private companies.</w:t>
      </w:r>
    </w:p>
    <w:p w14:paraId="2A3426C7" w14:textId="77777777" w:rsidR="00C15F2E" w:rsidRPr="00D96063" w:rsidRDefault="00C15F2E" w:rsidP="00560FD8">
      <w:pPr>
        <w:pStyle w:val="Heading3"/>
        <w:rPr>
          <w:rFonts w:eastAsia="Times New Roman"/>
        </w:rPr>
      </w:pPr>
      <w:bookmarkStart w:id="248" w:name="_Toc392845176"/>
      <w:bookmarkStart w:id="249" w:name="_Toc103607732"/>
      <w:r w:rsidRPr="00D96063">
        <w:t>Telecommunications</w:t>
      </w:r>
      <w:r w:rsidRPr="00D96063">
        <w:rPr>
          <w:rFonts w:eastAsia="Times New Roman"/>
        </w:rPr>
        <w:t xml:space="preserve"> services</w:t>
      </w:r>
      <w:bookmarkEnd w:id="248"/>
      <w:bookmarkEnd w:id="249"/>
    </w:p>
    <w:p w14:paraId="2DC06169" w14:textId="77777777" w:rsidR="00C15F2E" w:rsidRPr="00D96063" w:rsidRDefault="00C15F2E" w:rsidP="003758E5">
      <w:pPr>
        <w:numPr>
          <w:ilvl w:val="6"/>
          <w:numId w:val="31"/>
        </w:numPr>
        <w:spacing w:after="240"/>
        <w:rPr>
          <w:snapToGrid w:val="0"/>
        </w:rPr>
      </w:pPr>
      <w:bookmarkStart w:id="250" w:name="_Toc358097025"/>
      <w:bookmarkStart w:id="251" w:name="_Toc392845172"/>
      <w:r w:rsidRPr="00D96063">
        <w:t>Foreign companies dominate most segments of the ICT sector of Ghana</w:t>
      </w:r>
      <w:r w:rsidRPr="00D96063">
        <w:rPr>
          <w:snapToGrid w:val="0"/>
        </w:rPr>
        <w:t xml:space="preserve">. Ghana has made commitments regarding telecom services under the GATS, </w:t>
      </w:r>
      <w:r w:rsidRPr="00D96063">
        <w:t>and</w:t>
      </w:r>
      <w:r w:rsidRPr="00D96063">
        <w:rPr>
          <w:snapToGrid w:val="0"/>
        </w:rPr>
        <w:t xml:space="preserve"> in addition accepted the Fourth Protocol to the GATS. In 1997, Ghana endorsed the WTO Reference Paper on Regulatory Principles.</w:t>
      </w:r>
    </w:p>
    <w:p w14:paraId="4865BDB4" w14:textId="77777777" w:rsidR="00C15F2E" w:rsidRPr="00D96063" w:rsidRDefault="00C15F2E" w:rsidP="003758E5">
      <w:pPr>
        <w:numPr>
          <w:ilvl w:val="6"/>
          <w:numId w:val="31"/>
        </w:numPr>
        <w:spacing w:after="240"/>
      </w:pPr>
      <w:r w:rsidRPr="00D96063">
        <w:t>The ICT sector's contribution to GDP has continued to grow, from 2% in 2014 to 3.6% in 2020 (Table 1.1). Revenues from telecommunications services nearly doubled between 2018 and 2019, as Ghana witnessed the deployment of 4G technology and other major investments in infrastructure. Also, the COVID-19 pandemic compelled most companies to resort to their workforce working remotely via the Internet and through voice calls, thereby increasing usage of both mobile data and voice.</w:t>
      </w:r>
    </w:p>
    <w:p w14:paraId="022B83F4" w14:textId="77777777" w:rsidR="00C15F2E" w:rsidRPr="00D96063" w:rsidRDefault="00C15F2E" w:rsidP="003758E5">
      <w:pPr>
        <w:numPr>
          <w:ilvl w:val="6"/>
          <w:numId w:val="31"/>
        </w:numPr>
        <w:spacing w:after="240"/>
        <w:rPr>
          <w:specVanish/>
        </w:rPr>
      </w:pPr>
      <w:r w:rsidRPr="00D96063">
        <w:t>Mobile telecom services expanded strongly until 2018 (Table 4.17) and, in 2020, Ghana counted about 40 million customers of mobile phones, with many users holding several lines each. Most clients use a prepaid subscription. The mobile voice market is near its saturation point. In terms of subscription, the market has recorded negative growth of -0.2% in 2019 and -1% in 2020. However, the market continues to experience significant growth in traffic (both voice and data).</w:t>
      </w:r>
    </w:p>
    <w:p w14:paraId="5A71C7C9" w14:textId="77777777" w:rsidR="00C15F2E" w:rsidRPr="00D96063" w:rsidRDefault="00C15F2E" w:rsidP="003758E5">
      <w:pPr>
        <w:numPr>
          <w:ilvl w:val="6"/>
          <w:numId w:val="31"/>
        </w:numPr>
        <w:spacing w:after="240"/>
      </w:pPr>
      <w:r w:rsidRPr="00D96063">
        <w:t xml:space="preserve">In 2012, Ghana had six licensed operators: Scancom PLC (MTN), Airtel, Tigo, Vodafone, Glo, and Expresso. MTN, the largest operator in Ghana, maintained a steady growth of market shares. MTN currently holds 57% of the mobile voice market share in the country. Vodafone had 20.5% of the total market shares in 2012, and 22.9% in August 2021. Airtel and Tigo had 12.5% and 14.4% of total market shares, respectively, in 2012; in 2018, the two companies merged into AirtelTigo with a combined market share of 25.18% (18.1% market share in August 2021). Glo Mobile started operations in 2012 with a market share of 6.12%. There has been a steady decline in market shares of Glo Mobile over the years, reporting 2.05% as at August 2021. Finally, Expresso maintained the smallest market shares in Ghana from 2012 to 2017 until its licence was revoked in 2018. There are </w:t>
      </w:r>
      <w:r w:rsidRPr="00D96063">
        <w:lastRenderedPageBreak/>
        <w:t>thus four mobile operators in the market. The Government owns 100% of AirtelTigo. It also owns 30% of Vodafone Ghana Telecom, with Vodafone owning the other 70%. Foreign ownership stands at 85.4% for Scancom, and 100% for Glo.</w:t>
      </w:r>
    </w:p>
    <w:p w14:paraId="5A0A40F0" w14:textId="77777777" w:rsidR="00C15F2E" w:rsidRPr="00D96063" w:rsidRDefault="00C15F2E" w:rsidP="003758E5">
      <w:pPr>
        <w:numPr>
          <w:ilvl w:val="6"/>
          <w:numId w:val="31"/>
        </w:numPr>
        <w:spacing w:after="240"/>
      </w:pPr>
      <w:r w:rsidRPr="00D96063">
        <w:t>There were two fixed licensed operators in Ghana from 2012 to 2019, joined by MTN in 2020. Vodafone is the largest fixed operator with an increase in market share of 96% in 2018 to 97.6% in August 2021. AirtelTigo's market share declined from 2.4% in 2018 to 1% in August 2021, with MTN increasing its market shares from 0.5% in 2020 to 1.3% in August 2021.</w:t>
      </w:r>
    </w:p>
    <w:p w14:paraId="566A1CA4" w14:textId="5FE452E7" w:rsidR="00C15F2E" w:rsidRPr="00D96063" w:rsidRDefault="00C15F2E" w:rsidP="00560FD8">
      <w:pPr>
        <w:pStyle w:val="Caption"/>
        <w:keepLines/>
      </w:pPr>
      <w:bookmarkStart w:id="252" w:name="_Toc103607913"/>
      <w:r w:rsidRPr="00D96063">
        <w:t xml:space="preserve">Table </w:t>
      </w:r>
      <w:fldSimple w:instr=" STYLEREF 1 \s ">
        <w:r w:rsidR="004B63B1">
          <w:rPr>
            <w:noProof/>
          </w:rPr>
          <w:t>4</w:t>
        </w:r>
      </w:fldSimple>
      <w:r w:rsidR="00BF3184">
        <w:t>.</w:t>
      </w:r>
      <w:fldSimple w:instr=" SEQ Table \* ARABIC \s 1 ">
        <w:r w:rsidR="004B63B1">
          <w:rPr>
            <w:noProof/>
          </w:rPr>
          <w:t>17</w:t>
        </w:r>
      </w:fldSimple>
      <w:r w:rsidRPr="00D96063">
        <w:t xml:space="preserve"> Selected telecom indicators, 2014-20</w:t>
      </w:r>
      <w:bookmarkEnd w:id="252"/>
    </w:p>
    <w:tbl>
      <w:tblPr>
        <w:tblStyle w:val="WTOTable1"/>
        <w:tblW w:w="0" w:type="auto"/>
        <w:tblLayout w:type="fixed"/>
        <w:tblLook w:val="04A0" w:firstRow="1" w:lastRow="0" w:firstColumn="1" w:lastColumn="0" w:noHBand="0" w:noVBand="1"/>
      </w:tblPr>
      <w:tblGrid>
        <w:gridCol w:w="3256"/>
        <w:gridCol w:w="822"/>
        <w:gridCol w:w="823"/>
        <w:gridCol w:w="823"/>
        <w:gridCol w:w="823"/>
        <w:gridCol w:w="823"/>
        <w:gridCol w:w="823"/>
        <w:gridCol w:w="823"/>
      </w:tblGrid>
      <w:tr w:rsidR="00C15F2E" w:rsidRPr="00D96063" w14:paraId="1FA69AC9" w14:textId="77777777" w:rsidTr="00053198">
        <w:trPr>
          <w:cnfStyle w:val="100000000000" w:firstRow="1" w:lastRow="0" w:firstColumn="0" w:lastColumn="0" w:oddVBand="0" w:evenVBand="0" w:oddHBand="0" w:evenHBand="0" w:firstRowFirstColumn="0" w:firstRowLastColumn="0" w:lastRowFirstColumn="0" w:lastRowLastColumn="0"/>
          <w:tblHeader/>
        </w:trPr>
        <w:tc>
          <w:tcPr>
            <w:tcW w:w="3256" w:type="dxa"/>
            <w:hideMark/>
          </w:tcPr>
          <w:p w14:paraId="3FD9972B" w14:textId="77777777" w:rsidR="00C15F2E" w:rsidRPr="00D96063" w:rsidRDefault="00C15F2E" w:rsidP="00560FD8">
            <w:pPr>
              <w:keepNext/>
              <w:keepLines/>
              <w:jc w:val="center"/>
              <w:rPr>
                <w:rFonts w:cs="Calibri"/>
                <w:sz w:val="16"/>
                <w:szCs w:val="16"/>
              </w:rPr>
            </w:pPr>
          </w:p>
        </w:tc>
        <w:tc>
          <w:tcPr>
            <w:tcW w:w="822" w:type="dxa"/>
            <w:noWrap/>
            <w:hideMark/>
          </w:tcPr>
          <w:p w14:paraId="1989336D" w14:textId="77777777" w:rsidR="00C15F2E" w:rsidRPr="00D96063" w:rsidRDefault="00C15F2E" w:rsidP="00560FD8">
            <w:pPr>
              <w:keepNext/>
              <w:keepLines/>
              <w:jc w:val="center"/>
              <w:rPr>
                <w:rFonts w:cs="Calibri"/>
                <w:sz w:val="16"/>
                <w:szCs w:val="16"/>
              </w:rPr>
            </w:pPr>
            <w:r w:rsidRPr="00D96063">
              <w:rPr>
                <w:rFonts w:cs="Calibri"/>
                <w:sz w:val="16"/>
                <w:szCs w:val="16"/>
              </w:rPr>
              <w:t>2014</w:t>
            </w:r>
          </w:p>
        </w:tc>
        <w:tc>
          <w:tcPr>
            <w:tcW w:w="823" w:type="dxa"/>
            <w:noWrap/>
            <w:hideMark/>
          </w:tcPr>
          <w:p w14:paraId="3F86982A" w14:textId="77777777" w:rsidR="00C15F2E" w:rsidRPr="00D96063" w:rsidRDefault="00C15F2E" w:rsidP="00560FD8">
            <w:pPr>
              <w:keepNext/>
              <w:keepLines/>
              <w:jc w:val="center"/>
              <w:rPr>
                <w:rFonts w:cs="Calibri"/>
                <w:sz w:val="16"/>
                <w:szCs w:val="16"/>
              </w:rPr>
            </w:pPr>
            <w:r w:rsidRPr="00D96063">
              <w:rPr>
                <w:rFonts w:cs="Calibri"/>
                <w:sz w:val="16"/>
                <w:szCs w:val="16"/>
              </w:rPr>
              <w:t>2015</w:t>
            </w:r>
          </w:p>
        </w:tc>
        <w:tc>
          <w:tcPr>
            <w:tcW w:w="823" w:type="dxa"/>
            <w:noWrap/>
            <w:hideMark/>
          </w:tcPr>
          <w:p w14:paraId="29886C9C" w14:textId="77777777" w:rsidR="00C15F2E" w:rsidRPr="00D96063" w:rsidRDefault="00C15F2E" w:rsidP="00560FD8">
            <w:pPr>
              <w:keepNext/>
              <w:keepLines/>
              <w:jc w:val="center"/>
              <w:rPr>
                <w:rFonts w:cs="Calibri"/>
                <w:sz w:val="16"/>
                <w:szCs w:val="16"/>
              </w:rPr>
            </w:pPr>
            <w:r w:rsidRPr="00D96063">
              <w:rPr>
                <w:rFonts w:cs="Calibri"/>
                <w:sz w:val="16"/>
                <w:szCs w:val="16"/>
              </w:rPr>
              <w:t>2016</w:t>
            </w:r>
          </w:p>
        </w:tc>
        <w:tc>
          <w:tcPr>
            <w:tcW w:w="823" w:type="dxa"/>
            <w:noWrap/>
            <w:hideMark/>
          </w:tcPr>
          <w:p w14:paraId="71BB5EFB" w14:textId="77777777" w:rsidR="00C15F2E" w:rsidRPr="00D96063" w:rsidRDefault="00C15F2E" w:rsidP="00560FD8">
            <w:pPr>
              <w:keepNext/>
              <w:keepLines/>
              <w:jc w:val="center"/>
              <w:rPr>
                <w:rFonts w:cs="Calibri"/>
                <w:sz w:val="16"/>
                <w:szCs w:val="16"/>
              </w:rPr>
            </w:pPr>
            <w:r w:rsidRPr="00D96063">
              <w:rPr>
                <w:rFonts w:cs="Calibri"/>
                <w:sz w:val="16"/>
                <w:szCs w:val="16"/>
              </w:rPr>
              <w:t>2017</w:t>
            </w:r>
          </w:p>
        </w:tc>
        <w:tc>
          <w:tcPr>
            <w:tcW w:w="823" w:type="dxa"/>
            <w:noWrap/>
            <w:hideMark/>
          </w:tcPr>
          <w:p w14:paraId="3C37B9DF" w14:textId="77777777" w:rsidR="00C15F2E" w:rsidRPr="00D96063" w:rsidRDefault="00C15F2E" w:rsidP="00560FD8">
            <w:pPr>
              <w:keepNext/>
              <w:keepLines/>
              <w:jc w:val="center"/>
              <w:rPr>
                <w:rFonts w:cs="Calibri"/>
                <w:sz w:val="16"/>
                <w:szCs w:val="16"/>
              </w:rPr>
            </w:pPr>
            <w:r w:rsidRPr="00D96063">
              <w:rPr>
                <w:rFonts w:cs="Calibri"/>
                <w:sz w:val="16"/>
                <w:szCs w:val="16"/>
              </w:rPr>
              <w:t>2018</w:t>
            </w:r>
          </w:p>
        </w:tc>
        <w:tc>
          <w:tcPr>
            <w:tcW w:w="823" w:type="dxa"/>
            <w:noWrap/>
            <w:hideMark/>
          </w:tcPr>
          <w:p w14:paraId="40E26F10" w14:textId="77777777" w:rsidR="00C15F2E" w:rsidRPr="00D96063" w:rsidRDefault="00C15F2E" w:rsidP="00560FD8">
            <w:pPr>
              <w:keepNext/>
              <w:keepLines/>
              <w:jc w:val="center"/>
              <w:rPr>
                <w:rFonts w:cs="Calibri"/>
                <w:sz w:val="16"/>
                <w:szCs w:val="16"/>
              </w:rPr>
            </w:pPr>
            <w:r w:rsidRPr="00D96063">
              <w:rPr>
                <w:rFonts w:cs="Calibri"/>
                <w:sz w:val="16"/>
                <w:szCs w:val="16"/>
              </w:rPr>
              <w:t>2019</w:t>
            </w:r>
          </w:p>
        </w:tc>
        <w:tc>
          <w:tcPr>
            <w:tcW w:w="823" w:type="dxa"/>
            <w:noWrap/>
            <w:hideMark/>
          </w:tcPr>
          <w:p w14:paraId="49CB847D" w14:textId="77777777" w:rsidR="00C15F2E" w:rsidRPr="00D96063" w:rsidRDefault="00C15F2E" w:rsidP="00560FD8">
            <w:pPr>
              <w:keepNext/>
              <w:keepLines/>
              <w:jc w:val="center"/>
              <w:rPr>
                <w:rFonts w:cs="Calibri"/>
                <w:sz w:val="16"/>
                <w:szCs w:val="16"/>
              </w:rPr>
            </w:pPr>
            <w:r w:rsidRPr="00D96063">
              <w:rPr>
                <w:rFonts w:cs="Calibri"/>
                <w:sz w:val="16"/>
                <w:szCs w:val="16"/>
              </w:rPr>
              <w:t>2020</w:t>
            </w:r>
          </w:p>
        </w:tc>
      </w:tr>
      <w:tr w:rsidR="00C15F2E" w:rsidRPr="00D96063" w14:paraId="6096402C" w14:textId="77777777" w:rsidTr="00053198">
        <w:tc>
          <w:tcPr>
            <w:tcW w:w="3256" w:type="dxa"/>
          </w:tcPr>
          <w:p w14:paraId="558CCFA9" w14:textId="77777777" w:rsidR="00C15F2E" w:rsidRPr="00D96063" w:rsidRDefault="00C15F2E" w:rsidP="00560FD8">
            <w:pPr>
              <w:keepNext/>
              <w:keepLines/>
              <w:jc w:val="left"/>
              <w:rPr>
                <w:rFonts w:cs="Calibri"/>
                <w:b/>
                <w:bCs/>
                <w:sz w:val="16"/>
                <w:szCs w:val="16"/>
              </w:rPr>
            </w:pPr>
            <w:r w:rsidRPr="00D96063">
              <w:rPr>
                <w:rFonts w:cs="Calibri"/>
                <w:sz w:val="16"/>
                <w:szCs w:val="16"/>
              </w:rPr>
              <w:t>Total revenues from telecom services (USD million)</w:t>
            </w:r>
          </w:p>
        </w:tc>
        <w:tc>
          <w:tcPr>
            <w:tcW w:w="822" w:type="dxa"/>
            <w:noWrap/>
          </w:tcPr>
          <w:p w14:paraId="16075A8B" w14:textId="77777777" w:rsidR="00C15F2E" w:rsidRPr="00D96063" w:rsidRDefault="00C15F2E" w:rsidP="00560FD8">
            <w:pPr>
              <w:keepNext/>
              <w:keepLines/>
              <w:jc w:val="right"/>
              <w:rPr>
                <w:sz w:val="16"/>
              </w:rPr>
            </w:pPr>
            <w:r w:rsidRPr="00D96063">
              <w:rPr>
                <w:rFonts w:cs="Calibri"/>
                <w:sz w:val="16"/>
                <w:szCs w:val="16"/>
              </w:rPr>
              <w:t>..</w:t>
            </w:r>
          </w:p>
        </w:tc>
        <w:tc>
          <w:tcPr>
            <w:tcW w:w="823" w:type="dxa"/>
            <w:noWrap/>
          </w:tcPr>
          <w:p w14:paraId="3329394C" w14:textId="77777777" w:rsidR="00C15F2E" w:rsidRPr="00D96063" w:rsidRDefault="00C15F2E" w:rsidP="00560FD8">
            <w:pPr>
              <w:keepNext/>
              <w:keepLines/>
              <w:jc w:val="right"/>
              <w:rPr>
                <w:sz w:val="16"/>
              </w:rPr>
            </w:pPr>
            <w:r w:rsidRPr="00D96063">
              <w:rPr>
                <w:rFonts w:cs="Calibri"/>
                <w:sz w:val="16"/>
                <w:szCs w:val="16"/>
              </w:rPr>
              <w:t>..</w:t>
            </w:r>
          </w:p>
        </w:tc>
        <w:tc>
          <w:tcPr>
            <w:tcW w:w="823" w:type="dxa"/>
            <w:noWrap/>
          </w:tcPr>
          <w:p w14:paraId="4F87F84B" w14:textId="77777777" w:rsidR="00C15F2E" w:rsidRPr="00D96063" w:rsidRDefault="00C15F2E" w:rsidP="00560FD8">
            <w:pPr>
              <w:keepNext/>
              <w:keepLines/>
              <w:jc w:val="right"/>
              <w:rPr>
                <w:sz w:val="16"/>
              </w:rPr>
            </w:pPr>
            <w:r w:rsidRPr="00D96063">
              <w:rPr>
                <w:rFonts w:cs="Calibri"/>
                <w:sz w:val="16"/>
                <w:szCs w:val="16"/>
              </w:rPr>
              <w:t>..</w:t>
            </w:r>
          </w:p>
        </w:tc>
        <w:tc>
          <w:tcPr>
            <w:tcW w:w="823" w:type="dxa"/>
            <w:noWrap/>
          </w:tcPr>
          <w:p w14:paraId="2E4D2D5D" w14:textId="77777777" w:rsidR="00C15F2E" w:rsidRPr="00D96063" w:rsidRDefault="00C15F2E" w:rsidP="00560FD8">
            <w:pPr>
              <w:keepNext/>
              <w:keepLines/>
              <w:jc w:val="right"/>
              <w:rPr>
                <w:sz w:val="16"/>
              </w:rPr>
            </w:pPr>
            <w:r w:rsidRPr="00D96063">
              <w:rPr>
                <w:rFonts w:cs="Calibri"/>
                <w:sz w:val="16"/>
                <w:szCs w:val="16"/>
              </w:rPr>
              <w:t>1,268</w:t>
            </w:r>
          </w:p>
        </w:tc>
        <w:tc>
          <w:tcPr>
            <w:tcW w:w="823" w:type="dxa"/>
            <w:noWrap/>
          </w:tcPr>
          <w:p w14:paraId="61D213A3" w14:textId="77777777" w:rsidR="00C15F2E" w:rsidRPr="00D96063" w:rsidRDefault="00C15F2E" w:rsidP="00560FD8">
            <w:pPr>
              <w:keepNext/>
              <w:keepLines/>
              <w:jc w:val="right"/>
              <w:rPr>
                <w:sz w:val="16"/>
              </w:rPr>
            </w:pPr>
            <w:r w:rsidRPr="00D96063">
              <w:rPr>
                <w:rFonts w:cs="Calibri"/>
                <w:sz w:val="16"/>
                <w:szCs w:val="16"/>
              </w:rPr>
              <w:t>1,287</w:t>
            </w:r>
          </w:p>
        </w:tc>
        <w:tc>
          <w:tcPr>
            <w:tcW w:w="823" w:type="dxa"/>
            <w:noWrap/>
          </w:tcPr>
          <w:p w14:paraId="53483FA9" w14:textId="77777777" w:rsidR="00C15F2E" w:rsidRPr="00D96063" w:rsidRDefault="00C15F2E" w:rsidP="00560FD8">
            <w:pPr>
              <w:keepNext/>
              <w:keepLines/>
              <w:jc w:val="right"/>
              <w:rPr>
                <w:sz w:val="16"/>
              </w:rPr>
            </w:pPr>
            <w:r w:rsidRPr="00D96063">
              <w:rPr>
                <w:rFonts w:cs="Calibri"/>
                <w:sz w:val="16"/>
                <w:szCs w:val="16"/>
              </w:rPr>
              <w:t>2,390</w:t>
            </w:r>
          </w:p>
        </w:tc>
        <w:tc>
          <w:tcPr>
            <w:tcW w:w="823" w:type="dxa"/>
            <w:noWrap/>
          </w:tcPr>
          <w:p w14:paraId="15BF225E" w14:textId="77777777" w:rsidR="00C15F2E" w:rsidRPr="00D96063" w:rsidRDefault="00C15F2E" w:rsidP="00560FD8">
            <w:pPr>
              <w:keepNext/>
              <w:keepLines/>
              <w:jc w:val="right"/>
              <w:rPr>
                <w:sz w:val="16"/>
              </w:rPr>
            </w:pPr>
            <w:r w:rsidRPr="00D96063">
              <w:rPr>
                <w:rFonts w:cs="Calibri"/>
                <w:sz w:val="16"/>
                <w:szCs w:val="16"/>
              </w:rPr>
              <w:t>..</w:t>
            </w:r>
          </w:p>
        </w:tc>
      </w:tr>
      <w:tr w:rsidR="00C15F2E" w:rsidRPr="00D96063" w14:paraId="30BD8B3E" w14:textId="77777777" w:rsidTr="00053198">
        <w:trPr>
          <w:cnfStyle w:val="000000010000" w:firstRow="0" w:lastRow="0" w:firstColumn="0" w:lastColumn="0" w:oddVBand="0" w:evenVBand="0" w:oddHBand="0" w:evenHBand="1" w:firstRowFirstColumn="0" w:firstRowLastColumn="0" w:lastRowFirstColumn="0" w:lastRowLastColumn="0"/>
        </w:trPr>
        <w:tc>
          <w:tcPr>
            <w:tcW w:w="3256" w:type="dxa"/>
          </w:tcPr>
          <w:p w14:paraId="7F28B185" w14:textId="77777777" w:rsidR="00C15F2E" w:rsidRPr="00D96063" w:rsidRDefault="00C15F2E" w:rsidP="00560FD8">
            <w:pPr>
              <w:keepNext/>
              <w:keepLines/>
              <w:jc w:val="left"/>
              <w:rPr>
                <w:rFonts w:cs="Calibri"/>
                <w:b/>
                <w:bCs/>
                <w:sz w:val="16"/>
                <w:szCs w:val="16"/>
              </w:rPr>
            </w:pPr>
            <w:r w:rsidRPr="00D96063">
              <w:rPr>
                <w:rFonts w:cs="Calibri"/>
                <w:sz w:val="16"/>
                <w:szCs w:val="16"/>
              </w:rPr>
              <w:t>Revenue from mobile networks (USD million)</w:t>
            </w:r>
          </w:p>
        </w:tc>
        <w:tc>
          <w:tcPr>
            <w:tcW w:w="822" w:type="dxa"/>
            <w:noWrap/>
          </w:tcPr>
          <w:p w14:paraId="572F3DD7" w14:textId="77777777" w:rsidR="00C15F2E" w:rsidRPr="00D96063" w:rsidRDefault="00C15F2E" w:rsidP="00560FD8">
            <w:pPr>
              <w:keepNext/>
              <w:keepLines/>
              <w:jc w:val="right"/>
              <w:rPr>
                <w:sz w:val="16"/>
              </w:rPr>
            </w:pPr>
            <w:r w:rsidRPr="00D96063">
              <w:rPr>
                <w:rFonts w:cs="Calibri"/>
                <w:sz w:val="16"/>
                <w:szCs w:val="16"/>
              </w:rPr>
              <w:t>..</w:t>
            </w:r>
          </w:p>
        </w:tc>
        <w:tc>
          <w:tcPr>
            <w:tcW w:w="823" w:type="dxa"/>
            <w:noWrap/>
          </w:tcPr>
          <w:p w14:paraId="4A644B21" w14:textId="77777777" w:rsidR="00C15F2E" w:rsidRPr="00D96063" w:rsidRDefault="00C15F2E" w:rsidP="00560FD8">
            <w:pPr>
              <w:keepNext/>
              <w:keepLines/>
              <w:jc w:val="right"/>
              <w:rPr>
                <w:sz w:val="16"/>
              </w:rPr>
            </w:pPr>
            <w:r w:rsidRPr="00D96063">
              <w:rPr>
                <w:rFonts w:cs="Calibri"/>
                <w:sz w:val="16"/>
                <w:szCs w:val="16"/>
              </w:rPr>
              <w:t>1,053</w:t>
            </w:r>
          </w:p>
        </w:tc>
        <w:tc>
          <w:tcPr>
            <w:tcW w:w="823" w:type="dxa"/>
            <w:noWrap/>
          </w:tcPr>
          <w:p w14:paraId="04A30BA8" w14:textId="77777777" w:rsidR="00C15F2E" w:rsidRPr="00D96063" w:rsidRDefault="00C15F2E" w:rsidP="00560FD8">
            <w:pPr>
              <w:keepNext/>
              <w:keepLines/>
              <w:jc w:val="right"/>
              <w:rPr>
                <w:sz w:val="16"/>
              </w:rPr>
            </w:pPr>
            <w:r w:rsidRPr="00D96063">
              <w:rPr>
                <w:rFonts w:cs="Calibri"/>
                <w:sz w:val="16"/>
                <w:szCs w:val="16"/>
              </w:rPr>
              <w:t>..</w:t>
            </w:r>
          </w:p>
        </w:tc>
        <w:tc>
          <w:tcPr>
            <w:tcW w:w="823" w:type="dxa"/>
            <w:noWrap/>
          </w:tcPr>
          <w:p w14:paraId="7E02D743" w14:textId="77777777" w:rsidR="00C15F2E" w:rsidRPr="00D96063" w:rsidRDefault="00C15F2E" w:rsidP="00560FD8">
            <w:pPr>
              <w:keepNext/>
              <w:keepLines/>
              <w:jc w:val="right"/>
              <w:rPr>
                <w:sz w:val="16"/>
              </w:rPr>
            </w:pPr>
            <w:r w:rsidRPr="00D96063">
              <w:rPr>
                <w:rFonts w:cs="Calibri"/>
                <w:sz w:val="16"/>
                <w:szCs w:val="16"/>
              </w:rPr>
              <w:t>943</w:t>
            </w:r>
          </w:p>
        </w:tc>
        <w:tc>
          <w:tcPr>
            <w:tcW w:w="823" w:type="dxa"/>
            <w:noWrap/>
          </w:tcPr>
          <w:p w14:paraId="4E091E20" w14:textId="77777777" w:rsidR="00C15F2E" w:rsidRPr="00D96063" w:rsidRDefault="00C15F2E" w:rsidP="00560FD8">
            <w:pPr>
              <w:keepNext/>
              <w:keepLines/>
              <w:jc w:val="right"/>
              <w:rPr>
                <w:sz w:val="16"/>
              </w:rPr>
            </w:pPr>
            <w:r w:rsidRPr="00D96063">
              <w:rPr>
                <w:rFonts w:cs="Calibri"/>
                <w:sz w:val="16"/>
                <w:szCs w:val="16"/>
              </w:rPr>
              <w:t>946</w:t>
            </w:r>
          </w:p>
        </w:tc>
        <w:tc>
          <w:tcPr>
            <w:tcW w:w="823" w:type="dxa"/>
            <w:noWrap/>
          </w:tcPr>
          <w:p w14:paraId="4ED583F8" w14:textId="77777777" w:rsidR="00C15F2E" w:rsidRPr="00D96063" w:rsidRDefault="00C15F2E" w:rsidP="00560FD8">
            <w:pPr>
              <w:keepNext/>
              <w:keepLines/>
              <w:jc w:val="right"/>
              <w:rPr>
                <w:sz w:val="16"/>
              </w:rPr>
            </w:pPr>
            <w:r w:rsidRPr="00D96063">
              <w:rPr>
                <w:rFonts w:cs="Calibri"/>
                <w:sz w:val="16"/>
                <w:szCs w:val="16"/>
              </w:rPr>
              <w:t>993</w:t>
            </w:r>
          </w:p>
        </w:tc>
        <w:tc>
          <w:tcPr>
            <w:tcW w:w="823" w:type="dxa"/>
            <w:noWrap/>
          </w:tcPr>
          <w:p w14:paraId="7034B2D5" w14:textId="77777777" w:rsidR="00C15F2E" w:rsidRPr="00D96063" w:rsidRDefault="00C15F2E" w:rsidP="00560FD8">
            <w:pPr>
              <w:keepNext/>
              <w:keepLines/>
              <w:jc w:val="right"/>
              <w:rPr>
                <w:sz w:val="16"/>
              </w:rPr>
            </w:pPr>
            <w:r w:rsidRPr="00D96063">
              <w:rPr>
                <w:rFonts w:cs="Calibri"/>
                <w:sz w:val="16"/>
                <w:szCs w:val="16"/>
              </w:rPr>
              <w:t>1,315</w:t>
            </w:r>
          </w:p>
        </w:tc>
      </w:tr>
      <w:tr w:rsidR="00C15F2E" w:rsidRPr="00D96063" w14:paraId="198882A0" w14:textId="77777777" w:rsidTr="00053198">
        <w:tc>
          <w:tcPr>
            <w:tcW w:w="3256" w:type="dxa"/>
          </w:tcPr>
          <w:p w14:paraId="729398B8" w14:textId="77777777" w:rsidR="00C15F2E" w:rsidRPr="00D96063" w:rsidRDefault="00C15F2E" w:rsidP="00560FD8">
            <w:pPr>
              <w:keepNext/>
              <w:keepLines/>
              <w:jc w:val="left"/>
              <w:rPr>
                <w:rFonts w:cs="Calibri"/>
                <w:b/>
                <w:bCs/>
                <w:sz w:val="16"/>
                <w:szCs w:val="16"/>
              </w:rPr>
            </w:pPr>
            <w:r w:rsidRPr="00D96063">
              <w:rPr>
                <w:rFonts w:cs="Calibri"/>
                <w:sz w:val="16"/>
                <w:szCs w:val="16"/>
              </w:rPr>
              <w:t>Annual investment in telecom services (USD million)</w:t>
            </w:r>
          </w:p>
        </w:tc>
        <w:tc>
          <w:tcPr>
            <w:tcW w:w="822" w:type="dxa"/>
            <w:noWrap/>
          </w:tcPr>
          <w:p w14:paraId="2356CAD3" w14:textId="77777777" w:rsidR="00C15F2E" w:rsidRPr="00D96063" w:rsidRDefault="00C15F2E" w:rsidP="00560FD8">
            <w:pPr>
              <w:keepNext/>
              <w:keepLines/>
              <w:jc w:val="right"/>
              <w:rPr>
                <w:sz w:val="16"/>
                <w:szCs w:val="16"/>
              </w:rPr>
            </w:pPr>
            <w:r w:rsidRPr="00D96063">
              <w:rPr>
                <w:sz w:val="16"/>
                <w:szCs w:val="16"/>
              </w:rPr>
              <w:t>..</w:t>
            </w:r>
          </w:p>
        </w:tc>
        <w:tc>
          <w:tcPr>
            <w:tcW w:w="823" w:type="dxa"/>
            <w:noWrap/>
          </w:tcPr>
          <w:p w14:paraId="53AFBD6B" w14:textId="77777777" w:rsidR="00C15F2E" w:rsidRPr="00D96063" w:rsidRDefault="00C15F2E" w:rsidP="00560FD8">
            <w:pPr>
              <w:keepNext/>
              <w:keepLines/>
              <w:jc w:val="right"/>
              <w:rPr>
                <w:sz w:val="16"/>
                <w:szCs w:val="16"/>
              </w:rPr>
            </w:pPr>
            <w:r w:rsidRPr="00D96063">
              <w:rPr>
                <w:sz w:val="16"/>
                <w:szCs w:val="16"/>
              </w:rPr>
              <w:t>..</w:t>
            </w:r>
          </w:p>
        </w:tc>
        <w:tc>
          <w:tcPr>
            <w:tcW w:w="823" w:type="dxa"/>
            <w:noWrap/>
          </w:tcPr>
          <w:p w14:paraId="180297A0" w14:textId="77777777" w:rsidR="00C15F2E" w:rsidRPr="00D96063" w:rsidRDefault="00C15F2E" w:rsidP="00560FD8">
            <w:pPr>
              <w:keepNext/>
              <w:keepLines/>
              <w:jc w:val="right"/>
              <w:rPr>
                <w:sz w:val="16"/>
                <w:szCs w:val="16"/>
              </w:rPr>
            </w:pPr>
            <w:r w:rsidRPr="00D96063">
              <w:rPr>
                <w:sz w:val="16"/>
                <w:szCs w:val="16"/>
              </w:rPr>
              <w:t>..</w:t>
            </w:r>
          </w:p>
        </w:tc>
        <w:tc>
          <w:tcPr>
            <w:tcW w:w="823" w:type="dxa"/>
            <w:noWrap/>
          </w:tcPr>
          <w:p w14:paraId="367FA23A" w14:textId="77777777" w:rsidR="00C15F2E" w:rsidRPr="00D96063" w:rsidRDefault="00C15F2E" w:rsidP="00560FD8">
            <w:pPr>
              <w:keepNext/>
              <w:keepLines/>
              <w:jc w:val="right"/>
              <w:rPr>
                <w:sz w:val="16"/>
                <w:szCs w:val="16"/>
              </w:rPr>
            </w:pPr>
            <w:r w:rsidRPr="00D96063">
              <w:rPr>
                <w:rFonts w:cs="Calibri"/>
                <w:sz w:val="16"/>
                <w:szCs w:val="16"/>
              </w:rPr>
              <w:t>335.0</w:t>
            </w:r>
          </w:p>
        </w:tc>
        <w:tc>
          <w:tcPr>
            <w:tcW w:w="823" w:type="dxa"/>
            <w:noWrap/>
          </w:tcPr>
          <w:p w14:paraId="597F6163" w14:textId="77777777" w:rsidR="00C15F2E" w:rsidRPr="00D96063" w:rsidRDefault="00C15F2E" w:rsidP="00560FD8">
            <w:pPr>
              <w:keepNext/>
              <w:keepLines/>
              <w:jc w:val="right"/>
              <w:rPr>
                <w:sz w:val="16"/>
                <w:szCs w:val="16"/>
              </w:rPr>
            </w:pPr>
            <w:r w:rsidRPr="00D96063">
              <w:rPr>
                <w:rFonts w:cs="Calibri"/>
                <w:sz w:val="16"/>
                <w:szCs w:val="16"/>
              </w:rPr>
              <w:t>393.8</w:t>
            </w:r>
          </w:p>
        </w:tc>
        <w:tc>
          <w:tcPr>
            <w:tcW w:w="823" w:type="dxa"/>
            <w:noWrap/>
          </w:tcPr>
          <w:p w14:paraId="06C7F666" w14:textId="77777777" w:rsidR="00C15F2E" w:rsidRPr="00D96063" w:rsidRDefault="00C15F2E" w:rsidP="00560FD8">
            <w:pPr>
              <w:keepNext/>
              <w:keepLines/>
              <w:jc w:val="right"/>
              <w:rPr>
                <w:sz w:val="16"/>
                <w:szCs w:val="16"/>
              </w:rPr>
            </w:pPr>
            <w:r w:rsidRPr="00D96063">
              <w:rPr>
                <w:rFonts w:cs="Calibri"/>
                <w:sz w:val="16"/>
                <w:szCs w:val="16"/>
              </w:rPr>
              <w:t>136.8</w:t>
            </w:r>
          </w:p>
        </w:tc>
        <w:tc>
          <w:tcPr>
            <w:tcW w:w="823" w:type="dxa"/>
            <w:noWrap/>
          </w:tcPr>
          <w:p w14:paraId="40445BF4" w14:textId="77777777" w:rsidR="00C15F2E" w:rsidRPr="00D96063" w:rsidRDefault="00C15F2E" w:rsidP="00560FD8">
            <w:pPr>
              <w:keepNext/>
              <w:keepLines/>
              <w:jc w:val="right"/>
              <w:rPr>
                <w:sz w:val="16"/>
                <w:szCs w:val="16"/>
              </w:rPr>
            </w:pPr>
            <w:r w:rsidRPr="00D96063">
              <w:rPr>
                <w:rFonts w:cs="Calibri"/>
                <w:sz w:val="16"/>
                <w:szCs w:val="16"/>
              </w:rPr>
              <w:t>..</w:t>
            </w:r>
          </w:p>
        </w:tc>
      </w:tr>
      <w:tr w:rsidR="00C15F2E" w:rsidRPr="00D96063" w14:paraId="0618474F" w14:textId="77777777" w:rsidTr="00053198">
        <w:trPr>
          <w:cnfStyle w:val="000000010000" w:firstRow="0" w:lastRow="0" w:firstColumn="0" w:lastColumn="0" w:oddVBand="0" w:evenVBand="0" w:oddHBand="0" w:evenHBand="1" w:firstRowFirstColumn="0" w:firstRowLastColumn="0" w:lastRowFirstColumn="0" w:lastRowLastColumn="0"/>
        </w:trPr>
        <w:tc>
          <w:tcPr>
            <w:tcW w:w="3256" w:type="dxa"/>
          </w:tcPr>
          <w:p w14:paraId="2507E594" w14:textId="77777777" w:rsidR="00C15F2E" w:rsidRPr="00D96063" w:rsidRDefault="00C15F2E" w:rsidP="00560FD8">
            <w:pPr>
              <w:keepNext/>
              <w:keepLines/>
              <w:jc w:val="left"/>
              <w:rPr>
                <w:rFonts w:cs="Calibri"/>
                <w:b/>
                <w:bCs/>
                <w:sz w:val="16"/>
                <w:szCs w:val="16"/>
              </w:rPr>
            </w:pPr>
            <w:r w:rsidRPr="00D96063">
              <w:rPr>
                <w:rFonts w:cs="Calibri"/>
                <w:b/>
                <w:bCs/>
                <w:sz w:val="16"/>
                <w:szCs w:val="16"/>
              </w:rPr>
              <w:t>Fixed-line service providers</w:t>
            </w:r>
          </w:p>
        </w:tc>
        <w:tc>
          <w:tcPr>
            <w:tcW w:w="822" w:type="dxa"/>
            <w:noWrap/>
          </w:tcPr>
          <w:p w14:paraId="3AFF341C" w14:textId="77777777" w:rsidR="00C15F2E" w:rsidRPr="00D96063" w:rsidRDefault="00C15F2E" w:rsidP="00560FD8">
            <w:pPr>
              <w:keepNext/>
              <w:keepLines/>
              <w:jc w:val="right"/>
              <w:rPr>
                <w:rFonts w:cs="Calibri"/>
                <w:sz w:val="16"/>
                <w:szCs w:val="16"/>
              </w:rPr>
            </w:pPr>
            <w:r w:rsidRPr="00D96063">
              <w:rPr>
                <w:rFonts w:cs="Calibri"/>
                <w:sz w:val="16"/>
                <w:szCs w:val="16"/>
              </w:rPr>
              <w:t>2</w:t>
            </w:r>
          </w:p>
        </w:tc>
        <w:tc>
          <w:tcPr>
            <w:tcW w:w="823" w:type="dxa"/>
            <w:noWrap/>
          </w:tcPr>
          <w:p w14:paraId="6B7EEBBD" w14:textId="77777777" w:rsidR="00C15F2E" w:rsidRPr="00D96063" w:rsidRDefault="00C15F2E" w:rsidP="00560FD8">
            <w:pPr>
              <w:keepNext/>
              <w:keepLines/>
              <w:jc w:val="right"/>
              <w:rPr>
                <w:rFonts w:cs="Calibri"/>
                <w:sz w:val="16"/>
                <w:szCs w:val="16"/>
              </w:rPr>
            </w:pPr>
            <w:r w:rsidRPr="00D96063">
              <w:rPr>
                <w:rFonts w:cs="Calibri"/>
                <w:sz w:val="16"/>
                <w:szCs w:val="16"/>
              </w:rPr>
              <w:t>2</w:t>
            </w:r>
          </w:p>
        </w:tc>
        <w:tc>
          <w:tcPr>
            <w:tcW w:w="823" w:type="dxa"/>
            <w:noWrap/>
          </w:tcPr>
          <w:p w14:paraId="7F269C21" w14:textId="77777777" w:rsidR="00C15F2E" w:rsidRPr="00D96063" w:rsidRDefault="00C15F2E" w:rsidP="00560FD8">
            <w:pPr>
              <w:keepNext/>
              <w:keepLines/>
              <w:jc w:val="right"/>
              <w:rPr>
                <w:rFonts w:cs="Calibri"/>
                <w:sz w:val="16"/>
                <w:szCs w:val="16"/>
              </w:rPr>
            </w:pPr>
            <w:r w:rsidRPr="00D96063">
              <w:rPr>
                <w:rFonts w:cs="Calibri"/>
                <w:sz w:val="16"/>
                <w:szCs w:val="16"/>
              </w:rPr>
              <w:t>2</w:t>
            </w:r>
          </w:p>
        </w:tc>
        <w:tc>
          <w:tcPr>
            <w:tcW w:w="823" w:type="dxa"/>
            <w:noWrap/>
          </w:tcPr>
          <w:p w14:paraId="0740A28A" w14:textId="77777777" w:rsidR="00C15F2E" w:rsidRPr="00D96063" w:rsidRDefault="00C15F2E" w:rsidP="00560FD8">
            <w:pPr>
              <w:keepNext/>
              <w:keepLines/>
              <w:jc w:val="right"/>
              <w:rPr>
                <w:rFonts w:cs="Calibri"/>
                <w:sz w:val="16"/>
                <w:szCs w:val="16"/>
              </w:rPr>
            </w:pPr>
            <w:r w:rsidRPr="00D96063">
              <w:rPr>
                <w:rFonts w:cs="Calibri"/>
                <w:sz w:val="16"/>
                <w:szCs w:val="16"/>
              </w:rPr>
              <w:t>2</w:t>
            </w:r>
          </w:p>
        </w:tc>
        <w:tc>
          <w:tcPr>
            <w:tcW w:w="823" w:type="dxa"/>
            <w:noWrap/>
          </w:tcPr>
          <w:p w14:paraId="55A8480C" w14:textId="77777777" w:rsidR="00C15F2E" w:rsidRPr="00D96063" w:rsidRDefault="00C15F2E" w:rsidP="00560FD8">
            <w:pPr>
              <w:keepNext/>
              <w:keepLines/>
              <w:jc w:val="right"/>
              <w:rPr>
                <w:rFonts w:cs="Calibri"/>
                <w:sz w:val="16"/>
                <w:szCs w:val="16"/>
              </w:rPr>
            </w:pPr>
            <w:r w:rsidRPr="00D96063">
              <w:rPr>
                <w:rFonts w:cs="Calibri"/>
                <w:sz w:val="16"/>
                <w:szCs w:val="16"/>
              </w:rPr>
              <w:t>3</w:t>
            </w:r>
          </w:p>
        </w:tc>
        <w:tc>
          <w:tcPr>
            <w:tcW w:w="823" w:type="dxa"/>
            <w:noWrap/>
          </w:tcPr>
          <w:p w14:paraId="33E0CBE0" w14:textId="77777777" w:rsidR="00C15F2E" w:rsidRPr="00D96063" w:rsidRDefault="00C15F2E" w:rsidP="00560FD8">
            <w:pPr>
              <w:keepNext/>
              <w:keepLines/>
              <w:jc w:val="right"/>
              <w:rPr>
                <w:rFonts w:cs="Calibri"/>
                <w:sz w:val="16"/>
                <w:szCs w:val="16"/>
              </w:rPr>
            </w:pPr>
            <w:r w:rsidRPr="00D96063">
              <w:rPr>
                <w:rFonts w:cs="Calibri"/>
                <w:sz w:val="16"/>
                <w:szCs w:val="16"/>
              </w:rPr>
              <w:t>3</w:t>
            </w:r>
          </w:p>
        </w:tc>
        <w:tc>
          <w:tcPr>
            <w:tcW w:w="823" w:type="dxa"/>
            <w:noWrap/>
          </w:tcPr>
          <w:p w14:paraId="51FA3035" w14:textId="77777777" w:rsidR="00C15F2E" w:rsidRPr="00D96063" w:rsidRDefault="00C15F2E" w:rsidP="00560FD8">
            <w:pPr>
              <w:keepNext/>
              <w:keepLines/>
              <w:jc w:val="right"/>
              <w:rPr>
                <w:rFonts w:cs="Calibri"/>
                <w:sz w:val="16"/>
                <w:szCs w:val="16"/>
              </w:rPr>
            </w:pPr>
            <w:r w:rsidRPr="00D96063">
              <w:rPr>
                <w:rFonts w:cs="Calibri"/>
                <w:sz w:val="16"/>
                <w:szCs w:val="16"/>
              </w:rPr>
              <w:t>3</w:t>
            </w:r>
          </w:p>
        </w:tc>
      </w:tr>
      <w:tr w:rsidR="00C15F2E" w:rsidRPr="00D96063" w14:paraId="1404A0E4" w14:textId="77777777" w:rsidTr="00053198">
        <w:tc>
          <w:tcPr>
            <w:tcW w:w="3256" w:type="dxa"/>
            <w:hideMark/>
          </w:tcPr>
          <w:p w14:paraId="6C74644F" w14:textId="77777777" w:rsidR="00C15F2E" w:rsidRPr="00D96063" w:rsidRDefault="00C15F2E" w:rsidP="00560FD8">
            <w:pPr>
              <w:keepNext/>
              <w:keepLines/>
              <w:ind w:left="284" w:hanging="284"/>
              <w:jc w:val="left"/>
              <w:rPr>
                <w:rFonts w:cs="Calibri"/>
                <w:sz w:val="16"/>
                <w:szCs w:val="16"/>
              </w:rPr>
            </w:pPr>
            <w:r w:rsidRPr="00D96063">
              <w:rPr>
                <w:rFonts w:cs="Calibri"/>
                <w:sz w:val="16"/>
                <w:szCs w:val="16"/>
              </w:rPr>
              <w:t>Fixed lines ('000)</w:t>
            </w:r>
          </w:p>
        </w:tc>
        <w:tc>
          <w:tcPr>
            <w:tcW w:w="822" w:type="dxa"/>
            <w:noWrap/>
            <w:hideMark/>
          </w:tcPr>
          <w:p w14:paraId="483916E5" w14:textId="77777777" w:rsidR="00C15F2E" w:rsidRPr="00D96063" w:rsidRDefault="00C15F2E" w:rsidP="00560FD8">
            <w:pPr>
              <w:keepNext/>
              <w:keepLines/>
              <w:jc w:val="right"/>
              <w:rPr>
                <w:rFonts w:cs="Calibri"/>
                <w:sz w:val="16"/>
                <w:szCs w:val="16"/>
              </w:rPr>
            </w:pPr>
            <w:r w:rsidRPr="00D96063">
              <w:rPr>
                <w:rFonts w:cs="Calibri"/>
                <w:sz w:val="16"/>
                <w:szCs w:val="16"/>
              </w:rPr>
              <w:t>260</w:t>
            </w:r>
          </w:p>
        </w:tc>
        <w:tc>
          <w:tcPr>
            <w:tcW w:w="823" w:type="dxa"/>
            <w:noWrap/>
            <w:hideMark/>
          </w:tcPr>
          <w:p w14:paraId="5130341E" w14:textId="77777777" w:rsidR="00C15F2E" w:rsidRPr="00D96063" w:rsidRDefault="00C15F2E" w:rsidP="00560FD8">
            <w:pPr>
              <w:keepNext/>
              <w:keepLines/>
              <w:jc w:val="right"/>
              <w:rPr>
                <w:rFonts w:cs="Calibri"/>
                <w:sz w:val="16"/>
                <w:szCs w:val="16"/>
              </w:rPr>
            </w:pPr>
            <w:r w:rsidRPr="00D96063">
              <w:rPr>
                <w:rFonts w:cs="Calibri"/>
                <w:sz w:val="16"/>
                <w:szCs w:val="16"/>
              </w:rPr>
              <w:t>276</w:t>
            </w:r>
          </w:p>
        </w:tc>
        <w:tc>
          <w:tcPr>
            <w:tcW w:w="823" w:type="dxa"/>
            <w:noWrap/>
            <w:hideMark/>
          </w:tcPr>
          <w:p w14:paraId="414C5670" w14:textId="77777777" w:rsidR="00C15F2E" w:rsidRPr="00D96063" w:rsidRDefault="00C15F2E" w:rsidP="00560FD8">
            <w:pPr>
              <w:keepNext/>
              <w:keepLines/>
              <w:jc w:val="right"/>
              <w:rPr>
                <w:rFonts w:cs="Calibri"/>
                <w:sz w:val="16"/>
                <w:szCs w:val="16"/>
              </w:rPr>
            </w:pPr>
            <w:r w:rsidRPr="00D96063">
              <w:rPr>
                <w:rFonts w:cs="Calibri"/>
                <w:sz w:val="16"/>
                <w:szCs w:val="16"/>
              </w:rPr>
              <w:t>251</w:t>
            </w:r>
          </w:p>
        </w:tc>
        <w:tc>
          <w:tcPr>
            <w:tcW w:w="823" w:type="dxa"/>
            <w:noWrap/>
            <w:hideMark/>
          </w:tcPr>
          <w:p w14:paraId="289CE3FA" w14:textId="77777777" w:rsidR="00C15F2E" w:rsidRPr="00D96063" w:rsidRDefault="00C15F2E" w:rsidP="00560FD8">
            <w:pPr>
              <w:keepNext/>
              <w:keepLines/>
              <w:jc w:val="right"/>
              <w:rPr>
                <w:rFonts w:cs="Calibri"/>
                <w:sz w:val="16"/>
                <w:szCs w:val="16"/>
              </w:rPr>
            </w:pPr>
            <w:r w:rsidRPr="00D96063">
              <w:rPr>
                <w:rFonts w:cs="Calibri"/>
                <w:sz w:val="16"/>
                <w:szCs w:val="16"/>
              </w:rPr>
              <w:t>302</w:t>
            </w:r>
          </w:p>
        </w:tc>
        <w:tc>
          <w:tcPr>
            <w:tcW w:w="823" w:type="dxa"/>
            <w:noWrap/>
            <w:hideMark/>
          </w:tcPr>
          <w:p w14:paraId="25E2A6C5" w14:textId="77777777" w:rsidR="00C15F2E" w:rsidRPr="00D96063" w:rsidRDefault="00C15F2E" w:rsidP="00560FD8">
            <w:pPr>
              <w:keepNext/>
              <w:keepLines/>
              <w:jc w:val="right"/>
              <w:rPr>
                <w:rFonts w:cs="Calibri"/>
                <w:sz w:val="16"/>
                <w:szCs w:val="16"/>
              </w:rPr>
            </w:pPr>
            <w:r w:rsidRPr="00D96063">
              <w:rPr>
                <w:rFonts w:cs="Calibri"/>
                <w:sz w:val="16"/>
                <w:szCs w:val="16"/>
              </w:rPr>
              <w:t>278</w:t>
            </w:r>
          </w:p>
        </w:tc>
        <w:tc>
          <w:tcPr>
            <w:tcW w:w="823" w:type="dxa"/>
            <w:noWrap/>
            <w:hideMark/>
          </w:tcPr>
          <w:p w14:paraId="032488D8" w14:textId="77777777" w:rsidR="00C15F2E" w:rsidRPr="00D96063" w:rsidRDefault="00C15F2E" w:rsidP="00560FD8">
            <w:pPr>
              <w:keepNext/>
              <w:keepLines/>
              <w:jc w:val="right"/>
              <w:rPr>
                <w:rFonts w:cs="Calibri"/>
                <w:sz w:val="16"/>
                <w:szCs w:val="16"/>
              </w:rPr>
            </w:pPr>
            <w:r w:rsidRPr="00D96063">
              <w:rPr>
                <w:rFonts w:cs="Calibri"/>
                <w:sz w:val="16"/>
                <w:szCs w:val="16"/>
              </w:rPr>
              <w:t>288</w:t>
            </w:r>
          </w:p>
        </w:tc>
        <w:tc>
          <w:tcPr>
            <w:tcW w:w="823" w:type="dxa"/>
            <w:noWrap/>
            <w:hideMark/>
          </w:tcPr>
          <w:p w14:paraId="2BA27F91" w14:textId="77777777" w:rsidR="00C15F2E" w:rsidRPr="00D96063" w:rsidRDefault="00C15F2E" w:rsidP="00560FD8">
            <w:pPr>
              <w:keepNext/>
              <w:keepLines/>
              <w:jc w:val="right"/>
              <w:rPr>
                <w:rFonts w:cs="Calibri"/>
                <w:sz w:val="16"/>
                <w:szCs w:val="16"/>
              </w:rPr>
            </w:pPr>
            <w:r w:rsidRPr="00D96063">
              <w:rPr>
                <w:rFonts w:cs="Calibri"/>
                <w:sz w:val="16"/>
                <w:szCs w:val="16"/>
              </w:rPr>
              <w:t>308</w:t>
            </w:r>
          </w:p>
        </w:tc>
      </w:tr>
      <w:tr w:rsidR="00C15F2E" w:rsidRPr="00D96063" w14:paraId="5D90EF65" w14:textId="77777777" w:rsidTr="00053198">
        <w:trPr>
          <w:cnfStyle w:val="000000010000" w:firstRow="0" w:lastRow="0" w:firstColumn="0" w:lastColumn="0" w:oddVBand="0" w:evenVBand="0" w:oddHBand="0" w:evenHBand="1" w:firstRowFirstColumn="0" w:firstRowLastColumn="0" w:lastRowFirstColumn="0" w:lastRowLastColumn="0"/>
        </w:trPr>
        <w:tc>
          <w:tcPr>
            <w:tcW w:w="3256" w:type="dxa"/>
            <w:hideMark/>
          </w:tcPr>
          <w:p w14:paraId="109D12B0" w14:textId="77777777" w:rsidR="00C15F2E" w:rsidRPr="00D96063" w:rsidRDefault="00C15F2E" w:rsidP="00053198">
            <w:pPr>
              <w:ind w:left="284" w:hanging="284"/>
              <w:jc w:val="left"/>
              <w:rPr>
                <w:rFonts w:cs="Calibri"/>
                <w:sz w:val="16"/>
                <w:szCs w:val="16"/>
              </w:rPr>
            </w:pPr>
            <w:r w:rsidRPr="00D96063">
              <w:rPr>
                <w:rFonts w:cs="Calibri"/>
                <w:sz w:val="16"/>
                <w:szCs w:val="16"/>
              </w:rPr>
              <w:t>Fixed lines per 100 inhabitants</w:t>
            </w:r>
          </w:p>
        </w:tc>
        <w:tc>
          <w:tcPr>
            <w:tcW w:w="822" w:type="dxa"/>
            <w:noWrap/>
            <w:hideMark/>
          </w:tcPr>
          <w:p w14:paraId="74E2A4D4" w14:textId="77777777" w:rsidR="00C15F2E" w:rsidRPr="00D96063" w:rsidRDefault="00C15F2E" w:rsidP="00053198">
            <w:pPr>
              <w:jc w:val="right"/>
              <w:rPr>
                <w:rFonts w:cs="Calibri"/>
                <w:sz w:val="16"/>
                <w:szCs w:val="16"/>
              </w:rPr>
            </w:pPr>
            <w:r w:rsidRPr="00D96063">
              <w:rPr>
                <w:rFonts w:cs="Calibri"/>
                <w:sz w:val="16"/>
                <w:szCs w:val="16"/>
              </w:rPr>
              <w:t>0.96</w:t>
            </w:r>
          </w:p>
        </w:tc>
        <w:tc>
          <w:tcPr>
            <w:tcW w:w="823" w:type="dxa"/>
            <w:noWrap/>
            <w:hideMark/>
          </w:tcPr>
          <w:p w14:paraId="35DA5061" w14:textId="77777777" w:rsidR="00C15F2E" w:rsidRPr="00D96063" w:rsidRDefault="00C15F2E" w:rsidP="00053198">
            <w:pPr>
              <w:jc w:val="right"/>
              <w:rPr>
                <w:rFonts w:cs="Calibri"/>
                <w:sz w:val="16"/>
                <w:szCs w:val="16"/>
              </w:rPr>
            </w:pPr>
            <w:r w:rsidRPr="00D96063">
              <w:rPr>
                <w:rFonts w:cs="Calibri"/>
                <w:sz w:val="16"/>
                <w:szCs w:val="16"/>
              </w:rPr>
              <w:t>0.99</w:t>
            </w:r>
          </w:p>
        </w:tc>
        <w:tc>
          <w:tcPr>
            <w:tcW w:w="823" w:type="dxa"/>
            <w:noWrap/>
            <w:hideMark/>
          </w:tcPr>
          <w:p w14:paraId="134A5A5B" w14:textId="77777777" w:rsidR="00C15F2E" w:rsidRPr="00D96063" w:rsidRDefault="00C15F2E" w:rsidP="00053198">
            <w:pPr>
              <w:jc w:val="right"/>
              <w:rPr>
                <w:rFonts w:cs="Calibri"/>
                <w:sz w:val="16"/>
                <w:szCs w:val="16"/>
              </w:rPr>
            </w:pPr>
            <w:r w:rsidRPr="00D96063">
              <w:rPr>
                <w:rFonts w:cs="Calibri"/>
                <w:sz w:val="16"/>
                <w:szCs w:val="16"/>
              </w:rPr>
              <w:t>0.88</w:t>
            </w:r>
          </w:p>
        </w:tc>
        <w:tc>
          <w:tcPr>
            <w:tcW w:w="823" w:type="dxa"/>
            <w:noWrap/>
            <w:hideMark/>
          </w:tcPr>
          <w:p w14:paraId="2679029E" w14:textId="77777777" w:rsidR="00C15F2E" w:rsidRPr="00D96063" w:rsidRDefault="00C15F2E" w:rsidP="00053198">
            <w:pPr>
              <w:jc w:val="right"/>
              <w:rPr>
                <w:rFonts w:cs="Calibri"/>
                <w:sz w:val="16"/>
                <w:szCs w:val="16"/>
              </w:rPr>
            </w:pPr>
            <w:r w:rsidRPr="00D96063">
              <w:rPr>
                <w:rFonts w:cs="Calibri"/>
                <w:sz w:val="16"/>
                <w:szCs w:val="16"/>
              </w:rPr>
              <w:t>1.04</w:t>
            </w:r>
          </w:p>
        </w:tc>
        <w:tc>
          <w:tcPr>
            <w:tcW w:w="823" w:type="dxa"/>
            <w:noWrap/>
            <w:hideMark/>
          </w:tcPr>
          <w:p w14:paraId="0B662BA9" w14:textId="77777777" w:rsidR="00C15F2E" w:rsidRPr="00D96063" w:rsidRDefault="00C15F2E" w:rsidP="00053198">
            <w:pPr>
              <w:jc w:val="right"/>
              <w:rPr>
                <w:rFonts w:cs="Calibri"/>
                <w:sz w:val="16"/>
                <w:szCs w:val="16"/>
              </w:rPr>
            </w:pPr>
            <w:r w:rsidRPr="00D96063">
              <w:rPr>
                <w:rFonts w:cs="Calibri"/>
                <w:sz w:val="16"/>
                <w:szCs w:val="16"/>
              </w:rPr>
              <w:t>0.94</w:t>
            </w:r>
          </w:p>
        </w:tc>
        <w:tc>
          <w:tcPr>
            <w:tcW w:w="823" w:type="dxa"/>
            <w:noWrap/>
            <w:hideMark/>
          </w:tcPr>
          <w:p w14:paraId="69A5B813" w14:textId="77777777" w:rsidR="00C15F2E" w:rsidRPr="00D96063" w:rsidRDefault="00C15F2E" w:rsidP="00053198">
            <w:pPr>
              <w:jc w:val="right"/>
              <w:rPr>
                <w:rFonts w:cs="Calibri"/>
                <w:sz w:val="16"/>
                <w:szCs w:val="16"/>
              </w:rPr>
            </w:pPr>
            <w:r w:rsidRPr="00D96063">
              <w:rPr>
                <w:rFonts w:cs="Calibri"/>
                <w:sz w:val="16"/>
                <w:szCs w:val="16"/>
              </w:rPr>
              <w:t>0.95</w:t>
            </w:r>
          </w:p>
        </w:tc>
        <w:tc>
          <w:tcPr>
            <w:tcW w:w="823" w:type="dxa"/>
            <w:noWrap/>
            <w:hideMark/>
          </w:tcPr>
          <w:p w14:paraId="1593AE43" w14:textId="77777777" w:rsidR="00C15F2E" w:rsidRPr="00D96063" w:rsidRDefault="00C15F2E" w:rsidP="00053198">
            <w:pPr>
              <w:jc w:val="right"/>
              <w:rPr>
                <w:rFonts w:cs="Calibri"/>
                <w:sz w:val="16"/>
                <w:szCs w:val="16"/>
              </w:rPr>
            </w:pPr>
            <w:r w:rsidRPr="00D96063">
              <w:rPr>
                <w:rFonts w:cs="Calibri"/>
                <w:sz w:val="16"/>
                <w:szCs w:val="16"/>
              </w:rPr>
              <w:t>0.99</w:t>
            </w:r>
          </w:p>
        </w:tc>
      </w:tr>
      <w:tr w:rsidR="00C15F2E" w:rsidRPr="00D96063" w14:paraId="0ABF398D" w14:textId="77777777" w:rsidTr="00053198">
        <w:tc>
          <w:tcPr>
            <w:tcW w:w="3256" w:type="dxa"/>
            <w:hideMark/>
          </w:tcPr>
          <w:p w14:paraId="1C3CD23B" w14:textId="77777777" w:rsidR="00C15F2E" w:rsidRPr="00D96063" w:rsidRDefault="00C15F2E" w:rsidP="00053198">
            <w:pPr>
              <w:jc w:val="left"/>
              <w:rPr>
                <w:rFonts w:cs="Calibri"/>
                <w:b/>
                <w:bCs/>
                <w:sz w:val="16"/>
                <w:szCs w:val="16"/>
              </w:rPr>
            </w:pPr>
            <w:r w:rsidRPr="00D96063">
              <w:rPr>
                <w:rFonts w:cs="Calibri"/>
                <w:b/>
                <w:bCs/>
                <w:sz w:val="16"/>
                <w:szCs w:val="16"/>
              </w:rPr>
              <w:t xml:space="preserve">Mobile-cellular service providers </w:t>
            </w:r>
          </w:p>
        </w:tc>
        <w:tc>
          <w:tcPr>
            <w:tcW w:w="822" w:type="dxa"/>
            <w:noWrap/>
            <w:hideMark/>
          </w:tcPr>
          <w:p w14:paraId="6459E16C" w14:textId="77777777" w:rsidR="00C15F2E" w:rsidRPr="00D96063" w:rsidRDefault="00C15F2E" w:rsidP="00053198">
            <w:pPr>
              <w:jc w:val="right"/>
              <w:rPr>
                <w:rFonts w:cs="Calibri"/>
                <w:b/>
                <w:bCs/>
                <w:sz w:val="16"/>
                <w:szCs w:val="16"/>
              </w:rPr>
            </w:pPr>
            <w:r w:rsidRPr="00D96063">
              <w:rPr>
                <w:sz w:val="16"/>
                <w:szCs w:val="16"/>
              </w:rPr>
              <w:t>6</w:t>
            </w:r>
          </w:p>
        </w:tc>
        <w:tc>
          <w:tcPr>
            <w:tcW w:w="823" w:type="dxa"/>
            <w:noWrap/>
            <w:hideMark/>
          </w:tcPr>
          <w:p w14:paraId="6729CAB8" w14:textId="77777777" w:rsidR="00C15F2E" w:rsidRPr="00D96063" w:rsidRDefault="00C15F2E" w:rsidP="00053198">
            <w:pPr>
              <w:jc w:val="right"/>
              <w:rPr>
                <w:rFonts w:cs="Calibri"/>
                <w:b/>
                <w:bCs/>
                <w:sz w:val="16"/>
                <w:szCs w:val="16"/>
              </w:rPr>
            </w:pPr>
            <w:r w:rsidRPr="00D96063">
              <w:rPr>
                <w:sz w:val="16"/>
                <w:szCs w:val="16"/>
              </w:rPr>
              <w:t>6</w:t>
            </w:r>
          </w:p>
        </w:tc>
        <w:tc>
          <w:tcPr>
            <w:tcW w:w="823" w:type="dxa"/>
            <w:noWrap/>
            <w:hideMark/>
          </w:tcPr>
          <w:p w14:paraId="4952D08E" w14:textId="77777777" w:rsidR="00C15F2E" w:rsidRPr="00D96063" w:rsidRDefault="00C15F2E" w:rsidP="00053198">
            <w:pPr>
              <w:jc w:val="right"/>
              <w:rPr>
                <w:rFonts w:cs="Calibri"/>
                <w:b/>
                <w:bCs/>
                <w:sz w:val="16"/>
                <w:szCs w:val="16"/>
              </w:rPr>
            </w:pPr>
            <w:r w:rsidRPr="00D96063">
              <w:rPr>
                <w:sz w:val="16"/>
                <w:szCs w:val="16"/>
              </w:rPr>
              <w:t>6</w:t>
            </w:r>
          </w:p>
        </w:tc>
        <w:tc>
          <w:tcPr>
            <w:tcW w:w="823" w:type="dxa"/>
            <w:noWrap/>
            <w:hideMark/>
          </w:tcPr>
          <w:p w14:paraId="0917BE04" w14:textId="77777777" w:rsidR="00C15F2E" w:rsidRPr="00D96063" w:rsidRDefault="00C15F2E" w:rsidP="00053198">
            <w:pPr>
              <w:jc w:val="right"/>
              <w:rPr>
                <w:rFonts w:cs="Calibri"/>
                <w:b/>
                <w:bCs/>
                <w:sz w:val="16"/>
                <w:szCs w:val="16"/>
              </w:rPr>
            </w:pPr>
            <w:r w:rsidRPr="00D96063">
              <w:rPr>
                <w:sz w:val="16"/>
                <w:szCs w:val="16"/>
              </w:rPr>
              <w:t>6</w:t>
            </w:r>
          </w:p>
        </w:tc>
        <w:tc>
          <w:tcPr>
            <w:tcW w:w="823" w:type="dxa"/>
            <w:noWrap/>
            <w:hideMark/>
          </w:tcPr>
          <w:p w14:paraId="6EE15E8A" w14:textId="77777777" w:rsidR="00C15F2E" w:rsidRPr="00D96063" w:rsidRDefault="00C15F2E" w:rsidP="00053198">
            <w:pPr>
              <w:jc w:val="right"/>
              <w:rPr>
                <w:rFonts w:cs="Calibri"/>
                <w:b/>
                <w:bCs/>
                <w:sz w:val="16"/>
                <w:szCs w:val="16"/>
              </w:rPr>
            </w:pPr>
            <w:r w:rsidRPr="00D96063">
              <w:rPr>
                <w:sz w:val="16"/>
                <w:szCs w:val="16"/>
              </w:rPr>
              <w:t>6</w:t>
            </w:r>
          </w:p>
        </w:tc>
        <w:tc>
          <w:tcPr>
            <w:tcW w:w="823" w:type="dxa"/>
            <w:noWrap/>
            <w:hideMark/>
          </w:tcPr>
          <w:p w14:paraId="56F4D216" w14:textId="77777777" w:rsidR="00C15F2E" w:rsidRPr="00D96063" w:rsidRDefault="00C15F2E" w:rsidP="00053198">
            <w:pPr>
              <w:jc w:val="right"/>
              <w:rPr>
                <w:rFonts w:cs="Calibri"/>
                <w:b/>
                <w:bCs/>
                <w:sz w:val="16"/>
                <w:szCs w:val="16"/>
              </w:rPr>
            </w:pPr>
            <w:r w:rsidRPr="00D96063">
              <w:rPr>
                <w:sz w:val="16"/>
                <w:szCs w:val="16"/>
              </w:rPr>
              <w:t>6</w:t>
            </w:r>
          </w:p>
        </w:tc>
        <w:tc>
          <w:tcPr>
            <w:tcW w:w="823" w:type="dxa"/>
            <w:noWrap/>
            <w:hideMark/>
          </w:tcPr>
          <w:p w14:paraId="092C7CDF" w14:textId="77777777" w:rsidR="00C15F2E" w:rsidRPr="00D96063" w:rsidRDefault="00C15F2E" w:rsidP="00053198">
            <w:pPr>
              <w:jc w:val="right"/>
              <w:rPr>
                <w:rFonts w:cs="Calibri"/>
                <w:b/>
                <w:bCs/>
                <w:sz w:val="16"/>
                <w:szCs w:val="16"/>
              </w:rPr>
            </w:pPr>
            <w:r w:rsidRPr="00D96063">
              <w:rPr>
                <w:sz w:val="16"/>
                <w:szCs w:val="16"/>
              </w:rPr>
              <w:t>6</w:t>
            </w:r>
          </w:p>
        </w:tc>
      </w:tr>
      <w:tr w:rsidR="00C15F2E" w:rsidRPr="00D96063" w14:paraId="1C62D745" w14:textId="77777777" w:rsidTr="00053198">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650F9516" w14:textId="77777777" w:rsidR="00C15F2E" w:rsidRPr="00D96063" w:rsidRDefault="00C15F2E" w:rsidP="00053198">
            <w:pPr>
              <w:ind w:left="284" w:hanging="284"/>
              <w:jc w:val="left"/>
              <w:rPr>
                <w:rFonts w:cs="Calibri"/>
                <w:sz w:val="16"/>
                <w:szCs w:val="16"/>
              </w:rPr>
            </w:pPr>
            <w:r w:rsidRPr="00D96063">
              <w:rPr>
                <w:rFonts w:cs="Calibri"/>
                <w:sz w:val="16"/>
                <w:szCs w:val="16"/>
              </w:rPr>
              <w:t>Mobile-cellular subscriptions; by post-/prepaid ('000)</w:t>
            </w:r>
          </w:p>
        </w:tc>
        <w:tc>
          <w:tcPr>
            <w:tcW w:w="822" w:type="dxa"/>
            <w:noWrap/>
            <w:hideMark/>
          </w:tcPr>
          <w:p w14:paraId="21D7560B" w14:textId="77777777" w:rsidR="00C15F2E" w:rsidRPr="00D96063" w:rsidRDefault="00C15F2E" w:rsidP="00053198">
            <w:pPr>
              <w:ind w:left="-113" w:right="-57"/>
              <w:jc w:val="right"/>
              <w:rPr>
                <w:rFonts w:cs="Calibri"/>
                <w:sz w:val="16"/>
                <w:szCs w:val="16"/>
              </w:rPr>
            </w:pPr>
            <w:r w:rsidRPr="00D96063">
              <w:rPr>
                <w:rFonts w:cs="Calibri"/>
                <w:sz w:val="16"/>
                <w:szCs w:val="16"/>
              </w:rPr>
              <w:t>30,361</w:t>
            </w:r>
          </w:p>
        </w:tc>
        <w:tc>
          <w:tcPr>
            <w:tcW w:w="823" w:type="dxa"/>
            <w:noWrap/>
            <w:hideMark/>
          </w:tcPr>
          <w:p w14:paraId="5D0CB0CC" w14:textId="77777777" w:rsidR="00C15F2E" w:rsidRPr="00D96063" w:rsidRDefault="00C15F2E" w:rsidP="00053198">
            <w:pPr>
              <w:ind w:left="-113" w:right="-57"/>
              <w:jc w:val="right"/>
              <w:rPr>
                <w:rFonts w:cs="Calibri"/>
                <w:sz w:val="16"/>
                <w:szCs w:val="16"/>
              </w:rPr>
            </w:pPr>
            <w:r w:rsidRPr="00D96063">
              <w:rPr>
                <w:rFonts w:cs="Calibri"/>
                <w:sz w:val="16"/>
                <w:szCs w:val="16"/>
              </w:rPr>
              <w:t>35,008</w:t>
            </w:r>
          </w:p>
        </w:tc>
        <w:tc>
          <w:tcPr>
            <w:tcW w:w="823" w:type="dxa"/>
            <w:noWrap/>
            <w:hideMark/>
          </w:tcPr>
          <w:p w14:paraId="4AE762EB" w14:textId="77777777" w:rsidR="00C15F2E" w:rsidRPr="00D96063" w:rsidRDefault="00C15F2E" w:rsidP="00053198">
            <w:pPr>
              <w:ind w:left="-113" w:right="-57"/>
              <w:jc w:val="right"/>
              <w:rPr>
                <w:rFonts w:cs="Calibri"/>
                <w:sz w:val="16"/>
                <w:szCs w:val="16"/>
              </w:rPr>
            </w:pPr>
            <w:r w:rsidRPr="00D96063">
              <w:rPr>
                <w:rFonts w:cs="Calibri"/>
                <w:sz w:val="16"/>
                <w:szCs w:val="16"/>
              </w:rPr>
              <w:t>38,305</w:t>
            </w:r>
          </w:p>
        </w:tc>
        <w:tc>
          <w:tcPr>
            <w:tcW w:w="823" w:type="dxa"/>
            <w:noWrap/>
            <w:hideMark/>
          </w:tcPr>
          <w:p w14:paraId="29CA9EEC" w14:textId="77777777" w:rsidR="00C15F2E" w:rsidRPr="00D96063" w:rsidRDefault="00C15F2E" w:rsidP="00053198">
            <w:pPr>
              <w:ind w:left="-113" w:right="-57"/>
              <w:jc w:val="right"/>
              <w:rPr>
                <w:rFonts w:cs="Calibri"/>
                <w:sz w:val="16"/>
                <w:szCs w:val="16"/>
              </w:rPr>
            </w:pPr>
            <w:r w:rsidRPr="00D96063">
              <w:rPr>
                <w:rFonts w:cs="Calibri"/>
                <w:sz w:val="16"/>
                <w:szCs w:val="16"/>
              </w:rPr>
              <w:t>36,752</w:t>
            </w:r>
          </w:p>
        </w:tc>
        <w:tc>
          <w:tcPr>
            <w:tcW w:w="823" w:type="dxa"/>
            <w:noWrap/>
            <w:hideMark/>
          </w:tcPr>
          <w:p w14:paraId="5D3F9D7F" w14:textId="77777777" w:rsidR="00C15F2E" w:rsidRPr="00D96063" w:rsidRDefault="00C15F2E" w:rsidP="00053198">
            <w:pPr>
              <w:ind w:left="-113" w:right="-57"/>
              <w:jc w:val="right"/>
              <w:rPr>
                <w:rFonts w:cs="Calibri"/>
                <w:sz w:val="16"/>
                <w:szCs w:val="16"/>
              </w:rPr>
            </w:pPr>
            <w:r w:rsidRPr="00D96063">
              <w:rPr>
                <w:rFonts w:cs="Calibri"/>
                <w:sz w:val="16"/>
                <w:szCs w:val="16"/>
              </w:rPr>
              <w:t>40,935</w:t>
            </w:r>
          </w:p>
        </w:tc>
        <w:tc>
          <w:tcPr>
            <w:tcW w:w="823" w:type="dxa"/>
            <w:noWrap/>
            <w:hideMark/>
          </w:tcPr>
          <w:p w14:paraId="6C8A0233" w14:textId="77777777" w:rsidR="00C15F2E" w:rsidRPr="00D96063" w:rsidRDefault="00C15F2E" w:rsidP="00053198">
            <w:pPr>
              <w:ind w:left="-113" w:right="-57"/>
              <w:jc w:val="right"/>
              <w:rPr>
                <w:rFonts w:cs="Calibri"/>
                <w:sz w:val="16"/>
                <w:szCs w:val="16"/>
              </w:rPr>
            </w:pPr>
            <w:r w:rsidRPr="00D96063">
              <w:rPr>
                <w:rFonts w:cs="Calibri"/>
                <w:sz w:val="16"/>
                <w:szCs w:val="16"/>
              </w:rPr>
              <w:t>40,857</w:t>
            </w:r>
          </w:p>
        </w:tc>
        <w:tc>
          <w:tcPr>
            <w:tcW w:w="823" w:type="dxa"/>
            <w:noWrap/>
            <w:hideMark/>
          </w:tcPr>
          <w:p w14:paraId="05836268" w14:textId="77777777" w:rsidR="00C15F2E" w:rsidRPr="00D96063" w:rsidRDefault="00C15F2E" w:rsidP="00053198">
            <w:pPr>
              <w:ind w:left="-113" w:right="-57"/>
              <w:jc w:val="right"/>
              <w:rPr>
                <w:rFonts w:cs="Calibri"/>
                <w:sz w:val="16"/>
                <w:szCs w:val="16"/>
              </w:rPr>
            </w:pPr>
            <w:r w:rsidRPr="00D96063">
              <w:rPr>
                <w:rFonts w:cs="Calibri"/>
                <w:sz w:val="16"/>
                <w:szCs w:val="16"/>
              </w:rPr>
              <w:t>40,462</w:t>
            </w:r>
          </w:p>
        </w:tc>
      </w:tr>
      <w:tr w:rsidR="00C15F2E" w:rsidRPr="00D96063" w14:paraId="45ED8735" w14:textId="77777777" w:rsidTr="00053198">
        <w:tc>
          <w:tcPr>
            <w:tcW w:w="3256" w:type="dxa"/>
            <w:noWrap/>
            <w:hideMark/>
          </w:tcPr>
          <w:p w14:paraId="16E94158" w14:textId="77777777" w:rsidR="00C15F2E" w:rsidRPr="00D96063" w:rsidRDefault="00C15F2E" w:rsidP="00053198">
            <w:pPr>
              <w:ind w:left="284" w:hanging="284"/>
              <w:jc w:val="left"/>
              <w:rPr>
                <w:rFonts w:cs="Calibri"/>
                <w:sz w:val="16"/>
                <w:szCs w:val="16"/>
              </w:rPr>
            </w:pPr>
            <w:r w:rsidRPr="00D96063">
              <w:rPr>
                <w:rFonts w:cs="Calibri"/>
                <w:sz w:val="16"/>
                <w:szCs w:val="16"/>
              </w:rPr>
              <w:t>Mobile-cellular subscriptions (in % of population)</w:t>
            </w:r>
          </w:p>
        </w:tc>
        <w:tc>
          <w:tcPr>
            <w:tcW w:w="822" w:type="dxa"/>
            <w:noWrap/>
            <w:hideMark/>
          </w:tcPr>
          <w:p w14:paraId="0D7C8731" w14:textId="77777777" w:rsidR="00C15F2E" w:rsidRPr="00D96063" w:rsidRDefault="00C15F2E" w:rsidP="00053198">
            <w:pPr>
              <w:jc w:val="right"/>
              <w:rPr>
                <w:rFonts w:cs="Calibri"/>
                <w:sz w:val="16"/>
                <w:szCs w:val="16"/>
              </w:rPr>
            </w:pPr>
            <w:r w:rsidRPr="00D96063">
              <w:rPr>
                <w:rFonts w:cs="Calibri"/>
                <w:sz w:val="16"/>
                <w:szCs w:val="16"/>
              </w:rPr>
              <w:t>112</w:t>
            </w:r>
          </w:p>
        </w:tc>
        <w:tc>
          <w:tcPr>
            <w:tcW w:w="823" w:type="dxa"/>
            <w:noWrap/>
            <w:hideMark/>
          </w:tcPr>
          <w:p w14:paraId="7D5B1B71" w14:textId="77777777" w:rsidR="00C15F2E" w:rsidRPr="00D96063" w:rsidRDefault="00C15F2E" w:rsidP="00053198">
            <w:pPr>
              <w:jc w:val="right"/>
              <w:rPr>
                <w:rFonts w:cs="Calibri"/>
                <w:sz w:val="16"/>
                <w:szCs w:val="16"/>
              </w:rPr>
            </w:pPr>
            <w:r w:rsidRPr="00D96063">
              <w:rPr>
                <w:rFonts w:cs="Calibri"/>
                <w:sz w:val="16"/>
                <w:szCs w:val="16"/>
              </w:rPr>
              <w:t>126</w:t>
            </w:r>
          </w:p>
        </w:tc>
        <w:tc>
          <w:tcPr>
            <w:tcW w:w="823" w:type="dxa"/>
            <w:noWrap/>
            <w:hideMark/>
          </w:tcPr>
          <w:p w14:paraId="2B38CA8B" w14:textId="77777777" w:rsidR="00C15F2E" w:rsidRPr="00D96063" w:rsidRDefault="00C15F2E" w:rsidP="00053198">
            <w:pPr>
              <w:jc w:val="right"/>
              <w:rPr>
                <w:rFonts w:cs="Calibri"/>
                <w:sz w:val="16"/>
                <w:szCs w:val="16"/>
              </w:rPr>
            </w:pPr>
            <w:r w:rsidRPr="00D96063">
              <w:rPr>
                <w:rFonts w:cs="Calibri"/>
                <w:sz w:val="16"/>
                <w:szCs w:val="16"/>
              </w:rPr>
              <w:t>134</w:t>
            </w:r>
          </w:p>
        </w:tc>
        <w:tc>
          <w:tcPr>
            <w:tcW w:w="823" w:type="dxa"/>
            <w:noWrap/>
            <w:hideMark/>
          </w:tcPr>
          <w:p w14:paraId="3CBF0027" w14:textId="77777777" w:rsidR="00C15F2E" w:rsidRPr="00D96063" w:rsidRDefault="00C15F2E" w:rsidP="00053198">
            <w:pPr>
              <w:jc w:val="right"/>
              <w:rPr>
                <w:rFonts w:cs="Calibri"/>
                <w:sz w:val="16"/>
                <w:szCs w:val="16"/>
              </w:rPr>
            </w:pPr>
            <w:r w:rsidRPr="00D96063">
              <w:rPr>
                <w:rFonts w:cs="Calibri"/>
                <w:sz w:val="16"/>
                <w:szCs w:val="16"/>
              </w:rPr>
              <w:t>126</w:t>
            </w:r>
          </w:p>
        </w:tc>
        <w:tc>
          <w:tcPr>
            <w:tcW w:w="823" w:type="dxa"/>
            <w:noWrap/>
            <w:hideMark/>
          </w:tcPr>
          <w:p w14:paraId="0675A0DA" w14:textId="77777777" w:rsidR="00C15F2E" w:rsidRPr="00D96063" w:rsidRDefault="00C15F2E" w:rsidP="00053198">
            <w:pPr>
              <w:jc w:val="right"/>
              <w:rPr>
                <w:rFonts w:cs="Calibri"/>
                <w:sz w:val="16"/>
                <w:szCs w:val="16"/>
              </w:rPr>
            </w:pPr>
            <w:r w:rsidRPr="00D96063">
              <w:rPr>
                <w:rFonts w:cs="Calibri"/>
                <w:sz w:val="16"/>
                <w:szCs w:val="16"/>
              </w:rPr>
              <w:t>138</w:t>
            </w:r>
          </w:p>
        </w:tc>
        <w:tc>
          <w:tcPr>
            <w:tcW w:w="823" w:type="dxa"/>
            <w:noWrap/>
            <w:hideMark/>
          </w:tcPr>
          <w:p w14:paraId="69A88603" w14:textId="77777777" w:rsidR="00C15F2E" w:rsidRPr="00D96063" w:rsidRDefault="00C15F2E" w:rsidP="00053198">
            <w:pPr>
              <w:jc w:val="right"/>
              <w:rPr>
                <w:rFonts w:cs="Calibri"/>
                <w:sz w:val="16"/>
                <w:szCs w:val="16"/>
              </w:rPr>
            </w:pPr>
            <w:r w:rsidRPr="00D96063">
              <w:rPr>
                <w:rFonts w:cs="Calibri"/>
                <w:sz w:val="16"/>
                <w:szCs w:val="16"/>
              </w:rPr>
              <w:t>134</w:t>
            </w:r>
          </w:p>
        </w:tc>
        <w:tc>
          <w:tcPr>
            <w:tcW w:w="823" w:type="dxa"/>
            <w:noWrap/>
            <w:hideMark/>
          </w:tcPr>
          <w:p w14:paraId="012A117D" w14:textId="77777777" w:rsidR="00C15F2E" w:rsidRPr="00D96063" w:rsidRDefault="00C15F2E" w:rsidP="00053198">
            <w:pPr>
              <w:jc w:val="right"/>
              <w:rPr>
                <w:rFonts w:cs="Calibri"/>
                <w:sz w:val="16"/>
                <w:szCs w:val="16"/>
              </w:rPr>
            </w:pPr>
            <w:r w:rsidRPr="00D96063">
              <w:rPr>
                <w:rFonts w:cs="Calibri"/>
                <w:sz w:val="16"/>
                <w:szCs w:val="16"/>
              </w:rPr>
              <w:t>130</w:t>
            </w:r>
          </w:p>
        </w:tc>
      </w:tr>
      <w:tr w:rsidR="00C15F2E" w:rsidRPr="00D96063" w14:paraId="35FB66D2" w14:textId="77777777" w:rsidTr="00053198">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4468C8D5" w14:textId="77777777" w:rsidR="00C15F2E" w:rsidRPr="00D96063" w:rsidRDefault="00C15F2E" w:rsidP="00053198">
            <w:pPr>
              <w:jc w:val="left"/>
              <w:rPr>
                <w:rFonts w:cs="Calibri"/>
                <w:sz w:val="16"/>
                <w:szCs w:val="16"/>
              </w:rPr>
            </w:pPr>
            <w:r w:rsidRPr="00D96063">
              <w:rPr>
                <w:rFonts w:cs="Calibri"/>
                <w:sz w:val="16"/>
                <w:szCs w:val="16"/>
              </w:rPr>
              <w:t>Mobile-cellular subscriptions, prepaid ('000)</w:t>
            </w:r>
          </w:p>
        </w:tc>
        <w:tc>
          <w:tcPr>
            <w:tcW w:w="822" w:type="dxa"/>
            <w:noWrap/>
            <w:hideMark/>
          </w:tcPr>
          <w:p w14:paraId="02ED6AC0" w14:textId="77777777" w:rsidR="00C15F2E" w:rsidRPr="00D96063" w:rsidRDefault="00C15F2E" w:rsidP="00053198">
            <w:pPr>
              <w:jc w:val="right"/>
              <w:rPr>
                <w:sz w:val="16"/>
              </w:rPr>
            </w:pPr>
            <w:r w:rsidRPr="00D96063">
              <w:rPr>
                <w:rFonts w:cs="Calibri"/>
                <w:sz w:val="16"/>
                <w:szCs w:val="16"/>
              </w:rPr>
              <w:t>30,230</w:t>
            </w:r>
          </w:p>
        </w:tc>
        <w:tc>
          <w:tcPr>
            <w:tcW w:w="823" w:type="dxa"/>
            <w:noWrap/>
            <w:hideMark/>
          </w:tcPr>
          <w:p w14:paraId="6924F348" w14:textId="77777777" w:rsidR="00C15F2E" w:rsidRPr="00D96063" w:rsidRDefault="00C15F2E" w:rsidP="00053198">
            <w:pPr>
              <w:ind w:left="-113" w:right="-57"/>
              <w:jc w:val="right"/>
              <w:rPr>
                <w:rFonts w:cs="Calibri"/>
                <w:sz w:val="16"/>
                <w:szCs w:val="16"/>
              </w:rPr>
            </w:pPr>
            <w:r w:rsidRPr="00D96063">
              <w:rPr>
                <w:rFonts w:cs="Calibri"/>
                <w:sz w:val="16"/>
                <w:szCs w:val="16"/>
              </w:rPr>
              <w:t>34,798</w:t>
            </w:r>
          </w:p>
        </w:tc>
        <w:tc>
          <w:tcPr>
            <w:tcW w:w="823" w:type="dxa"/>
            <w:noWrap/>
            <w:hideMark/>
          </w:tcPr>
          <w:p w14:paraId="4995FF74" w14:textId="77777777" w:rsidR="00C15F2E" w:rsidRPr="00D96063" w:rsidRDefault="00C15F2E" w:rsidP="00053198">
            <w:pPr>
              <w:ind w:left="-113" w:right="-57"/>
              <w:jc w:val="right"/>
              <w:rPr>
                <w:rFonts w:cs="Calibri"/>
                <w:sz w:val="16"/>
                <w:szCs w:val="16"/>
              </w:rPr>
            </w:pPr>
            <w:r w:rsidRPr="00D96063">
              <w:rPr>
                <w:rFonts w:cs="Calibri"/>
                <w:sz w:val="16"/>
                <w:szCs w:val="16"/>
              </w:rPr>
              <w:t>37,919</w:t>
            </w:r>
          </w:p>
        </w:tc>
        <w:tc>
          <w:tcPr>
            <w:tcW w:w="823" w:type="dxa"/>
            <w:noWrap/>
            <w:hideMark/>
          </w:tcPr>
          <w:p w14:paraId="1A75DE02" w14:textId="77777777" w:rsidR="00C15F2E" w:rsidRPr="00D96063" w:rsidRDefault="00C15F2E" w:rsidP="00053198">
            <w:pPr>
              <w:ind w:left="-113" w:right="-57"/>
              <w:jc w:val="right"/>
              <w:rPr>
                <w:rFonts w:cs="Calibri"/>
                <w:sz w:val="16"/>
                <w:szCs w:val="16"/>
              </w:rPr>
            </w:pPr>
            <w:r w:rsidRPr="00D96063">
              <w:rPr>
                <w:rFonts w:cs="Calibri"/>
                <w:sz w:val="16"/>
                <w:szCs w:val="16"/>
              </w:rPr>
              <w:t>36,275</w:t>
            </w:r>
          </w:p>
        </w:tc>
        <w:tc>
          <w:tcPr>
            <w:tcW w:w="823" w:type="dxa"/>
            <w:noWrap/>
            <w:hideMark/>
          </w:tcPr>
          <w:p w14:paraId="36D2B68A" w14:textId="77777777" w:rsidR="00C15F2E" w:rsidRPr="00D96063" w:rsidRDefault="00C15F2E" w:rsidP="00053198">
            <w:pPr>
              <w:ind w:left="-113" w:right="-57"/>
              <w:jc w:val="right"/>
              <w:rPr>
                <w:rFonts w:cs="Calibri"/>
                <w:sz w:val="16"/>
                <w:szCs w:val="16"/>
              </w:rPr>
            </w:pPr>
            <w:r w:rsidRPr="00D96063">
              <w:rPr>
                <w:rFonts w:cs="Calibri"/>
                <w:sz w:val="16"/>
                <w:szCs w:val="16"/>
              </w:rPr>
              <w:t>40,392</w:t>
            </w:r>
          </w:p>
        </w:tc>
        <w:tc>
          <w:tcPr>
            <w:tcW w:w="823" w:type="dxa"/>
            <w:noWrap/>
            <w:hideMark/>
          </w:tcPr>
          <w:p w14:paraId="4CB18E5E" w14:textId="77777777" w:rsidR="00C15F2E" w:rsidRPr="00D96063" w:rsidRDefault="00C15F2E" w:rsidP="00053198">
            <w:pPr>
              <w:ind w:left="-113" w:right="-57"/>
              <w:jc w:val="right"/>
              <w:rPr>
                <w:rFonts w:cs="Calibri"/>
                <w:sz w:val="16"/>
                <w:szCs w:val="16"/>
              </w:rPr>
            </w:pPr>
            <w:r w:rsidRPr="00D96063">
              <w:rPr>
                <w:rFonts w:cs="Calibri"/>
                <w:sz w:val="16"/>
                <w:szCs w:val="16"/>
              </w:rPr>
              <w:t>40,217</w:t>
            </w:r>
          </w:p>
        </w:tc>
        <w:tc>
          <w:tcPr>
            <w:tcW w:w="823" w:type="dxa"/>
            <w:noWrap/>
            <w:hideMark/>
          </w:tcPr>
          <w:p w14:paraId="52AF9BDE" w14:textId="77777777" w:rsidR="00C15F2E" w:rsidRPr="00D96063" w:rsidRDefault="00C15F2E" w:rsidP="00053198">
            <w:pPr>
              <w:jc w:val="right"/>
              <w:rPr>
                <w:sz w:val="16"/>
              </w:rPr>
            </w:pPr>
            <w:r w:rsidRPr="00D96063">
              <w:rPr>
                <w:rFonts w:cs="Calibri"/>
                <w:sz w:val="16"/>
                <w:szCs w:val="16"/>
              </w:rPr>
              <w:t>40,173</w:t>
            </w:r>
          </w:p>
        </w:tc>
      </w:tr>
      <w:tr w:rsidR="00C15F2E" w:rsidRPr="00D96063" w14:paraId="029CCC46" w14:textId="77777777" w:rsidTr="00053198">
        <w:tc>
          <w:tcPr>
            <w:tcW w:w="3256" w:type="dxa"/>
            <w:hideMark/>
          </w:tcPr>
          <w:p w14:paraId="08A45198" w14:textId="77777777" w:rsidR="00C15F2E" w:rsidRPr="00D96063" w:rsidRDefault="00C15F2E" w:rsidP="00053198">
            <w:pPr>
              <w:ind w:left="284" w:hanging="284"/>
              <w:jc w:val="left"/>
              <w:rPr>
                <w:rFonts w:cs="Calibri"/>
                <w:sz w:val="16"/>
                <w:szCs w:val="16"/>
              </w:rPr>
            </w:pPr>
            <w:r w:rsidRPr="00D96063">
              <w:rPr>
                <w:rFonts w:cs="Calibri"/>
                <w:sz w:val="16"/>
                <w:szCs w:val="16"/>
              </w:rPr>
              <w:t>Mobile population coverage (in %)</w:t>
            </w:r>
          </w:p>
        </w:tc>
        <w:tc>
          <w:tcPr>
            <w:tcW w:w="822" w:type="dxa"/>
            <w:noWrap/>
            <w:hideMark/>
          </w:tcPr>
          <w:p w14:paraId="22DAFCC0" w14:textId="77777777" w:rsidR="00C15F2E" w:rsidRPr="00D96063" w:rsidRDefault="00C15F2E" w:rsidP="00053198">
            <w:pPr>
              <w:jc w:val="right"/>
              <w:rPr>
                <w:sz w:val="16"/>
              </w:rPr>
            </w:pPr>
            <w:r w:rsidRPr="00D96063">
              <w:rPr>
                <w:rFonts w:cs="Calibri"/>
                <w:sz w:val="16"/>
                <w:szCs w:val="16"/>
              </w:rPr>
              <w:t>97</w:t>
            </w:r>
          </w:p>
        </w:tc>
        <w:tc>
          <w:tcPr>
            <w:tcW w:w="823" w:type="dxa"/>
            <w:noWrap/>
            <w:hideMark/>
          </w:tcPr>
          <w:p w14:paraId="461F24FF" w14:textId="77777777" w:rsidR="00C15F2E" w:rsidRPr="00D96063" w:rsidRDefault="00C15F2E" w:rsidP="00053198">
            <w:pPr>
              <w:jc w:val="right"/>
              <w:rPr>
                <w:rFonts w:cs="Calibri"/>
                <w:sz w:val="16"/>
                <w:szCs w:val="16"/>
              </w:rPr>
            </w:pPr>
            <w:r w:rsidRPr="00D96063">
              <w:rPr>
                <w:rFonts w:cs="Calibri"/>
                <w:sz w:val="16"/>
                <w:szCs w:val="16"/>
              </w:rPr>
              <w:t>97</w:t>
            </w:r>
          </w:p>
        </w:tc>
        <w:tc>
          <w:tcPr>
            <w:tcW w:w="823" w:type="dxa"/>
            <w:noWrap/>
            <w:hideMark/>
          </w:tcPr>
          <w:p w14:paraId="33DB1CE9" w14:textId="77777777" w:rsidR="00C15F2E" w:rsidRPr="00D96063" w:rsidRDefault="00C15F2E" w:rsidP="00053198">
            <w:pPr>
              <w:jc w:val="right"/>
              <w:rPr>
                <w:rFonts w:cs="Calibri"/>
                <w:sz w:val="16"/>
                <w:szCs w:val="16"/>
              </w:rPr>
            </w:pPr>
            <w:r w:rsidRPr="00D96063">
              <w:rPr>
                <w:rFonts w:cs="Calibri"/>
                <w:sz w:val="16"/>
                <w:szCs w:val="16"/>
              </w:rPr>
              <w:t>98</w:t>
            </w:r>
          </w:p>
        </w:tc>
        <w:tc>
          <w:tcPr>
            <w:tcW w:w="823" w:type="dxa"/>
            <w:noWrap/>
            <w:hideMark/>
          </w:tcPr>
          <w:p w14:paraId="77F0DB0D" w14:textId="77777777" w:rsidR="00C15F2E" w:rsidRPr="00D96063" w:rsidRDefault="00C15F2E" w:rsidP="00053198">
            <w:pPr>
              <w:jc w:val="right"/>
              <w:rPr>
                <w:rFonts w:cs="Calibri"/>
                <w:sz w:val="16"/>
                <w:szCs w:val="16"/>
              </w:rPr>
            </w:pPr>
            <w:r w:rsidRPr="00D96063">
              <w:rPr>
                <w:rFonts w:cs="Calibri"/>
                <w:sz w:val="16"/>
                <w:szCs w:val="16"/>
              </w:rPr>
              <w:t>97</w:t>
            </w:r>
          </w:p>
        </w:tc>
        <w:tc>
          <w:tcPr>
            <w:tcW w:w="823" w:type="dxa"/>
            <w:noWrap/>
            <w:hideMark/>
          </w:tcPr>
          <w:p w14:paraId="6E107BB4" w14:textId="77777777" w:rsidR="00C15F2E" w:rsidRPr="00D96063" w:rsidRDefault="00C15F2E" w:rsidP="00053198">
            <w:pPr>
              <w:jc w:val="right"/>
              <w:rPr>
                <w:rFonts w:cs="Calibri"/>
                <w:sz w:val="16"/>
                <w:szCs w:val="16"/>
              </w:rPr>
            </w:pPr>
            <w:r w:rsidRPr="00D96063">
              <w:rPr>
                <w:rFonts w:cs="Calibri"/>
                <w:sz w:val="16"/>
                <w:szCs w:val="16"/>
              </w:rPr>
              <w:t>97</w:t>
            </w:r>
          </w:p>
        </w:tc>
        <w:tc>
          <w:tcPr>
            <w:tcW w:w="823" w:type="dxa"/>
            <w:noWrap/>
            <w:hideMark/>
          </w:tcPr>
          <w:p w14:paraId="09669D82" w14:textId="77777777" w:rsidR="00C15F2E" w:rsidRPr="00D96063" w:rsidRDefault="00C15F2E" w:rsidP="00053198">
            <w:pPr>
              <w:jc w:val="right"/>
              <w:rPr>
                <w:rFonts w:cs="Calibri"/>
                <w:sz w:val="16"/>
                <w:szCs w:val="16"/>
              </w:rPr>
            </w:pPr>
            <w:r w:rsidRPr="00D96063">
              <w:rPr>
                <w:rFonts w:cs="Calibri"/>
                <w:sz w:val="16"/>
                <w:szCs w:val="16"/>
              </w:rPr>
              <w:t>97</w:t>
            </w:r>
          </w:p>
        </w:tc>
        <w:tc>
          <w:tcPr>
            <w:tcW w:w="823" w:type="dxa"/>
            <w:noWrap/>
            <w:hideMark/>
          </w:tcPr>
          <w:p w14:paraId="40B5341B" w14:textId="77777777" w:rsidR="00C15F2E" w:rsidRPr="00D96063" w:rsidRDefault="00C15F2E" w:rsidP="00053198">
            <w:pPr>
              <w:jc w:val="right"/>
              <w:rPr>
                <w:rFonts w:cs="Calibri"/>
                <w:sz w:val="16"/>
                <w:szCs w:val="16"/>
              </w:rPr>
            </w:pPr>
            <w:r w:rsidRPr="00D96063">
              <w:rPr>
                <w:rFonts w:cs="Calibri"/>
                <w:sz w:val="16"/>
                <w:szCs w:val="16"/>
              </w:rPr>
              <w:t>97</w:t>
            </w:r>
          </w:p>
        </w:tc>
      </w:tr>
      <w:tr w:rsidR="00C15F2E" w:rsidRPr="00D96063" w14:paraId="69F8BEC9" w14:textId="77777777" w:rsidTr="00053198">
        <w:trPr>
          <w:cnfStyle w:val="000000010000" w:firstRow="0" w:lastRow="0" w:firstColumn="0" w:lastColumn="0" w:oddVBand="0" w:evenVBand="0" w:oddHBand="0" w:evenHBand="1" w:firstRowFirstColumn="0" w:firstRowLastColumn="0" w:lastRowFirstColumn="0" w:lastRowLastColumn="0"/>
        </w:trPr>
        <w:tc>
          <w:tcPr>
            <w:tcW w:w="3256" w:type="dxa"/>
            <w:hideMark/>
          </w:tcPr>
          <w:p w14:paraId="54555273" w14:textId="77777777" w:rsidR="00C15F2E" w:rsidRPr="00D96063" w:rsidRDefault="00C15F2E" w:rsidP="00053198">
            <w:pPr>
              <w:ind w:left="284" w:hanging="284"/>
              <w:jc w:val="left"/>
              <w:rPr>
                <w:rFonts w:cs="Calibri"/>
                <w:sz w:val="16"/>
                <w:szCs w:val="16"/>
              </w:rPr>
            </w:pPr>
            <w:r w:rsidRPr="00D96063">
              <w:rPr>
                <w:rFonts w:cs="Calibri"/>
                <w:sz w:val="16"/>
                <w:szCs w:val="16"/>
              </w:rPr>
              <w:t>Mobile-cellular prepaid connection charge (USD)</w:t>
            </w:r>
          </w:p>
        </w:tc>
        <w:tc>
          <w:tcPr>
            <w:tcW w:w="822" w:type="dxa"/>
            <w:noWrap/>
            <w:hideMark/>
          </w:tcPr>
          <w:p w14:paraId="6848E862" w14:textId="77777777" w:rsidR="00C15F2E" w:rsidRPr="00D96063" w:rsidRDefault="00C15F2E" w:rsidP="00053198">
            <w:pPr>
              <w:jc w:val="right"/>
              <w:rPr>
                <w:sz w:val="16"/>
              </w:rPr>
            </w:pPr>
            <w:r w:rsidRPr="00D96063">
              <w:rPr>
                <w:rFonts w:cs="Calibri"/>
                <w:sz w:val="16"/>
                <w:szCs w:val="16"/>
              </w:rPr>
              <w:t>0.52</w:t>
            </w:r>
          </w:p>
        </w:tc>
        <w:tc>
          <w:tcPr>
            <w:tcW w:w="823" w:type="dxa"/>
            <w:noWrap/>
            <w:hideMark/>
          </w:tcPr>
          <w:p w14:paraId="5007E9F1" w14:textId="77777777" w:rsidR="00C15F2E" w:rsidRPr="00D96063" w:rsidRDefault="00C15F2E" w:rsidP="00053198">
            <w:pPr>
              <w:jc w:val="right"/>
              <w:rPr>
                <w:rFonts w:cs="Calibri"/>
                <w:sz w:val="16"/>
                <w:szCs w:val="16"/>
              </w:rPr>
            </w:pPr>
            <w:r w:rsidRPr="00D96063">
              <w:rPr>
                <w:rFonts w:cs="Calibri"/>
                <w:sz w:val="16"/>
                <w:szCs w:val="16"/>
              </w:rPr>
              <w:t>0.52</w:t>
            </w:r>
          </w:p>
        </w:tc>
        <w:tc>
          <w:tcPr>
            <w:tcW w:w="823" w:type="dxa"/>
            <w:noWrap/>
            <w:hideMark/>
          </w:tcPr>
          <w:p w14:paraId="5AA6A36F" w14:textId="77777777" w:rsidR="00C15F2E" w:rsidRPr="00D96063" w:rsidRDefault="00C15F2E" w:rsidP="00053198">
            <w:pPr>
              <w:jc w:val="right"/>
              <w:rPr>
                <w:rFonts w:cs="Calibri"/>
                <w:sz w:val="16"/>
                <w:szCs w:val="16"/>
              </w:rPr>
            </w:pPr>
            <w:r w:rsidRPr="00D96063">
              <w:rPr>
                <w:rFonts w:cs="Calibri"/>
                <w:sz w:val="16"/>
                <w:szCs w:val="16"/>
              </w:rPr>
              <w:t>0.55</w:t>
            </w:r>
          </w:p>
        </w:tc>
        <w:tc>
          <w:tcPr>
            <w:tcW w:w="823" w:type="dxa"/>
            <w:noWrap/>
            <w:hideMark/>
          </w:tcPr>
          <w:p w14:paraId="45D8ADD8" w14:textId="77777777" w:rsidR="00C15F2E" w:rsidRPr="00D96063" w:rsidRDefault="00C15F2E" w:rsidP="00053198">
            <w:pPr>
              <w:jc w:val="right"/>
              <w:rPr>
                <w:rFonts w:cs="Calibri"/>
                <w:sz w:val="16"/>
                <w:szCs w:val="16"/>
              </w:rPr>
            </w:pPr>
            <w:r w:rsidRPr="00D96063">
              <w:rPr>
                <w:rFonts w:cs="Calibri"/>
                <w:sz w:val="16"/>
                <w:szCs w:val="16"/>
              </w:rPr>
              <w:t>0.46</w:t>
            </w:r>
          </w:p>
        </w:tc>
        <w:tc>
          <w:tcPr>
            <w:tcW w:w="823" w:type="dxa"/>
            <w:noWrap/>
            <w:hideMark/>
          </w:tcPr>
          <w:p w14:paraId="24920D1D" w14:textId="77777777" w:rsidR="00C15F2E" w:rsidRPr="00D96063" w:rsidRDefault="00C15F2E" w:rsidP="00053198">
            <w:pPr>
              <w:jc w:val="right"/>
              <w:rPr>
                <w:rFonts w:cs="Calibri"/>
                <w:sz w:val="16"/>
                <w:szCs w:val="16"/>
              </w:rPr>
            </w:pPr>
            <w:r w:rsidRPr="00D96063">
              <w:rPr>
                <w:rFonts w:cs="Calibri"/>
                <w:sz w:val="16"/>
                <w:szCs w:val="16"/>
              </w:rPr>
              <w:t>0.22</w:t>
            </w:r>
          </w:p>
        </w:tc>
        <w:tc>
          <w:tcPr>
            <w:tcW w:w="823" w:type="dxa"/>
            <w:noWrap/>
            <w:hideMark/>
          </w:tcPr>
          <w:p w14:paraId="120DDC9E" w14:textId="77777777" w:rsidR="00C15F2E" w:rsidRPr="00D96063" w:rsidRDefault="00C15F2E" w:rsidP="00053198">
            <w:pPr>
              <w:jc w:val="right"/>
              <w:rPr>
                <w:rFonts w:cs="Calibri"/>
                <w:sz w:val="16"/>
                <w:szCs w:val="16"/>
              </w:rPr>
            </w:pPr>
            <w:r w:rsidRPr="00D96063">
              <w:rPr>
                <w:rFonts w:cs="Calibri"/>
                <w:sz w:val="16"/>
                <w:szCs w:val="16"/>
              </w:rPr>
              <w:t>0.19</w:t>
            </w:r>
          </w:p>
        </w:tc>
        <w:tc>
          <w:tcPr>
            <w:tcW w:w="823" w:type="dxa"/>
            <w:noWrap/>
            <w:hideMark/>
          </w:tcPr>
          <w:p w14:paraId="38D54D06" w14:textId="77777777" w:rsidR="00C15F2E" w:rsidRPr="00D96063" w:rsidRDefault="00C15F2E" w:rsidP="00053198">
            <w:pPr>
              <w:jc w:val="right"/>
              <w:rPr>
                <w:rFonts w:cs="Calibri"/>
                <w:sz w:val="16"/>
                <w:szCs w:val="16"/>
              </w:rPr>
            </w:pPr>
            <w:r w:rsidRPr="00D96063">
              <w:rPr>
                <w:rFonts w:cs="Calibri"/>
                <w:sz w:val="16"/>
                <w:szCs w:val="16"/>
              </w:rPr>
              <w:t>0.36</w:t>
            </w:r>
          </w:p>
        </w:tc>
      </w:tr>
      <w:tr w:rsidR="00C15F2E" w:rsidRPr="00D96063" w14:paraId="06863F01" w14:textId="77777777" w:rsidTr="00053198">
        <w:tc>
          <w:tcPr>
            <w:tcW w:w="3256" w:type="dxa"/>
            <w:hideMark/>
          </w:tcPr>
          <w:p w14:paraId="06BC1C89" w14:textId="77777777" w:rsidR="00C15F2E" w:rsidRPr="00D96063" w:rsidRDefault="00C15F2E" w:rsidP="00053198">
            <w:pPr>
              <w:jc w:val="left"/>
              <w:rPr>
                <w:rFonts w:cs="Calibri"/>
                <w:b/>
                <w:bCs/>
                <w:sz w:val="16"/>
                <w:szCs w:val="16"/>
              </w:rPr>
            </w:pPr>
            <w:r w:rsidRPr="00D96063">
              <w:rPr>
                <w:rFonts w:cs="Calibri"/>
                <w:b/>
                <w:bCs/>
                <w:sz w:val="16"/>
                <w:szCs w:val="16"/>
              </w:rPr>
              <w:t>Broadband</w:t>
            </w:r>
          </w:p>
        </w:tc>
        <w:tc>
          <w:tcPr>
            <w:tcW w:w="822" w:type="dxa"/>
            <w:noWrap/>
            <w:hideMark/>
          </w:tcPr>
          <w:p w14:paraId="799F5C61" w14:textId="77777777" w:rsidR="00C15F2E" w:rsidRPr="00D96063" w:rsidRDefault="00C15F2E" w:rsidP="00053198">
            <w:pPr>
              <w:rPr>
                <w:rFonts w:cs="Calibri"/>
                <w:b/>
                <w:bCs/>
                <w:sz w:val="16"/>
                <w:szCs w:val="16"/>
              </w:rPr>
            </w:pPr>
          </w:p>
        </w:tc>
        <w:tc>
          <w:tcPr>
            <w:tcW w:w="823" w:type="dxa"/>
            <w:noWrap/>
            <w:hideMark/>
          </w:tcPr>
          <w:p w14:paraId="71A7E04F" w14:textId="77777777" w:rsidR="00C15F2E" w:rsidRPr="00D96063" w:rsidRDefault="00C15F2E" w:rsidP="00053198">
            <w:pPr>
              <w:jc w:val="right"/>
              <w:rPr>
                <w:sz w:val="16"/>
                <w:szCs w:val="16"/>
              </w:rPr>
            </w:pPr>
          </w:p>
        </w:tc>
        <w:tc>
          <w:tcPr>
            <w:tcW w:w="823" w:type="dxa"/>
            <w:noWrap/>
            <w:hideMark/>
          </w:tcPr>
          <w:p w14:paraId="50552644" w14:textId="77777777" w:rsidR="00C15F2E" w:rsidRPr="00D96063" w:rsidRDefault="00C15F2E" w:rsidP="00053198">
            <w:pPr>
              <w:jc w:val="right"/>
              <w:rPr>
                <w:sz w:val="16"/>
                <w:szCs w:val="16"/>
              </w:rPr>
            </w:pPr>
          </w:p>
        </w:tc>
        <w:tc>
          <w:tcPr>
            <w:tcW w:w="823" w:type="dxa"/>
            <w:noWrap/>
            <w:hideMark/>
          </w:tcPr>
          <w:p w14:paraId="6DA9EA5F" w14:textId="77777777" w:rsidR="00C15F2E" w:rsidRPr="00D96063" w:rsidRDefault="00C15F2E" w:rsidP="00053198">
            <w:pPr>
              <w:jc w:val="right"/>
              <w:rPr>
                <w:sz w:val="16"/>
                <w:szCs w:val="16"/>
              </w:rPr>
            </w:pPr>
          </w:p>
        </w:tc>
        <w:tc>
          <w:tcPr>
            <w:tcW w:w="823" w:type="dxa"/>
            <w:noWrap/>
            <w:hideMark/>
          </w:tcPr>
          <w:p w14:paraId="2A913F64" w14:textId="77777777" w:rsidR="00C15F2E" w:rsidRPr="00D96063" w:rsidRDefault="00C15F2E" w:rsidP="00053198">
            <w:pPr>
              <w:jc w:val="right"/>
              <w:rPr>
                <w:sz w:val="16"/>
                <w:szCs w:val="16"/>
              </w:rPr>
            </w:pPr>
          </w:p>
        </w:tc>
        <w:tc>
          <w:tcPr>
            <w:tcW w:w="823" w:type="dxa"/>
            <w:noWrap/>
            <w:hideMark/>
          </w:tcPr>
          <w:p w14:paraId="2139A2FE" w14:textId="77777777" w:rsidR="00C15F2E" w:rsidRPr="00D96063" w:rsidRDefault="00C15F2E" w:rsidP="00053198">
            <w:pPr>
              <w:jc w:val="right"/>
              <w:rPr>
                <w:sz w:val="16"/>
                <w:szCs w:val="16"/>
              </w:rPr>
            </w:pPr>
          </w:p>
        </w:tc>
        <w:tc>
          <w:tcPr>
            <w:tcW w:w="823" w:type="dxa"/>
            <w:noWrap/>
            <w:hideMark/>
          </w:tcPr>
          <w:p w14:paraId="3B2E9E93" w14:textId="77777777" w:rsidR="00C15F2E" w:rsidRPr="00D96063" w:rsidRDefault="00C15F2E" w:rsidP="00053198">
            <w:pPr>
              <w:jc w:val="right"/>
              <w:rPr>
                <w:rFonts w:cs="Calibri"/>
                <w:sz w:val="16"/>
                <w:szCs w:val="16"/>
              </w:rPr>
            </w:pPr>
            <w:r w:rsidRPr="00D96063">
              <w:rPr>
                <w:rFonts w:cs="Calibri"/>
                <w:sz w:val="16"/>
                <w:szCs w:val="16"/>
              </w:rPr>
              <w:t> </w:t>
            </w:r>
          </w:p>
        </w:tc>
      </w:tr>
      <w:tr w:rsidR="00C15F2E" w:rsidRPr="00D96063" w14:paraId="7BB9D164" w14:textId="77777777" w:rsidTr="00053198">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672BB56B" w14:textId="77777777" w:rsidR="00C15F2E" w:rsidRPr="00D96063" w:rsidRDefault="00C15F2E" w:rsidP="00053198">
            <w:pPr>
              <w:ind w:left="284" w:hanging="284"/>
              <w:jc w:val="left"/>
              <w:rPr>
                <w:rFonts w:cs="Calibri"/>
                <w:sz w:val="16"/>
                <w:szCs w:val="16"/>
              </w:rPr>
            </w:pPr>
            <w:r w:rsidRPr="00D96063">
              <w:rPr>
                <w:rFonts w:cs="Calibri"/>
                <w:sz w:val="16"/>
                <w:szCs w:val="16"/>
              </w:rPr>
              <w:t>Fixed broadband subscriptions ('000)</w:t>
            </w:r>
          </w:p>
        </w:tc>
        <w:tc>
          <w:tcPr>
            <w:tcW w:w="822" w:type="dxa"/>
            <w:noWrap/>
            <w:hideMark/>
          </w:tcPr>
          <w:p w14:paraId="12DBC295" w14:textId="77777777" w:rsidR="00C15F2E" w:rsidRPr="00D96063" w:rsidRDefault="00C15F2E" w:rsidP="00053198">
            <w:pPr>
              <w:jc w:val="right"/>
              <w:rPr>
                <w:rFonts w:cs="Calibri"/>
                <w:sz w:val="16"/>
                <w:szCs w:val="16"/>
              </w:rPr>
            </w:pPr>
            <w:r w:rsidRPr="00D96063">
              <w:rPr>
                <w:rFonts w:cs="Calibri"/>
                <w:sz w:val="16"/>
                <w:szCs w:val="16"/>
              </w:rPr>
              <w:t>70.2</w:t>
            </w:r>
          </w:p>
        </w:tc>
        <w:tc>
          <w:tcPr>
            <w:tcW w:w="823" w:type="dxa"/>
            <w:noWrap/>
            <w:hideMark/>
          </w:tcPr>
          <w:p w14:paraId="13C49983" w14:textId="77777777" w:rsidR="00C15F2E" w:rsidRPr="00D96063" w:rsidRDefault="00C15F2E" w:rsidP="00053198">
            <w:pPr>
              <w:jc w:val="right"/>
              <w:rPr>
                <w:rFonts w:cs="Calibri"/>
                <w:sz w:val="16"/>
                <w:szCs w:val="16"/>
              </w:rPr>
            </w:pPr>
            <w:r w:rsidRPr="00D96063">
              <w:rPr>
                <w:rFonts w:cs="Calibri"/>
                <w:sz w:val="16"/>
                <w:szCs w:val="16"/>
              </w:rPr>
              <w:t>73.1</w:t>
            </w:r>
          </w:p>
        </w:tc>
        <w:tc>
          <w:tcPr>
            <w:tcW w:w="823" w:type="dxa"/>
            <w:noWrap/>
            <w:hideMark/>
          </w:tcPr>
          <w:p w14:paraId="7841DFB9" w14:textId="77777777" w:rsidR="00C15F2E" w:rsidRPr="00D96063" w:rsidRDefault="00C15F2E" w:rsidP="00053198">
            <w:pPr>
              <w:jc w:val="right"/>
              <w:rPr>
                <w:rFonts w:cs="Calibri"/>
                <w:sz w:val="16"/>
                <w:szCs w:val="16"/>
              </w:rPr>
            </w:pPr>
            <w:r w:rsidRPr="00D96063">
              <w:rPr>
                <w:rFonts w:cs="Calibri"/>
                <w:sz w:val="16"/>
                <w:szCs w:val="16"/>
              </w:rPr>
              <w:t>86.6</w:t>
            </w:r>
          </w:p>
        </w:tc>
        <w:tc>
          <w:tcPr>
            <w:tcW w:w="823" w:type="dxa"/>
            <w:noWrap/>
            <w:hideMark/>
          </w:tcPr>
          <w:p w14:paraId="1230B1B3" w14:textId="77777777" w:rsidR="00C15F2E" w:rsidRPr="00D96063" w:rsidRDefault="00C15F2E" w:rsidP="00053198">
            <w:pPr>
              <w:jc w:val="right"/>
              <w:rPr>
                <w:rFonts w:cs="Calibri"/>
                <w:sz w:val="16"/>
                <w:szCs w:val="16"/>
              </w:rPr>
            </w:pPr>
            <w:r w:rsidRPr="00D96063">
              <w:rPr>
                <w:rFonts w:cs="Calibri"/>
                <w:sz w:val="16"/>
                <w:szCs w:val="16"/>
              </w:rPr>
              <w:t>56.8</w:t>
            </w:r>
          </w:p>
        </w:tc>
        <w:tc>
          <w:tcPr>
            <w:tcW w:w="823" w:type="dxa"/>
            <w:noWrap/>
            <w:hideMark/>
          </w:tcPr>
          <w:p w14:paraId="711DCC4F" w14:textId="77777777" w:rsidR="00C15F2E" w:rsidRPr="00D96063" w:rsidRDefault="00C15F2E" w:rsidP="00053198">
            <w:pPr>
              <w:jc w:val="right"/>
              <w:rPr>
                <w:rFonts w:cs="Calibri"/>
                <w:sz w:val="16"/>
                <w:szCs w:val="16"/>
              </w:rPr>
            </w:pPr>
            <w:r w:rsidRPr="00D96063">
              <w:rPr>
                <w:rFonts w:cs="Calibri"/>
                <w:sz w:val="16"/>
                <w:szCs w:val="16"/>
              </w:rPr>
              <w:t>61.3</w:t>
            </w:r>
          </w:p>
        </w:tc>
        <w:tc>
          <w:tcPr>
            <w:tcW w:w="823" w:type="dxa"/>
            <w:noWrap/>
            <w:hideMark/>
          </w:tcPr>
          <w:p w14:paraId="1F33D9F4" w14:textId="77777777" w:rsidR="00C15F2E" w:rsidRPr="00D96063" w:rsidRDefault="00C15F2E" w:rsidP="00053198">
            <w:pPr>
              <w:jc w:val="right"/>
              <w:rPr>
                <w:rFonts w:cs="Calibri"/>
                <w:sz w:val="16"/>
                <w:szCs w:val="16"/>
              </w:rPr>
            </w:pPr>
            <w:r w:rsidRPr="00D96063">
              <w:rPr>
                <w:rFonts w:cs="Calibri"/>
                <w:sz w:val="16"/>
                <w:szCs w:val="16"/>
              </w:rPr>
              <w:t>58.5</w:t>
            </w:r>
          </w:p>
        </w:tc>
        <w:tc>
          <w:tcPr>
            <w:tcW w:w="823" w:type="dxa"/>
            <w:noWrap/>
            <w:hideMark/>
          </w:tcPr>
          <w:p w14:paraId="233D24CF" w14:textId="77777777" w:rsidR="00C15F2E" w:rsidRPr="00D96063" w:rsidRDefault="00C15F2E" w:rsidP="00053198">
            <w:pPr>
              <w:jc w:val="right"/>
              <w:rPr>
                <w:rFonts w:cs="Calibri"/>
                <w:sz w:val="16"/>
                <w:szCs w:val="16"/>
              </w:rPr>
            </w:pPr>
            <w:r w:rsidRPr="00D96063">
              <w:rPr>
                <w:rFonts w:cs="Calibri"/>
                <w:sz w:val="16"/>
                <w:szCs w:val="16"/>
              </w:rPr>
              <w:t>78.4</w:t>
            </w:r>
          </w:p>
        </w:tc>
      </w:tr>
      <w:tr w:rsidR="00C15F2E" w:rsidRPr="00D96063" w14:paraId="59B3FC05" w14:textId="77777777" w:rsidTr="00053198">
        <w:tc>
          <w:tcPr>
            <w:tcW w:w="3256" w:type="dxa"/>
            <w:noWrap/>
            <w:hideMark/>
          </w:tcPr>
          <w:p w14:paraId="22A2F260" w14:textId="77777777" w:rsidR="00C15F2E" w:rsidRPr="00D96063" w:rsidRDefault="00C15F2E" w:rsidP="00053198">
            <w:pPr>
              <w:ind w:left="284" w:hanging="284"/>
              <w:jc w:val="left"/>
              <w:rPr>
                <w:rFonts w:cs="Calibri"/>
                <w:sz w:val="16"/>
                <w:szCs w:val="16"/>
              </w:rPr>
            </w:pPr>
            <w:r w:rsidRPr="00D96063">
              <w:rPr>
                <w:rFonts w:cs="Calibri"/>
                <w:sz w:val="16"/>
                <w:szCs w:val="16"/>
              </w:rPr>
              <w:t>Mobile broadband subscriptions ('000)</w:t>
            </w:r>
          </w:p>
        </w:tc>
        <w:tc>
          <w:tcPr>
            <w:tcW w:w="822" w:type="dxa"/>
            <w:noWrap/>
            <w:hideMark/>
          </w:tcPr>
          <w:p w14:paraId="603908E4" w14:textId="77777777" w:rsidR="00C15F2E" w:rsidRPr="00D96063" w:rsidRDefault="00C15F2E" w:rsidP="00053198">
            <w:pPr>
              <w:ind w:left="-113" w:right="-57"/>
              <w:jc w:val="right"/>
              <w:rPr>
                <w:rFonts w:cs="Calibri"/>
                <w:sz w:val="16"/>
                <w:szCs w:val="16"/>
              </w:rPr>
            </w:pPr>
            <w:r w:rsidRPr="00D96063">
              <w:rPr>
                <w:rFonts w:cs="Calibri"/>
                <w:sz w:val="16"/>
                <w:szCs w:val="16"/>
              </w:rPr>
              <w:t>15,806</w:t>
            </w:r>
          </w:p>
        </w:tc>
        <w:tc>
          <w:tcPr>
            <w:tcW w:w="823" w:type="dxa"/>
            <w:noWrap/>
            <w:hideMark/>
          </w:tcPr>
          <w:p w14:paraId="0716FFA1" w14:textId="77777777" w:rsidR="00C15F2E" w:rsidRPr="00D96063" w:rsidRDefault="00C15F2E" w:rsidP="00053198">
            <w:pPr>
              <w:ind w:left="-113" w:right="-57"/>
              <w:jc w:val="right"/>
              <w:rPr>
                <w:rFonts w:cs="Calibri"/>
                <w:sz w:val="16"/>
                <w:szCs w:val="16"/>
              </w:rPr>
            </w:pPr>
            <w:r w:rsidRPr="00D96063">
              <w:rPr>
                <w:rFonts w:cs="Calibri"/>
                <w:sz w:val="16"/>
                <w:szCs w:val="16"/>
              </w:rPr>
              <w:t>18,031</w:t>
            </w:r>
          </w:p>
        </w:tc>
        <w:tc>
          <w:tcPr>
            <w:tcW w:w="823" w:type="dxa"/>
            <w:noWrap/>
            <w:hideMark/>
          </w:tcPr>
          <w:p w14:paraId="18596D14" w14:textId="77777777" w:rsidR="00C15F2E" w:rsidRPr="00D96063" w:rsidRDefault="00C15F2E" w:rsidP="00053198">
            <w:pPr>
              <w:ind w:left="-113" w:right="-57"/>
              <w:jc w:val="right"/>
              <w:rPr>
                <w:rFonts w:cs="Calibri"/>
                <w:sz w:val="16"/>
                <w:szCs w:val="16"/>
              </w:rPr>
            </w:pPr>
            <w:r w:rsidRPr="00D96063">
              <w:rPr>
                <w:rFonts w:cs="Calibri"/>
                <w:sz w:val="16"/>
                <w:szCs w:val="16"/>
              </w:rPr>
              <w:t>19,747</w:t>
            </w:r>
          </w:p>
        </w:tc>
        <w:tc>
          <w:tcPr>
            <w:tcW w:w="823" w:type="dxa"/>
            <w:noWrap/>
            <w:hideMark/>
          </w:tcPr>
          <w:p w14:paraId="39BA4479" w14:textId="77777777" w:rsidR="00C15F2E" w:rsidRPr="00D96063" w:rsidRDefault="00C15F2E" w:rsidP="00053198">
            <w:pPr>
              <w:ind w:left="-113" w:right="-57"/>
              <w:jc w:val="right"/>
              <w:rPr>
                <w:rFonts w:cs="Calibri"/>
                <w:sz w:val="16"/>
                <w:szCs w:val="16"/>
              </w:rPr>
            </w:pPr>
            <w:r w:rsidRPr="00D96063">
              <w:rPr>
                <w:rFonts w:cs="Calibri"/>
                <w:sz w:val="16"/>
                <w:szCs w:val="16"/>
              </w:rPr>
              <w:t>23,552</w:t>
            </w:r>
          </w:p>
        </w:tc>
        <w:tc>
          <w:tcPr>
            <w:tcW w:w="823" w:type="dxa"/>
            <w:noWrap/>
            <w:hideMark/>
          </w:tcPr>
          <w:p w14:paraId="39E1B63E" w14:textId="77777777" w:rsidR="00C15F2E" w:rsidRPr="00D96063" w:rsidRDefault="00C15F2E" w:rsidP="00053198">
            <w:pPr>
              <w:ind w:left="-113" w:right="-57"/>
              <w:jc w:val="right"/>
              <w:rPr>
                <w:rFonts w:cs="Calibri"/>
                <w:sz w:val="16"/>
                <w:szCs w:val="16"/>
              </w:rPr>
            </w:pPr>
            <w:r w:rsidRPr="00D96063">
              <w:rPr>
                <w:rFonts w:cs="Calibri"/>
                <w:sz w:val="16"/>
                <w:szCs w:val="16"/>
              </w:rPr>
              <w:t>27,313</w:t>
            </w:r>
          </w:p>
        </w:tc>
        <w:tc>
          <w:tcPr>
            <w:tcW w:w="823" w:type="dxa"/>
            <w:noWrap/>
            <w:hideMark/>
          </w:tcPr>
          <w:p w14:paraId="23192BA9" w14:textId="77777777" w:rsidR="00C15F2E" w:rsidRPr="00D96063" w:rsidRDefault="00C15F2E" w:rsidP="00053198">
            <w:pPr>
              <w:ind w:left="-113" w:right="-57"/>
              <w:jc w:val="right"/>
              <w:rPr>
                <w:rFonts w:cs="Calibri"/>
                <w:sz w:val="16"/>
                <w:szCs w:val="16"/>
              </w:rPr>
            </w:pPr>
            <w:r w:rsidRPr="00D96063">
              <w:rPr>
                <w:rFonts w:cs="Calibri"/>
                <w:sz w:val="16"/>
                <w:szCs w:val="16"/>
              </w:rPr>
              <w:t>30,387</w:t>
            </w:r>
          </w:p>
        </w:tc>
        <w:tc>
          <w:tcPr>
            <w:tcW w:w="823" w:type="dxa"/>
            <w:noWrap/>
            <w:hideMark/>
          </w:tcPr>
          <w:p w14:paraId="17ACC2A5" w14:textId="77777777" w:rsidR="00C15F2E" w:rsidRPr="00D96063" w:rsidRDefault="00C15F2E" w:rsidP="00053198">
            <w:pPr>
              <w:ind w:left="-113" w:right="-57"/>
              <w:jc w:val="right"/>
              <w:rPr>
                <w:rFonts w:cs="Calibri"/>
                <w:sz w:val="16"/>
                <w:szCs w:val="16"/>
              </w:rPr>
            </w:pPr>
            <w:r w:rsidRPr="00D96063">
              <w:rPr>
                <w:rFonts w:cs="Calibri"/>
                <w:sz w:val="16"/>
                <w:szCs w:val="16"/>
              </w:rPr>
              <w:t>26,512</w:t>
            </w:r>
          </w:p>
        </w:tc>
      </w:tr>
      <w:tr w:rsidR="00C15F2E" w:rsidRPr="00D96063" w14:paraId="33953166" w14:textId="77777777" w:rsidTr="00053198">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68D841FA" w14:textId="77777777" w:rsidR="00C15F2E" w:rsidRPr="00D96063" w:rsidRDefault="00C15F2E" w:rsidP="00053198">
            <w:pPr>
              <w:ind w:left="284" w:hanging="284"/>
              <w:jc w:val="left"/>
              <w:rPr>
                <w:rFonts w:cs="Calibri"/>
                <w:sz w:val="16"/>
                <w:szCs w:val="16"/>
              </w:rPr>
            </w:pPr>
            <w:r w:rsidRPr="00D96063">
              <w:rPr>
                <w:rFonts w:cs="Calibri"/>
                <w:sz w:val="16"/>
                <w:szCs w:val="16"/>
              </w:rPr>
              <w:t>Mobile broadband subscriptions (in % of population)</w:t>
            </w:r>
          </w:p>
        </w:tc>
        <w:tc>
          <w:tcPr>
            <w:tcW w:w="822" w:type="dxa"/>
            <w:noWrap/>
            <w:hideMark/>
          </w:tcPr>
          <w:p w14:paraId="4B67FED1" w14:textId="77777777" w:rsidR="00C15F2E" w:rsidRPr="00D96063" w:rsidRDefault="00C15F2E" w:rsidP="00053198">
            <w:pPr>
              <w:jc w:val="right"/>
              <w:rPr>
                <w:rFonts w:cs="Calibri"/>
                <w:sz w:val="16"/>
                <w:szCs w:val="16"/>
              </w:rPr>
            </w:pPr>
            <w:r w:rsidRPr="00D96063">
              <w:rPr>
                <w:rFonts w:cs="Calibri"/>
                <w:sz w:val="16"/>
                <w:szCs w:val="16"/>
              </w:rPr>
              <w:t>58</w:t>
            </w:r>
          </w:p>
        </w:tc>
        <w:tc>
          <w:tcPr>
            <w:tcW w:w="823" w:type="dxa"/>
            <w:noWrap/>
            <w:hideMark/>
          </w:tcPr>
          <w:p w14:paraId="6FA78073" w14:textId="77777777" w:rsidR="00C15F2E" w:rsidRPr="00D96063" w:rsidRDefault="00C15F2E" w:rsidP="00053198">
            <w:pPr>
              <w:jc w:val="right"/>
              <w:rPr>
                <w:rFonts w:cs="Calibri"/>
                <w:sz w:val="16"/>
                <w:szCs w:val="16"/>
              </w:rPr>
            </w:pPr>
            <w:r w:rsidRPr="00D96063">
              <w:rPr>
                <w:rFonts w:cs="Calibri"/>
                <w:sz w:val="16"/>
                <w:szCs w:val="16"/>
              </w:rPr>
              <w:t>65</w:t>
            </w:r>
          </w:p>
        </w:tc>
        <w:tc>
          <w:tcPr>
            <w:tcW w:w="823" w:type="dxa"/>
            <w:noWrap/>
            <w:hideMark/>
          </w:tcPr>
          <w:p w14:paraId="07F7A488" w14:textId="77777777" w:rsidR="00C15F2E" w:rsidRPr="00D96063" w:rsidRDefault="00C15F2E" w:rsidP="00053198">
            <w:pPr>
              <w:jc w:val="right"/>
              <w:rPr>
                <w:rFonts w:cs="Calibri"/>
                <w:sz w:val="16"/>
                <w:szCs w:val="16"/>
              </w:rPr>
            </w:pPr>
            <w:r w:rsidRPr="00D96063">
              <w:rPr>
                <w:rFonts w:cs="Calibri"/>
                <w:sz w:val="16"/>
                <w:szCs w:val="16"/>
              </w:rPr>
              <w:t>69</w:t>
            </w:r>
          </w:p>
        </w:tc>
        <w:tc>
          <w:tcPr>
            <w:tcW w:w="823" w:type="dxa"/>
            <w:noWrap/>
            <w:hideMark/>
          </w:tcPr>
          <w:p w14:paraId="426FA67C" w14:textId="77777777" w:rsidR="00C15F2E" w:rsidRPr="00D96063" w:rsidRDefault="00C15F2E" w:rsidP="00053198">
            <w:pPr>
              <w:jc w:val="right"/>
              <w:rPr>
                <w:rFonts w:cs="Calibri"/>
                <w:sz w:val="16"/>
                <w:szCs w:val="16"/>
              </w:rPr>
            </w:pPr>
            <w:r w:rsidRPr="00D96063">
              <w:rPr>
                <w:rFonts w:cs="Calibri"/>
                <w:sz w:val="16"/>
                <w:szCs w:val="16"/>
              </w:rPr>
              <w:t>81</w:t>
            </w:r>
          </w:p>
        </w:tc>
        <w:tc>
          <w:tcPr>
            <w:tcW w:w="823" w:type="dxa"/>
            <w:noWrap/>
            <w:hideMark/>
          </w:tcPr>
          <w:p w14:paraId="5052BBE9" w14:textId="77777777" w:rsidR="00C15F2E" w:rsidRPr="00D96063" w:rsidRDefault="00C15F2E" w:rsidP="00053198">
            <w:pPr>
              <w:jc w:val="right"/>
              <w:rPr>
                <w:rFonts w:cs="Calibri"/>
                <w:sz w:val="16"/>
                <w:szCs w:val="16"/>
              </w:rPr>
            </w:pPr>
            <w:r w:rsidRPr="00D96063">
              <w:rPr>
                <w:rFonts w:cs="Calibri"/>
                <w:sz w:val="16"/>
                <w:szCs w:val="16"/>
              </w:rPr>
              <w:t>92</w:t>
            </w:r>
          </w:p>
        </w:tc>
        <w:tc>
          <w:tcPr>
            <w:tcW w:w="823" w:type="dxa"/>
            <w:noWrap/>
            <w:hideMark/>
          </w:tcPr>
          <w:p w14:paraId="10FFC3D2" w14:textId="77777777" w:rsidR="00C15F2E" w:rsidRPr="00D96063" w:rsidRDefault="00C15F2E" w:rsidP="00053198">
            <w:pPr>
              <w:jc w:val="right"/>
              <w:rPr>
                <w:rFonts w:cs="Calibri"/>
                <w:sz w:val="16"/>
                <w:szCs w:val="16"/>
              </w:rPr>
            </w:pPr>
            <w:r w:rsidRPr="00D96063">
              <w:rPr>
                <w:rFonts w:cs="Calibri"/>
                <w:sz w:val="16"/>
                <w:szCs w:val="16"/>
              </w:rPr>
              <w:t>100</w:t>
            </w:r>
          </w:p>
        </w:tc>
        <w:tc>
          <w:tcPr>
            <w:tcW w:w="823" w:type="dxa"/>
            <w:noWrap/>
            <w:hideMark/>
          </w:tcPr>
          <w:p w14:paraId="3F081187" w14:textId="77777777" w:rsidR="00C15F2E" w:rsidRPr="00D96063" w:rsidRDefault="00C15F2E" w:rsidP="00053198">
            <w:pPr>
              <w:jc w:val="right"/>
              <w:rPr>
                <w:rFonts w:cs="Calibri"/>
                <w:sz w:val="16"/>
                <w:szCs w:val="16"/>
              </w:rPr>
            </w:pPr>
            <w:r w:rsidRPr="00D96063">
              <w:rPr>
                <w:rFonts w:cs="Calibri"/>
                <w:sz w:val="16"/>
                <w:szCs w:val="16"/>
              </w:rPr>
              <w:t>85</w:t>
            </w:r>
          </w:p>
        </w:tc>
      </w:tr>
    </w:tbl>
    <w:p w14:paraId="7D94E939" w14:textId="77777777" w:rsidR="00C15F2E" w:rsidRPr="00D96063" w:rsidRDefault="00C15F2E" w:rsidP="00D868BF">
      <w:pPr>
        <w:pStyle w:val="NoteText"/>
        <w:spacing w:before="120" w:after="120"/>
        <w:rPr>
          <w:lang w:eastAsia="en-GB"/>
        </w:rPr>
      </w:pPr>
      <w:r w:rsidRPr="00D96063">
        <w:rPr>
          <w:lang w:eastAsia="en-GB"/>
        </w:rPr>
        <w:t>..</w:t>
      </w:r>
      <w:r w:rsidRPr="00D96063">
        <w:rPr>
          <w:lang w:eastAsia="en-GB"/>
        </w:rPr>
        <w:tab/>
        <w:t>Not available.</w:t>
      </w:r>
    </w:p>
    <w:p w14:paraId="54C4215F" w14:textId="77777777" w:rsidR="00C15F2E" w:rsidRPr="00D96063" w:rsidRDefault="00C15F2E" w:rsidP="00D868BF">
      <w:pPr>
        <w:pStyle w:val="NoteText"/>
        <w:spacing w:before="120" w:after="240"/>
        <w:rPr>
          <w:lang w:eastAsia="en-GB"/>
        </w:rPr>
      </w:pPr>
      <w:r w:rsidRPr="00D96063">
        <w:rPr>
          <w:lang w:eastAsia="en-GB"/>
        </w:rPr>
        <w:t>Source:</w:t>
      </w:r>
      <w:r w:rsidRPr="00D96063">
        <w:rPr>
          <w:lang w:eastAsia="en-GB"/>
        </w:rPr>
        <w:tab/>
        <w:t xml:space="preserve">ITU World Telecommunication/ICT Indicators (WTI) Database 2021, July 2021 version; WTO Data portal. Viewed at: </w:t>
      </w:r>
      <w:hyperlink r:id="rId102" w:history="1">
        <w:r w:rsidRPr="00D96063">
          <w:rPr>
            <w:rStyle w:val="Hyperlink"/>
            <w:lang w:eastAsia="en-GB"/>
          </w:rPr>
          <w:t>https://data.wto.org/</w:t>
        </w:r>
      </w:hyperlink>
      <w:r w:rsidRPr="00D96063">
        <w:rPr>
          <w:rStyle w:val="Hyperlink"/>
          <w:color w:val="auto"/>
          <w:u w:val="none"/>
          <w:lang w:eastAsia="en-GB"/>
        </w:rPr>
        <w:t>;</w:t>
      </w:r>
      <w:r w:rsidRPr="00D96063">
        <w:rPr>
          <w:lang w:eastAsia="en-GB"/>
        </w:rPr>
        <w:t xml:space="preserve"> World Bank, WDI database; Ghana Statistical Service, National Account. Viewed at: </w:t>
      </w:r>
      <w:hyperlink r:id="rId103" w:history="1">
        <w:r w:rsidRPr="00D96063">
          <w:rPr>
            <w:rStyle w:val="Hyperlink"/>
            <w:lang w:eastAsia="en-GB"/>
          </w:rPr>
          <w:t>https://www.statsghana.gov.gh/</w:t>
        </w:r>
      </w:hyperlink>
      <w:r w:rsidRPr="00D96063">
        <w:rPr>
          <w:lang w:eastAsia="en-GB"/>
        </w:rPr>
        <w:t>.</w:t>
      </w:r>
    </w:p>
    <w:p w14:paraId="0341287C" w14:textId="77777777" w:rsidR="00C15F2E" w:rsidRPr="00D96063" w:rsidRDefault="00C15F2E" w:rsidP="003758E5">
      <w:pPr>
        <w:numPr>
          <w:ilvl w:val="6"/>
          <w:numId w:val="31"/>
        </w:numPr>
        <w:spacing w:after="240"/>
      </w:pPr>
      <w:r w:rsidRPr="00D96063">
        <w:t>According to</w:t>
      </w:r>
      <w:r w:rsidRPr="00D96063">
        <w:rPr>
          <w:b/>
          <w:bCs/>
        </w:rPr>
        <w:t xml:space="preserve"> </w:t>
      </w:r>
      <w:r w:rsidRPr="00D96063">
        <w:t>the ITU's price indicators, Ghana has one of Africa's cheapest mobile voice services and lowest mobile broadband price level.</w:t>
      </w:r>
      <w:r w:rsidRPr="00D96063">
        <w:rPr>
          <w:rStyle w:val="FootnoteReference"/>
        </w:rPr>
        <w:footnoteReference w:id="221"/>
      </w:r>
      <w:r w:rsidRPr="00D96063">
        <w:rPr>
          <w:b/>
          <w:bCs/>
        </w:rPr>
        <w:t xml:space="preserve"> </w:t>
      </w:r>
      <w:r w:rsidRPr="00D96063">
        <w:t>In early 2022, there were seven broadband wireless access licensees. The number of Internet data subscribers (mobile and fixed) reached 30.4 million in 2019, before declining to 26.7 million in 2020 (Table 4.17).</w:t>
      </w:r>
    </w:p>
    <w:p w14:paraId="75BAD0E5" w14:textId="77777777" w:rsidR="00C15F2E" w:rsidRPr="00D96063" w:rsidRDefault="00C15F2E" w:rsidP="003758E5">
      <w:pPr>
        <w:numPr>
          <w:ilvl w:val="6"/>
          <w:numId w:val="31"/>
        </w:numPr>
        <w:spacing w:after="240"/>
      </w:pPr>
      <w:r w:rsidRPr="00D96063">
        <w:t xml:space="preserve">The Ministry of Communications </w:t>
      </w:r>
      <w:r w:rsidRPr="00D96063">
        <w:rPr>
          <w:bCs/>
        </w:rPr>
        <w:t>and Digitalisation</w:t>
      </w:r>
      <w:r w:rsidRPr="00D96063">
        <w:rPr>
          <w:b/>
          <w:bCs/>
        </w:rPr>
        <w:t xml:space="preserve"> </w:t>
      </w:r>
      <w:r w:rsidRPr="00D96063">
        <w:t>is responsible for formulating telecom policies; it maintains an up-to-date website where laws can be consulted.</w:t>
      </w:r>
      <w:r w:rsidRPr="00D96063">
        <w:rPr>
          <w:vertAlign w:val="superscript"/>
        </w:rPr>
        <w:footnoteReference w:id="222"/>
      </w:r>
      <w:r w:rsidRPr="00D96063">
        <w:t xml:space="preserve"> The National Communications Authority (NCA) was created in 1996; it currently operates on the basis of the National Communications Authority Act, 2008 (Act 769) (NCA Act).</w:t>
      </w:r>
      <w:r w:rsidRPr="00D96063">
        <w:rPr>
          <w:rStyle w:val="CommentReference"/>
        </w:rPr>
        <w:t xml:space="preserve"> </w:t>
      </w:r>
      <w:r w:rsidRPr="00D96063">
        <w:t>It licences and regulates communications activities and services in the country. The Electronic Communications Act, 2008 (Act 775) (EC Act) also provides for the regulation of electronic communications and broadcasting, the use of the electro-magnetic spectrum, and related matters. The Electronic Communications Regulations, 2011 provide the legal framework for the telecom subsector. The Regulator assesses the market and introduces new licences to meet the needs of the industry and to enhance competition. There have, however, been instances where stakeholders have suggested introduction the of new licences. The recent implementation of 4G was commercialized through an auction. Currently, Ghana has not implemented 5G.</w:t>
      </w:r>
    </w:p>
    <w:p w14:paraId="1AECD5B6" w14:textId="77777777" w:rsidR="00C15F2E" w:rsidRPr="00D96063" w:rsidRDefault="00C15F2E" w:rsidP="003758E5">
      <w:pPr>
        <w:numPr>
          <w:ilvl w:val="6"/>
          <w:numId w:val="31"/>
        </w:numPr>
        <w:spacing w:after="240"/>
      </w:pPr>
      <w:r w:rsidRPr="00D96063">
        <w:lastRenderedPageBreak/>
        <w:t>Tariffs are set by each operator; the NCA is only required to regulate individual tariffs when there is a monopoly or when there is an entity or entities with significant market power, the latter being defined according to several criteria including a 40% market share. Minimum wholesale interconnection rates are determined by the Authority; no operator is allowed to charge below these rates. Over the period, the cost of mobile calls and SMS has declined by over 50%. Regulations are available for sharing passive infrastructure, and number portability is available also.</w:t>
      </w:r>
    </w:p>
    <w:p w14:paraId="0ACF5C8B" w14:textId="77777777" w:rsidR="00C15F2E" w:rsidRPr="00D96063" w:rsidRDefault="00C15F2E" w:rsidP="003758E5">
      <w:pPr>
        <w:numPr>
          <w:ilvl w:val="6"/>
          <w:numId w:val="31"/>
        </w:numPr>
        <w:spacing w:after="240"/>
      </w:pPr>
      <w:r w:rsidRPr="00D96063">
        <w:t xml:space="preserve">In June 2020, the NCA declared MTN as having a </w:t>
      </w:r>
      <w:bookmarkStart w:id="253" w:name="_Hlk80946604"/>
      <w:r w:rsidRPr="00D96063">
        <w:t>significant market power in Ghana</w:t>
      </w:r>
      <w:bookmarkEnd w:id="253"/>
      <w:r w:rsidRPr="00D96063">
        <w:t>. With immediate effect, several corrective market interventions were announced, including a 30% asymmetric interconnection rate for mobile termination.</w:t>
      </w:r>
    </w:p>
    <w:p w14:paraId="501E0787" w14:textId="77777777" w:rsidR="00C15F2E" w:rsidRPr="00D96063" w:rsidRDefault="00C15F2E" w:rsidP="003758E5">
      <w:pPr>
        <w:numPr>
          <w:ilvl w:val="6"/>
          <w:numId w:val="31"/>
        </w:numPr>
        <w:spacing w:after="240"/>
      </w:pPr>
      <w:r w:rsidRPr="00D96063">
        <w:t>Since 2008, the Government has been imposing a minimum termination rate (MTR) for international incoming electronic communications traffic. Since 2008, the MTR has been set at USD 0.19 per minute, together with a tax of 32% on that revenue. This tax generated a revenue of USD 37 million in 2016, declining to USD 19 million in 2020 as the number of traffic minutes declined by half.</w:t>
      </w:r>
    </w:p>
    <w:p w14:paraId="2B13A760" w14:textId="77777777" w:rsidR="00C15F2E" w:rsidRPr="00D96063" w:rsidRDefault="00C15F2E" w:rsidP="003758E5">
      <w:pPr>
        <w:numPr>
          <w:ilvl w:val="6"/>
          <w:numId w:val="31"/>
        </w:numPr>
        <w:spacing w:after="240"/>
      </w:pPr>
      <w:r w:rsidRPr="00D96063">
        <w:t>In October 2018, Ghana launched the Common Platform for Telecom Revenue Assurance and Regulatory Oversight in Ghana, a traffic volume monitoring platform for voice and data traffic. The objective was to verify the actual revenue that accrues to service providers for the purpose of computing taxes due to the Government under the Communications Service Tax (Amendment) Act, 2013 (Act 864), and revenues accruing from levies under Act 775 as amended by Act 786 of 2009. The Platform was set up based on a Build, Operate, Manage and Transfer (BOMT) arrangement for a period of five years, which will expire in December 2023; the arrangement is between the Ministry of Finance, the Ministry of Communications and Digitalisation, and the managing entity, Kelni GVG.</w:t>
      </w:r>
    </w:p>
    <w:p w14:paraId="2C08E5D8" w14:textId="77777777" w:rsidR="00C15F2E" w:rsidRPr="00D96063" w:rsidRDefault="00C15F2E" w:rsidP="003758E5">
      <w:pPr>
        <w:numPr>
          <w:ilvl w:val="6"/>
          <w:numId w:val="31"/>
        </w:numPr>
        <w:spacing w:after="240"/>
      </w:pPr>
      <w:r w:rsidRPr="00D96063">
        <w:t>Ghana is connected to the SAT3, WACS, and ACE international submarine cable networks. Five submarine fibre optic companies are authorized to provide service. The total capacity is 1,977 Gbps. All the submarine cables landing in Ghana are foreign-owned.</w:t>
      </w:r>
    </w:p>
    <w:p w14:paraId="6C664C62" w14:textId="77777777" w:rsidR="00C15F2E" w:rsidRPr="00D96063" w:rsidRDefault="00C15F2E" w:rsidP="003758E5">
      <w:pPr>
        <w:numPr>
          <w:ilvl w:val="6"/>
          <w:numId w:val="31"/>
        </w:numPr>
        <w:spacing w:after="240"/>
      </w:pPr>
      <w:r w:rsidRPr="00D96063">
        <w:t>Imports of communication equipment require a dealership licence and type approval, whereby</w:t>
      </w:r>
      <w:bookmarkStart w:id="254" w:name="_Hlk95478184"/>
      <w:r w:rsidRPr="00D96063">
        <w:t xml:space="preserve"> </w:t>
      </w:r>
      <w:r w:rsidRPr="00D96063">
        <w:rPr>
          <w:spacing w:val="1"/>
        </w:rPr>
        <w:t>e</w:t>
      </w:r>
      <w:r w:rsidRPr="00D96063">
        <w:t>lectr</w:t>
      </w:r>
      <w:r w:rsidRPr="00D96063">
        <w:rPr>
          <w:spacing w:val="-1"/>
        </w:rPr>
        <w:t>o</w:t>
      </w:r>
      <w:r w:rsidRPr="00D96063">
        <w:t>n</w:t>
      </w:r>
      <w:r w:rsidRPr="00D96063">
        <w:rPr>
          <w:spacing w:val="1"/>
        </w:rPr>
        <w:t>i</w:t>
      </w:r>
      <w:r w:rsidRPr="00D96063">
        <w:t>c co</w:t>
      </w:r>
      <w:r w:rsidRPr="00D96063">
        <w:rPr>
          <w:spacing w:val="-1"/>
        </w:rPr>
        <w:t>m</w:t>
      </w:r>
      <w:r w:rsidRPr="00D96063">
        <w:t>m</w:t>
      </w:r>
      <w:r w:rsidRPr="00D96063">
        <w:rPr>
          <w:spacing w:val="-1"/>
        </w:rPr>
        <w:t>u</w:t>
      </w:r>
      <w:r w:rsidRPr="00D96063">
        <w:t>n</w:t>
      </w:r>
      <w:r w:rsidRPr="00D96063">
        <w:rPr>
          <w:spacing w:val="1"/>
        </w:rPr>
        <w:t>i</w:t>
      </w:r>
      <w:r w:rsidRPr="00D96063">
        <w:t>cations e</w:t>
      </w:r>
      <w:r w:rsidRPr="00D96063">
        <w:rPr>
          <w:spacing w:val="1"/>
        </w:rPr>
        <w:t>q</w:t>
      </w:r>
      <w:r w:rsidRPr="00D96063">
        <w:t>ui</w:t>
      </w:r>
      <w:r w:rsidRPr="00D96063">
        <w:rPr>
          <w:spacing w:val="1"/>
        </w:rPr>
        <w:t>p</w:t>
      </w:r>
      <w:r w:rsidRPr="00D96063">
        <w:t>me</w:t>
      </w:r>
      <w:r w:rsidRPr="00D96063">
        <w:rPr>
          <w:spacing w:val="-2"/>
        </w:rPr>
        <w:t>n</w:t>
      </w:r>
      <w:r w:rsidRPr="00D96063">
        <w:t>t is certifi</w:t>
      </w:r>
      <w:r w:rsidRPr="00D96063">
        <w:rPr>
          <w:spacing w:val="1"/>
        </w:rPr>
        <w:t>e</w:t>
      </w:r>
      <w:r w:rsidRPr="00D96063">
        <w:t>d</w:t>
      </w:r>
      <w:r w:rsidRPr="00D96063">
        <w:rPr>
          <w:spacing w:val="-1"/>
        </w:rPr>
        <w:t xml:space="preserve"> </w:t>
      </w:r>
      <w:r w:rsidRPr="00D96063">
        <w:rPr>
          <w:spacing w:val="-2"/>
        </w:rPr>
        <w:t>b</w:t>
      </w:r>
      <w:r w:rsidRPr="00D96063">
        <w:t>y</w:t>
      </w:r>
      <w:r w:rsidRPr="00D96063">
        <w:rPr>
          <w:spacing w:val="-1"/>
        </w:rPr>
        <w:t xml:space="preserve"> </w:t>
      </w:r>
      <w:r w:rsidRPr="00D96063">
        <w:t>the A</w:t>
      </w:r>
      <w:r w:rsidRPr="00D96063">
        <w:rPr>
          <w:spacing w:val="-1"/>
        </w:rPr>
        <w:t>u</w:t>
      </w:r>
      <w:r w:rsidRPr="00D96063">
        <w:t>tho</w:t>
      </w:r>
      <w:r w:rsidRPr="00D96063">
        <w:rPr>
          <w:spacing w:val="-1"/>
        </w:rPr>
        <w:t>r</w:t>
      </w:r>
      <w:r w:rsidRPr="00D96063">
        <w:t>i</w:t>
      </w:r>
      <w:r w:rsidRPr="00D96063">
        <w:rPr>
          <w:spacing w:val="1"/>
        </w:rPr>
        <w:t>t</w:t>
      </w:r>
      <w:r w:rsidRPr="00D96063">
        <w:t>y</w:t>
      </w:r>
      <w:r w:rsidRPr="00D96063">
        <w:rPr>
          <w:spacing w:val="-1"/>
        </w:rPr>
        <w:t xml:space="preserve"> </w:t>
      </w:r>
      <w:r w:rsidRPr="00D96063">
        <w:t xml:space="preserve">to </w:t>
      </w:r>
      <w:r w:rsidRPr="00D96063">
        <w:rPr>
          <w:spacing w:val="1"/>
        </w:rPr>
        <w:t>b</w:t>
      </w:r>
      <w:r w:rsidRPr="00D96063">
        <w:t>e u</w:t>
      </w:r>
      <w:r w:rsidRPr="00D96063">
        <w:rPr>
          <w:spacing w:val="2"/>
        </w:rPr>
        <w:t>s</w:t>
      </w:r>
      <w:r w:rsidRPr="00D96063">
        <w:t>ed</w:t>
      </w:r>
      <w:r w:rsidRPr="00D96063">
        <w:rPr>
          <w:spacing w:val="-1"/>
        </w:rPr>
        <w:t xml:space="preserve"> </w:t>
      </w:r>
      <w:r w:rsidRPr="00D96063">
        <w:t>in</w:t>
      </w:r>
      <w:r w:rsidRPr="00D96063">
        <w:rPr>
          <w:spacing w:val="1"/>
        </w:rPr>
        <w:t xml:space="preserve"> </w:t>
      </w:r>
      <w:r w:rsidRPr="00D96063">
        <w:t>Ghana, i</w:t>
      </w:r>
      <w:r w:rsidRPr="00D96063">
        <w:rPr>
          <w:rFonts w:eastAsia="Calibri"/>
        </w:rPr>
        <w:t>n line with the Type Approval Guidelines, 2015</w:t>
      </w:r>
      <w:bookmarkEnd w:id="254"/>
      <w:r w:rsidRPr="00D96063">
        <w:rPr>
          <w:rFonts w:eastAsia="Calibri"/>
        </w:rPr>
        <w:t>.</w:t>
      </w:r>
    </w:p>
    <w:p w14:paraId="2B8D3F4B" w14:textId="77777777" w:rsidR="00C15F2E" w:rsidRPr="00D96063" w:rsidRDefault="00C15F2E" w:rsidP="00D868BF">
      <w:pPr>
        <w:pStyle w:val="Heading3"/>
      </w:pPr>
      <w:bookmarkStart w:id="255" w:name="_Toc103607733"/>
      <w:bookmarkEnd w:id="250"/>
      <w:bookmarkEnd w:id="251"/>
      <w:r w:rsidRPr="00D96063">
        <w:t>Financial services</w:t>
      </w:r>
      <w:bookmarkEnd w:id="255"/>
    </w:p>
    <w:p w14:paraId="64C1E51A" w14:textId="77777777" w:rsidR="00C15F2E" w:rsidRPr="00D96063" w:rsidRDefault="00C15F2E" w:rsidP="00D868BF">
      <w:pPr>
        <w:pStyle w:val="Heading4"/>
        <w:numPr>
          <w:ilvl w:val="3"/>
          <w:numId w:val="17"/>
        </w:numPr>
      </w:pPr>
      <w:bookmarkStart w:id="256" w:name="_Toc103607734"/>
      <w:r w:rsidRPr="00D96063">
        <w:t>Overview</w:t>
      </w:r>
      <w:bookmarkEnd w:id="256"/>
    </w:p>
    <w:p w14:paraId="7D7F13DF" w14:textId="77777777" w:rsidR="00C15F2E" w:rsidRPr="00D96063" w:rsidRDefault="00C15F2E" w:rsidP="003758E5">
      <w:pPr>
        <w:numPr>
          <w:ilvl w:val="6"/>
          <w:numId w:val="31"/>
        </w:numPr>
        <w:spacing w:after="240"/>
      </w:pPr>
      <w:r w:rsidRPr="00D96063">
        <w:t>At the time of the previous Review, Ghana's banking sector was on the brink of a massive failure. The financial sector contributed about 3.9% to GDP in 2020 (down from 4.9% in 2014 and 6.6% in 2016) (Table 1.1).</w:t>
      </w:r>
    </w:p>
    <w:p w14:paraId="0F2A54C4" w14:textId="77777777" w:rsidR="00C15F2E" w:rsidRPr="00D96063" w:rsidRDefault="00C15F2E" w:rsidP="003758E5">
      <w:pPr>
        <w:numPr>
          <w:ilvl w:val="6"/>
          <w:numId w:val="31"/>
        </w:numPr>
        <w:spacing w:after="240"/>
      </w:pPr>
      <w:r w:rsidRPr="00D96063">
        <w:t>Ghana has committed to a largely open banking sector under the GATS, while provisions on financial services seek (with little success) to reserve domestic insurance business for domestic companies. Ghana's GATS commitments on financial services generally bind the absence of market access or national treatment limitations on cross-border trade (mode 1) and consumption abroad (mode 2). They cover 10 subsectors including life, non-life, and reinsurance services; and various banking services, including acceptance of deposits, credit facilities, financial leasing, payments and transmission services, guarantees and commitments, and money market instruments. Also, Ghana scheduled no MFN exemptions in financial services under Article II of the GATS, nor did it notify commitments in the context of regional trade agreements under Article V of the GATS. Ghana has accepted the Fifth Protocol to the GATS concerning financial services.</w:t>
      </w:r>
    </w:p>
    <w:p w14:paraId="66029554" w14:textId="77777777" w:rsidR="00C15F2E" w:rsidRPr="00D96063" w:rsidRDefault="00C15F2E" w:rsidP="003758E5">
      <w:pPr>
        <w:numPr>
          <w:ilvl w:val="6"/>
          <w:numId w:val="31"/>
        </w:numPr>
        <w:spacing w:after="240"/>
      </w:pPr>
      <w:r w:rsidRPr="00D96063">
        <w:t>Banking services are regulated by the BoG, insurance services by the National Insurance Commission, securities services by the Securities and Exchange Commission (SEC), and the pensions sector by the National Pensions Regulatory Authority (NPRA).</w:t>
      </w:r>
      <w:bookmarkStart w:id="257" w:name="_Toc392845173"/>
    </w:p>
    <w:p w14:paraId="0C27A537" w14:textId="77777777" w:rsidR="00C15F2E" w:rsidRPr="00D96063" w:rsidRDefault="00C15F2E" w:rsidP="003758E5">
      <w:pPr>
        <w:numPr>
          <w:ilvl w:val="6"/>
          <w:numId w:val="31"/>
        </w:numPr>
        <w:spacing w:after="240"/>
      </w:pPr>
      <w:r w:rsidRPr="00D96063">
        <w:t xml:space="preserve">In 2013, Ghana accepted the Convention on Mutual Administrative Assistance in Tax Matters, a multilateral agreement developed jointly by the Council of Europe and the OECD. The Convention aims to help counter cross-border tax evasion and ensure compliance with national tax laws. In 2015, Ghana signed the Multilateral Competent Authority Agreement, implementing the new </w:t>
      </w:r>
      <w:r w:rsidRPr="00D96063">
        <w:lastRenderedPageBreak/>
        <w:t>Standard for automatic exchange of financial account information on tax matters, developed by the OECD working with G20 countries. In 2016, Ghana amended its Companies Act to require registration of beneficial ownership, including name, address, and date of birth (new Section 27 of the Companies Act (Act 179)). The Beneficial Ownership register was launched in 2020. The OECD Global Forum on Transparency and Exchange of Information for Tax Purposes listed Ghana as "partially compliant" in 2018 because "compliance with annual filing of returns needs improvement and oversight of availability of ownership information was not sufficiently rigorous".</w:t>
      </w:r>
      <w:r w:rsidRPr="00D96063">
        <w:rPr>
          <w:rStyle w:val="FootnoteReference"/>
        </w:rPr>
        <w:footnoteReference w:id="223"/>
      </w:r>
      <w:r w:rsidRPr="00D96063">
        <w:t xml:space="preserve"> Automatic exchange of information began in Ghana as of 2019.</w:t>
      </w:r>
      <w:r w:rsidRPr="00D96063">
        <w:rPr>
          <w:vertAlign w:val="superscript"/>
        </w:rPr>
        <w:footnoteReference w:id="224"/>
      </w:r>
      <w:r w:rsidRPr="00D96063">
        <w:t xml:space="preserve"> The Government announced in 2020 that its priorities included establishing an international financial centre. In October 2020, Ghana was on the European Commission's list of countries having strategic deficiencies in its anti-money</w:t>
      </w:r>
      <w:r w:rsidRPr="00D96063">
        <w:noBreakHyphen/>
        <w:t>laundering and counter-terrorism financing (AML/CFT) regime.</w:t>
      </w:r>
      <w:r w:rsidRPr="00D96063">
        <w:rPr>
          <w:vertAlign w:val="superscript"/>
        </w:rPr>
        <w:footnoteReference w:id="225"/>
      </w:r>
      <w:r w:rsidRPr="00D96063">
        <w:t xml:space="preserve"> In June 2021, the Financial Action Task Force (FATF) welcomed Ghana's significant progress in strengthening the effectiveness of its AML/CFT regime and addressing related technical deficiencies that the FATF had identified in October 2018. Ghana was therefore no longer subject to the FATF's increased monitoring process.</w:t>
      </w:r>
      <w:r w:rsidRPr="00D96063">
        <w:rPr>
          <w:vertAlign w:val="superscript"/>
        </w:rPr>
        <w:footnoteReference w:id="226"/>
      </w:r>
    </w:p>
    <w:p w14:paraId="67F9DF75" w14:textId="77777777" w:rsidR="00C15F2E" w:rsidRPr="00D96063" w:rsidRDefault="00C15F2E" w:rsidP="00D868BF">
      <w:pPr>
        <w:pStyle w:val="Heading4"/>
        <w:numPr>
          <w:ilvl w:val="3"/>
          <w:numId w:val="17"/>
        </w:numPr>
      </w:pPr>
      <w:bookmarkStart w:id="258" w:name="_Toc103607735"/>
      <w:r w:rsidRPr="00D96063">
        <w:t>Banking services</w:t>
      </w:r>
      <w:bookmarkEnd w:id="257"/>
      <w:bookmarkEnd w:id="258"/>
    </w:p>
    <w:p w14:paraId="77FE7958" w14:textId="77777777" w:rsidR="00C15F2E" w:rsidRPr="00D96063" w:rsidRDefault="00C15F2E" w:rsidP="003758E5">
      <w:pPr>
        <w:numPr>
          <w:ilvl w:val="6"/>
          <w:numId w:val="31"/>
        </w:numPr>
        <w:spacing w:after="240"/>
      </w:pPr>
      <w:r w:rsidRPr="00D96063">
        <w:t>The evolution of basic indicators of the banking system prompted asset quality reviews in 2015 and 2016 to establish the solvency of the banking sector. The reviews revealed under</w:t>
      </w:r>
      <w:r w:rsidRPr="00D96063">
        <w:noBreakHyphen/>
        <w:t>capitalization of several banks, with solvency challenges, poor corporate governance practices, weak risk management practices, liquidity challenges, regulatory breaches, and misreporting of financial information. Some banks, including state-owned banks, had varying degrees of performance problems, such as high non-performing loans (NPLs) whose prevalence limited banks' lending capacity and/or interfered with policy transmission and therefore impaired the effectiveness of monetary policy.</w:t>
      </w:r>
    </w:p>
    <w:p w14:paraId="7882301C" w14:textId="77777777" w:rsidR="00C15F2E" w:rsidRPr="00D96063" w:rsidRDefault="00C15F2E" w:rsidP="003758E5">
      <w:pPr>
        <w:numPr>
          <w:ilvl w:val="6"/>
          <w:numId w:val="31"/>
        </w:numPr>
        <w:spacing w:after="240"/>
      </w:pPr>
      <w:r w:rsidRPr="00D96063">
        <w:t>In 2020, some 23 banks were in operation, down from 28 in 2013. Gross loans amounted to GHS 47.8 billion at end-December 2020, compared to GHS 17 billion in December 2013. Foreign penetration in Ghana's banking system is high and has further increased as the country came out of the financial crisis.</w:t>
      </w:r>
      <w:r w:rsidRPr="00D96063" w:rsidDel="0004547A">
        <w:t xml:space="preserve"> </w:t>
      </w:r>
      <w:r w:rsidRPr="00D96063">
        <w:t>In 2020, after some nine – mostly locally controlled – banks were closed, foreign banks represented 60% of total bank assets.</w:t>
      </w:r>
    </w:p>
    <w:p w14:paraId="357C87DA" w14:textId="77777777" w:rsidR="00C15F2E" w:rsidRPr="00D96063" w:rsidRDefault="00C15F2E" w:rsidP="003758E5">
      <w:pPr>
        <w:numPr>
          <w:ilvl w:val="6"/>
          <w:numId w:val="31"/>
        </w:numPr>
        <w:spacing w:after="240"/>
      </w:pPr>
      <w:r w:rsidRPr="00D96063">
        <w:t>Starting from August 2017, nine banks were put under resolution and their licences revoked for various regulatory infractions. During the process, the Government stepped in to guarantee the payment of depositors' funds. Some banks were recapitalized. The BoG also paid back insolvent microfinance institutions' depositors. Several liabilities were absorbed by the State and consolidated into a state-owned bank, the Consolidated Bank of Ghana. In April 2015, the IMF extended USD 18 million to Ghana to help restore debt sustainability and macroeconomic stability, and foster growth and job creation (Section 1.2).</w:t>
      </w:r>
    </w:p>
    <w:p w14:paraId="05747C68" w14:textId="77777777" w:rsidR="00C15F2E" w:rsidRPr="00D96063" w:rsidRDefault="00C15F2E" w:rsidP="003758E5">
      <w:pPr>
        <w:numPr>
          <w:ilvl w:val="6"/>
          <w:numId w:val="31"/>
        </w:numPr>
        <w:spacing w:after="240"/>
      </w:pPr>
      <w:r w:rsidRPr="00D96063">
        <w:t>As a result of the reforms, at end-February 2021, total banking sector assets stood at GHS 152 billion (approximately USD 26 billion), considerably higher than the amount of GHS 40 billion in 2014.</w:t>
      </w:r>
      <w:r w:rsidRPr="00D96063">
        <w:rPr>
          <w:rStyle w:val="FootnoteReference"/>
        </w:rPr>
        <w:footnoteReference w:id="227"/>
      </w:r>
      <w:r w:rsidRPr="00D96063">
        <w:t xml:space="preserve"> Nevertheless, although the banking sector's NPL ratio declined from 21.6% in December 2017 to less than 15% in December 2020, at this level the current ratio remains high.</w:t>
      </w:r>
    </w:p>
    <w:p w14:paraId="60D55CD3" w14:textId="77777777" w:rsidR="00C15F2E" w:rsidRPr="00D96063" w:rsidRDefault="00C15F2E" w:rsidP="003758E5">
      <w:pPr>
        <w:numPr>
          <w:ilvl w:val="6"/>
          <w:numId w:val="31"/>
        </w:numPr>
        <w:spacing w:after="240"/>
      </w:pPr>
      <w:r w:rsidRPr="00D96063">
        <w:t xml:space="preserve">In 2016, a new Banks and Specialized Deposit-Taking Institutions Act, 2016 (Act 930) was issued as part of the restructuring efforts, covering banks and other specialized deposit-taking </w:t>
      </w:r>
      <w:r w:rsidRPr="00D96063">
        <w:lastRenderedPageBreak/>
        <w:t>institutions (SDIs), to ensure that banks meet sound underwriting and credit evaluation standards.</w:t>
      </w:r>
      <w:r w:rsidRPr="00D96063">
        <w:rPr>
          <w:rStyle w:val="FootnoteReference"/>
        </w:rPr>
        <w:footnoteReference w:id="228"/>
      </w:r>
      <w:r w:rsidRPr="00D96063">
        <w:t xml:space="preserve"> As of January 2022, no regulations accompanying Act 930 had been issued.</w:t>
      </w:r>
    </w:p>
    <w:p w14:paraId="7456E995" w14:textId="77777777" w:rsidR="00C15F2E" w:rsidRPr="00D96063" w:rsidRDefault="00C15F2E" w:rsidP="003758E5">
      <w:pPr>
        <w:numPr>
          <w:ilvl w:val="6"/>
          <w:numId w:val="31"/>
        </w:numPr>
        <w:spacing w:after="240"/>
      </w:pPr>
      <w:r w:rsidRPr="00D96063">
        <w:t>Act 930 also gave the BoG extensive resolution powers that facilitated the clean-up exercise that took place between 2017 and 2019. Unlike the previous Act, Act 930 provided a framework for the conduct of liquidation, with provisions on basic bank resolution tools, such as the power to: (i) transfer some or all assets and liabilities of a troubled bank to a healthier acquirer; (ii) establish a temporary "bridge bank" where no healthy acquirer is available; and (iii) carry out a rapid recapitalization or a restructuring of liabilities of a troubled bank.</w:t>
      </w:r>
    </w:p>
    <w:p w14:paraId="454BFEA7" w14:textId="3B810482" w:rsidR="00C15F2E" w:rsidRPr="00D96063" w:rsidRDefault="00C15F2E" w:rsidP="003758E5">
      <w:pPr>
        <w:numPr>
          <w:ilvl w:val="6"/>
          <w:numId w:val="31"/>
        </w:numPr>
        <w:spacing w:after="240"/>
      </w:pPr>
      <w:r w:rsidRPr="00D96063">
        <w:t>Act 930 also introduced safety net (deposit protection) provisions for small savers, and in 2016 the Ghana Deposit Protection Act, 2016 (Act 931) was passed, giving legal backing to the establishment of the Ghana Deposit Protection Scheme. The Act was later amended by the Ghana Deposit Protection (Amendment) Act, 2018 (Act 968). The Scheme became operational in September 2019. The maximum compensation payable to a depositor of a bank is GHS 6,250</w:t>
      </w:r>
      <w:r w:rsidR="0074236B" w:rsidRPr="00D96063">
        <w:t> </w:t>
      </w:r>
      <w:r w:rsidRPr="00D96063">
        <w:t xml:space="preserve">(approximately USD 1,000), and the maximum compensation payable to a depositor of an SDI is GHS 1,250. It is funded by bank contributions. Act 930 requires, </w:t>
      </w:r>
      <w:r w:rsidRPr="00D96063">
        <w:rPr>
          <w:i/>
          <w:iCs/>
        </w:rPr>
        <w:t>inter alia</w:t>
      </w:r>
      <w:r w:rsidRPr="00D96063">
        <w:t>, that the Ghana Deposit Protection Corporation be immediately notified when a new bank or SDI is issued a licence.</w:t>
      </w:r>
    </w:p>
    <w:p w14:paraId="0F751A86" w14:textId="77777777" w:rsidR="00C15F2E" w:rsidRPr="00D96063" w:rsidRDefault="00C15F2E" w:rsidP="003758E5">
      <w:pPr>
        <w:numPr>
          <w:ilvl w:val="6"/>
          <w:numId w:val="31"/>
        </w:numPr>
        <w:spacing w:after="240"/>
      </w:pPr>
      <w:r w:rsidRPr="00D96063">
        <w:t>A new Capital Requirement Directive under the Basel II/III framework for regulating banks was introduced in 2019, requiring that banks set aside adequate capital to cover unexpected losses, to become more resilient to capital shocks. In addition, new rules to promote cyber and information security were issued. In that same year, new sustainable banking principles were launched, which were to be applied by banks when conducting their business in order to promote responsible and environmental and social practices to the benefit of the economy and communities.</w:t>
      </w:r>
      <w:r w:rsidRPr="00D96063">
        <w:rPr>
          <w:rStyle w:val="FootnoteReference"/>
        </w:rPr>
        <w:footnoteReference w:id="229"/>
      </w:r>
    </w:p>
    <w:p w14:paraId="1A872F98" w14:textId="77777777" w:rsidR="00C15F2E" w:rsidRPr="00D96063" w:rsidRDefault="00C15F2E" w:rsidP="003758E5">
      <w:pPr>
        <w:numPr>
          <w:ilvl w:val="6"/>
          <w:numId w:val="31"/>
        </w:numPr>
        <w:spacing w:after="240"/>
      </w:pPr>
      <w:r w:rsidRPr="00D96063">
        <w:rPr>
          <w:snapToGrid w:val="0"/>
        </w:rPr>
        <w:t xml:space="preserve">For banking services, the </w:t>
      </w:r>
      <w:r w:rsidRPr="00D96063">
        <w:t>only</w:t>
      </w:r>
      <w:r w:rsidRPr="00D96063">
        <w:rPr>
          <w:snapToGrid w:val="0"/>
        </w:rPr>
        <w:t xml:space="preserve"> GATS market access limitation on commercial presence relates to prudential licensing. National treatment is ensured, except that the Government may support local financial institutions in rural areas. Only Ghanaian nationals may apply for a licence to establish a foreign exchange bureau.</w:t>
      </w:r>
      <w:r w:rsidRPr="00D96063">
        <w:rPr>
          <w:rStyle w:val="FootnoteReference"/>
          <w:snapToGrid w:val="0"/>
        </w:rPr>
        <w:footnoteReference w:id="230"/>
      </w:r>
    </w:p>
    <w:p w14:paraId="4F399470" w14:textId="77777777" w:rsidR="00C15F2E" w:rsidRPr="00D96063" w:rsidRDefault="00C15F2E" w:rsidP="003758E5">
      <w:pPr>
        <w:numPr>
          <w:ilvl w:val="6"/>
          <w:numId w:val="31"/>
        </w:numPr>
        <w:spacing w:after="240"/>
      </w:pPr>
      <w:r w:rsidRPr="00D96063">
        <w:t>The minimum paid-up capital requirement to set up a bank was increased from GHS 120 million (approximately USD 20 million) to GHS 400 million (USD 67 million). Fit and proper tests are conducted on the initial directors and shareholders of the project.</w:t>
      </w:r>
      <w:r w:rsidRPr="00D96063">
        <w:rPr>
          <w:rStyle w:val="FootnoteReference"/>
        </w:rPr>
        <w:footnoteReference w:id="231"/>
      </w:r>
      <w:r w:rsidRPr="00D96063">
        <w:t xml:space="preserve"> Investors wishing to acquire a share of 10% or more in any listed banking stock require prior approval by the BoG. A deposit-taking institution shall not engage in the trading of foreign exchange or offer services denominated in a foreign currency.</w:t>
      </w:r>
    </w:p>
    <w:p w14:paraId="6F006BB2" w14:textId="77777777" w:rsidR="00C15F2E" w:rsidRPr="00D96063" w:rsidRDefault="00C15F2E" w:rsidP="003758E5">
      <w:pPr>
        <w:numPr>
          <w:ilvl w:val="6"/>
          <w:numId w:val="31"/>
        </w:numPr>
        <w:spacing w:after="240"/>
      </w:pPr>
      <w:r w:rsidRPr="00D96063">
        <w:t>Foreign deposit-taking institutions shall not establish a representative office in the country without the prior written approval of the BoG. A representative office of a foreign bank shall not transact any form of deposit-taking or other business in the country (Act 930).</w:t>
      </w:r>
    </w:p>
    <w:p w14:paraId="7E3071CA" w14:textId="77777777" w:rsidR="00C15F2E" w:rsidRPr="00D96063" w:rsidRDefault="00C15F2E" w:rsidP="003758E5">
      <w:pPr>
        <w:numPr>
          <w:ilvl w:val="6"/>
          <w:numId w:val="31"/>
        </w:numPr>
        <w:spacing w:after="240"/>
      </w:pPr>
      <w:r w:rsidRPr="00D96063">
        <w:t xml:space="preserve">A number of taxes are levied on banks and SDIs. Banks lending to the agricultural and leasing sectors pay a reduced corporate tax of 20% on income from those businesses. The National Fiscal Stabilization Levy Act, 2009 (Act 785) provides for a 5% levy charged on a company's profit before tax. The levy applies to banks (excluding rural and community banks), non-bank financial institutions, and other selected companies, and it is intended to raise revenue towards fiscal stabilization. The Financial Sector Recovery Levy Act, 2021 (Act 1067) imposes a 5% Financial Sector Clean-up Levy on banks' profits before tax to raise revenue to support the financial sector reforms and related matters. It applies to all banks except rural and community banks. The levy is not </w:t>
      </w:r>
      <w:r w:rsidRPr="00D96063">
        <w:lastRenderedPageBreak/>
        <w:t>deductible for the purpose of ascertaining a person's chargeable income under the Income Tax Act, 2015 (Act 896).</w:t>
      </w:r>
    </w:p>
    <w:p w14:paraId="238A4267" w14:textId="77777777" w:rsidR="00C15F2E" w:rsidRPr="00D96063" w:rsidRDefault="00C15F2E" w:rsidP="003758E5">
      <w:pPr>
        <w:numPr>
          <w:ilvl w:val="6"/>
          <w:numId w:val="31"/>
        </w:numPr>
        <w:spacing w:after="240"/>
      </w:pPr>
      <w:r w:rsidRPr="00D96063">
        <w:t>On completion of the banking sector clean-up, the BoG focused on the SDI sector made up of savings and loans institutions, finance houses, and microfinance companies. Between May and August 2019, the BoG revoked the licences of 347 insolvent microfinance companies (including 155 companies that had already ceased operations) and 23 savings and loans companies and finance house companies, all of which were assessed as insolvent. According to the authorities, depositors' funds were reimbursed by the Government. In September 2019, all banks and other deposit-taking institutions, namely savings and loans companies, finance houses, microfinance companies, and rural and community banks, were obliged to become members of a deposit insurance scheme. Premiums paid by these member-institutions will be invested by the Ghana Deposit Protection Corporation (GDPC) and used to pay depositors of these institutions in the event they fail in the future.</w:t>
      </w:r>
    </w:p>
    <w:p w14:paraId="0A22322D" w14:textId="77777777" w:rsidR="00C15F2E" w:rsidRPr="00D96063" w:rsidRDefault="00C15F2E" w:rsidP="003758E5">
      <w:pPr>
        <w:numPr>
          <w:ilvl w:val="6"/>
          <w:numId w:val="31"/>
        </w:numPr>
        <w:spacing w:after="240"/>
      </w:pPr>
      <w:r w:rsidRPr="00D96063">
        <w:t xml:space="preserve"> As part of the clean-up exercise and regulatory reforms of the banks and SDI sectors, the BoG introduced the Corporate Governance Directive and the Fit and Proper Persons Directive, which include requirements to ensure that bank and SDI boards be composed of persons who understand their duties as directors of financial institutions, can exercise strong and independent oversight, and are able to protect the interests of all relevant stakeholders. Also, banks and SDIs were required to have key management personnel with adequate qualifications, experience, and integrity to effectively manage these institutions.</w:t>
      </w:r>
    </w:p>
    <w:p w14:paraId="5CEBAA22" w14:textId="77777777" w:rsidR="00C15F2E" w:rsidRPr="00D96063" w:rsidRDefault="00C15F2E" w:rsidP="00D868BF">
      <w:pPr>
        <w:pStyle w:val="Heading4"/>
        <w:numPr>
          <w:ilvl w:val="3"/>
          <w:numId w:val="17"/>
        </w:numPr>
      </w:pPr>
      <w:bookmarkStart w:id="259" w:name="_Toc392845174"/>
      <w:bookmarkStart w:id="260" w:name="_Toc103607736"/>
      <w:r w:rsidRPr="00D96063">
        <w:t>Insurance</w:t>
      </w:r>
      <w:bookmarkEnd w:id="259"/>
      <w:r w:rsidRPr="00D96063">
        <w:t xml:space="preserve"> services</w:t>
      </w:r>
      <w:bookmarkEnd w:id="260"/>
    </w:p>
    <w:p w14:paraId="57EAC69F" w14:textId="77777777" w:rsidR="00C15F2E" w:rsidRPr="00D96063" w:rsidRDefault="00C15F2E" w:rsidP="003758E5">
      <w:pPr>
        <w:numPr>
          <w:ilvl w:val="6"/>
          <w:numId w:val="31"/>
        </w:numPr>
        <w:spacing w:after="240"/>
      </w:pPr>
      <w:r w:rsidRPr="00D96063">
        <w:rPr>
          <w:snapToGrid w:val="0"/>
        </w:rPr>
        <w:t xml:space="preserve">Total gross premium income in Ghana's insurance sector has increased since 2014, particularly in the life </w:t>
      </w:r>
      <w:r w:rsidRPr="00D96063">
        <w:t>insurance</w:t>
      </w:r>
      <w:r w:rsidRPr="00D96063">
        <w:rPr>
          <w:snapToGrid w:val="0"/>
        </w:rPr>
        <w:t xml:space="preserve"> segment; it reached over USD 800 million annually in 2020 (Chart 4.5). However, the insurance penetration rate (the contribution of total insurance premiums to GDP) is on a declining trend. Well over half of total premiums consist of life and motor vehicle insurance.</w:t>
      </w:r>
    </w:p>
    <w:p w14:paraId="64D2ADA8" w14:textId="66A2E9BC" w:rsidR="00C15F2E" w:rsidRPr="00D96063" w:rsidRDefault="00C15F2E" w:rsidP="00D868BF">
      <w:pPr>
        <w:pStyle w:val="Caption"/>
      </w:pPr>
      <w:bookmarkStart w:id="261" w:name="_Toc103607810"/>
      <w:r w:rsidRPr="00D96063">
        <w:t xml:space="preserve">Chart </w:t>
      </w:r>
      <w:fldSimple w:instr=" STYLEREF 1 \s ">
        <w:r w:rsidR="004B63B1">
          <w:rPr>
            <w:noProof/>
          </w:rPr>
          <w:t>4</w:t>
        </w:r>
      </w:fldSimple>
      <w:r w:rsidR="00045F7A">
        <w:t>.</w:t>
      </w:r>
      <w:fldSimple w:instr=" SEQ Chart \* ARABIC \s 1 ">
        <w:r w:rsidR="004B63B1">
          <w:rPr>
            <w:noProof/>
          </w:rPr>
          <w:t>5</w:t>
        </w:r>
      </w:fldSimple>
      <w:r w:rsidRPr="00D96063">
        <w:t xml:space="preserve"> Gross premiums collected by insurance services providers, 2010-20</w:t>
      </w:r>
      <w:bookmarkEnd w:id="261"/>
    </w:p>
    <w:p w14:paraId="015CF574" w14:textId="77777777" w:rsidR="00C15F2E" w:rsidRPr="00D96063" w:rsidRDefault="00C15F2E" w:rsidP="00D868BF">
      <w:pPr>
        <w:keepNext/>
        <w:rPr>
          <w:b/>
          <w:bCs/>
          <w:sz w:val="16"/>
          <w:szCs w:val="16"/>
        </w:rPr>
      </w:pPr>
      <w:r w:rsidRPr="00D96063">
        <w:rPr>
          <w:sz w:val="16"/>
          <w:szCs w:val="16"/>
          <w:lang w:eastAsia="en-GB"/>
        </w:rPr>
        <w:t>(USD million)</w:t>
      </w:r>
    </w:p>
    <w:p w14:paraId="7CB3E200" w14:textId="51F41783" w:rsidR="00597021" w:rsidRPr="00D96063" w:rsidRDefault="00597021" w:rsidP="00597021">
      <w:r w:rsidRPr="00D96063">
        <w:rPr>
          <w:noProof/>
        </w:rPr>
        <w:drawing>
          <wp:inline distT="0" distB="0" distL="0" distR="0" wp14:anchorId="7AD1B0C0" wp14:editId="22C12C8F">
            <wp:extent cx="5731510" cy="2943225"/>
            <wp:effectExtent l="0" t="0" r="254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t="12168" b="14108"/>
                    <a:stretch/>
                  </pic:blipFill>
                  <pic:spPr bwMode="auto">
                    <a:xfrm>
                      <a:off x="0" y="0"/>
                      <a:ext cx="5731510" cy="2943225"/>
                    </a:xfrm>
                    <a:prstGeom prst="rect">
                      <a:avLst/>
                    </a:prstGeom>
                    <a:noFill/>
                    <a:ln>
                      <a:noFill/>
                    </a:ln>
                    <a:extLst>
                      <a:ext uri="{53640926-AAD7-44D8-BBD7-CCE9431645EC}">
                        <a14:shadowObscured xmlns:a14="http://schemas.microsoft.com/office/drawing/2010/main"/>
                      </a:ext>
                    </a:extLst>
                  </pic:spPr>
                </pic:pic>
              </a:graphicData>
            </a:graphic>
          </wp:inline>
        </w:drawing>
      </w:r>
    </w:p>
    <w:p w14:paraId="6AA01679" w14:textId="221D1F92" w:rsidR="00C15F2E" w:rsidRPr="00D96063" w:rsidRDefault="00C15F2E" w:rsidP="00D868BF">
      <w:pPr>
        <w:pStyle w:val="NoteText"/>
        <w:spacing w:before="120" w:after="240"/>
        <w:rPr>
          <w:b/>
          <w:bCs/>
        </w:rPr>
      </w:pPr>
      <w:r w:rsidRPr="00D96063">
        <w:t>Source:</w:t>
      </w:r>
      <w:r w:rsidR="00C55F19" w:rsidRPr="00D96063">
        <w:tab/>
      </w:r>
      <w:r w:rsidRPr="00D96063">
        <w:t>Information provided by the authorities.</w:t>
      </w:r>
    </w:p>
    <w:p w14:paraId="1A8B18D2" w14:textId="70335590" w:rsidR="00C15F2E" w:rsidRPr="00D96063" w:rsidRDefault="00C15F2E" w:rsidP="003758E5">
      <w:pPr>
        <w:numPr>
          <w:ilvl w:val="6"/>
          <w:numId w:val="31"/>
        </w:numPr>
        <w:spacing w:after="240"/>
        <w:rPr>
          <w:snapToGrid w:val="0"/>
        </w:rPr>
      </w:pPr>
      <w:r w:rsidRPr="00D96063">
        <w:rPr>
          <w:snapToGrid w:val="0"/>
        </w:rPr>
        <w:t>The structure of the market remained stable over the review period. At end</w:t>
      </w:r>
      <w:r w:rsidRPr="00D96063">
        <w:rPr>
          <w:snapToGrid w:val="0"/>
        </w:rPr>
        <w:noBreakHyphen/>
        <w:t xml:space="preserve">September 2021, there were 25 non-life insurance companies, 20 life insurance companies, two locally owned reinsurance companies, 60 broking companies, 1 loss adjuster, 1 reinsurance broker, and 4,537 registered insurance agents. Foreign ownership is important, with 8 of the 20 life </w:t>
      </w:r>
      <w:r w:rsidRPr="00D96063">
        <w:rPr>
          <w:snapToGrid w:val="0"/>
        </w:rPr>
        <w:lastRenderedPageBreak/>
        <w:t xml:space="preserve">insurers partly or totally foreign-owned, as are 8 of the 25 non-life insurers. Three insurance companies (State Insurance Company (SIC) Life, SIC Non-Life, and Ghana Reinsurance Company) are partly state-owned, with the State being the majority shareholder. It was incorporated in </w:t>
      </w:r>
      <w:r w:rsidRPr="00D96063">
        <w:t>February</w:t>
      </w:r>
      <w:r w:rsidRPr="00D96063">
        <w:rPr>
          <w:snapToGrid w:val="0"/>
        </w:rPr>
        <w:t xml:space="preserve"> 1962 and converted into a Public Limited Liability Company in 1995. In 2008, the State sold 60% of the company's shares on the Ghana Stock Exchange, retaining a 40% equity share.</w:t>
      </w:r>
    </w:p>
    <w:p w14:paraId="6543E33D" w14:textId="77777777" w:rsidR="00C15F2E" w:rsidRPr="00D96063" w:rsidRDefault="00C15F2E" w:rsidP="003758E5">
      <w:pPr>
        <w:numPr>
          <w:ilvl w:val="6"/>
          <w:numId w:val="31"/>
        </w:numPr>
        <w:spacing w:after="240"/>
        <w:rPr>
          <w:snapToGrid w:val="0"/>
        </w:rPr>
      </w:pPr>
      <w:r w:rsidRPr="00D96063">
        <w:rPr>
          <w:snapToGrid w:val="0"/>
        </w:rPr>
        <w:t>The insurance industry is regulated by the National Insurance Commission (NIC) under the Insurance Act, 2021 (Act 1061), which replaced the Insurance Acts, 2006 (Act 724).</w:t>
      </w:r>
      <w:r w:rsidRPr="00D96063">
        <w:rPr>
          <w:rStyle w:val="FootnoteReference"/>
          <w:snapToGrid w:val="0"/>
        </w:rPr>
        <w:footnoteReference w:id="232"/>
      </w:r>
      <w:r w:rsidRPr="00D96063">
        <w:rPr>
          <w:snapToGrid w:val="0"/>
        </w:rPr>
        <w:t xml:space="preserve"> All insurance companies and brokers must be incorporated under the Companies Act and licensed by the NIC.</w:t>
      </w:r>
      <w:bookmarkStart w:id="262" w:name="_Hlk80348684"/>
      <w:r w:rsidRPr="00D96063">
        <w:rPr>
          <w:snapToGrid w:val="0"/>
        </w:rPr>
        <w:t xml:space="preserve"> Act 724 abolished ownership limitations for foreigners in the insurance subsector. There are no restrictions on foreign ownership of direct or reinsurance business shareholding. Nonetheless, insurance and reinsurance companies are required to exhaust local capacity before having recourse to foreign-based </w:t>
      </w:r>
      <w:r w:rsidRPr="00D96063">
        <w:t>companies</w:t>
      </w:r>
      <w:r w:rsidRPr="00D96063">
        <w:rPr>
          <w:snapToGrid w:val="0"/>
        </w:rPr>
        <w:t>. Ghanaians residing in Ghana may buy insurance abroad only if that type of insurance is not available in Ghana. Insurance companies incorporated and registered in Ghana can cover risks located abroad. Until 2009, all direct insurance companies were obliged to reinsure 20% of their business with the Ghana Reinsurance Company (Ghana Re); it has a Financial Strength Rating of B (Fair) and a Long-Term Issuer Credit Rating of bb with AM Best.</w:t>
      </w:r>
    </w:p>
    <w:p w14:paraId="787188C7" w14:textId="77777777" w:rsidR="00C15F2E" w:rsidRPr="00D96063" w:rsidRDefault="00C15F2E" w:rsidP="003758E5">
      <w:pPr>
        <w:numPr>
          <w:ilvl w:val="6"/>
          <w:numId w:val="31"/>
        </w:numPr>
        <w:spacing w:after="240"/>
        <w:rPr>
          <w:snapToGrid w:val="0"/>
        </w:rPr>
      </w:pPr>
      <w:r w:rsidRPr="00D96063">
        <w:rPr>
          <w:snapToGrid w:val="0"/>
        </w:rPr>
        <w:t>Some the key provisions introduced by the new Insurance Act, 2021 are presented in Table 4.18. Act 1061 requires all goods being imported into Ghana to be insured with insurers licensed in Ghana (Section 2.22).</w:t>
      </w:r>
    </w:p>
    <w:p w14:paraId="36993088" w14:textId="04805DAD" w:rsidR="00C15F2E" w:rsidRPr="00D96063" w:rsidRDefault="00C15F2E" w:rsidP="00D868BF">
      <w:pPr>
        <w:pStyle w:val="Caption"/>
        <w:rPr>
          <w:rFonts w:asciiTheme="minorHAnsi" w:hAnsiTheme="minorHAnsi"/>
          <w:sz w:val="22"/>
        </w:rPr>
      </w:pPr>
      <w:bookmarkStart w:id="263" w:name="_Toc103607914"/>
      <w:bookmarkStart w:id="264" w:name="_Hlk98488385"/>
      <w:bookmarkStart w:id="265" w:name="_Hlk98488449"/>
      <w:r w:rsidRPr="00D96063">
        <w:t xml:space="preserve">Table </w:t>
      </w:r>
      <w:fldSimple w:instr=" STYLEREF 1 \s ">
        <w:r w:rsidR="004B63B1">
          <w:rPr>
            <w:noProof/>
          </w:rPr>
          <w:t>4</w:t>
        </w:r>
      </w:fldSimple>
      <w:r w:rsidR="00BF3184">
        <w:t>.</w:t>
      </w:r>
      <w:fldSimple w:instr=" SEQ Table \* ARABIC \s 1 ">
        <w:r w:rsidR="004B63B1">
          <w:rPr>
            <w:noProof/>
          </w:rPr>
          <w:t>18</w:t>
        </w:r>
      </w:fldSimple>
      <w:r w:rsidRPr="00D96063">
        <w:t xml:space="preserve"> Selected provisions of the Insurance Act, 2021</w:t>
      </w:r>
      <w:bookmarkEnd w:id="263"/>
    </w:p>
    <w:tbl>
      <w:tblPr>
        <w:tblStyle w:val="WTOTable11"/>
        <w:tblW w:w="8926" w:type="dxa"/>
        <w:tblLook w:val="04A0" w:firstRow="1" w:lastRow="0" w:firstColumn="1" w:lastColumn="0" w:noHBand="0" w:noVBand="1"/>
      </w:tblPr>
      <w:tblGrid>
        <w:gridCol w:w="1151"/>
        <w:gridCol w:w="7775"/>
      </w:tblGrid>
      <w:tr w:rsidR="00C15F2E" w:rsidRPr="00053B83" w14:paraId="6D72C0E4" w14:textId="77777777" w:rsidTr="00597021">
        <w:trPr>
          <w:cnfStyle w:val="100000000000" w:firstRow="1" w:lastRow="0" w:firstColumn="0" w:lastColumn="0" w:oddVBand="0" w:evenVBand="0" w:oddHBand="0" w:evenHBand="0" w:firstRowFirstColumn="0" w:firstRowLastColumn="0" w:lastRowFirstColumn="0" w:lastRowLastColumn="0"/>
          <w:trHeight w:val="20"/>
          <w:tblHeader/>
        </w:trPr>
        <w:tc>
          <w:tcPr>
            <w:tcW w:w="988" w:type="dxa"/>
          </w:tcPr>
          <w:p w14:paraId="2DE79D29" w14:textId="77777777" w:rsidR="00C15F2E" w:rsidRPr="00053B83" w:rsidRDefault="00C15F2E" w:rsidP="00053B83">
            <w:pPr>
              <w:jc w:val="left"/>
              <w:rPr>
                <w:bCs/>
                <w:sz w:val="16"/>
                <w:szCs w:val="16"/>
              </w:rPr>
            </w:pPr>
            <w:r w:rsidRPr="00053B83">
              <w:rPr>
                <w:bCs/>
                <w:sz w:val="16"/>
                <w:szCs w:val="16"/>
              </w:rPr>
              <w:t xml:space="preserve">Section(s) </w:t>
            </w:r>
          </w:p>
        </w:tc>
        <w:tc>
          <w:tcPr>
            <w:tcW w:w="7938" w:type="dxa"/>
          </w:tcPr>
          <w:p w14:paraId="2984F9E0" w14:textId="77777777" w:rsidR="00C15F2E" w:rsidRPr="00053B83" w:rsidRDefault="00C15F2E" w:rsidP="00053B83">
            <w:pPr>
              <w:jc w:val="left"/>
              <w:rPr>
                <w:bCs/>
                <w:sz w:val="16"/>
                <w:szCs w:val="16"/>
              </w:rPr>
            </w:pPr>
            <w:r w:rsidRPr="00053B83">
              <w:rPr>
                <w:bCs/>
                <w:sz w:val="16"/>
                <w:szCs w:val="16"/>
              </w:rPr>
              <w:t>Provision</w:t>
            </w:r>
          </w:p>
        </w:tc>
      </w:tr>
      <w:tr w:rsidR="00C15F2E" w:rsidRPr="00053B83" w14:paraId="37509FEB" w14:textId="77777777" w:rsidTr="00053B83">
        <w:tc>
          <w:tcPr>
            <w:tcW w:w="988" w:type="dxa"/>
          </w:tcPr>
          <w:p w14:paraId="665EE5B5" w14:textId="77777777" w:rsidR="00C15F2E" w:rsidRPr="00053B83" w:rsidRDefault="00C15F2E" w:rsidP="00053B83">
            <w:pPr>
              <w:ind w:right="170"/>
              <w:jc w:val="left"/>
              <w:rPr>
                <w:sz w:val="16"/>
                <w:szCs w:val="16"/>
              </w:rPr>
            </w:pPr>
            <w:r w:rsidRPr="00053B83">
              <w:rPr>
                <w:sz w:val="16"/>
                <w:szCs w:val="16"/>
              </w:rPr>
              <w:t>3 (e)</w:t>
            </w:r>
          </w:p>
        </w:tc>
        <w:tc>
          <w:tcPr>
            <w:tcW w:w="7938" w:type="dxa"/>
          </w:tcPr>
          <w:p w14:paraId="619F4CC2" w14:textId="77777777" w:rsidR="00C15F2E" w:rsidRPr="00053B83" w:rsidRDefault="00C15F2E" w:rsidP="00053B83">
            <w:pPr>
              <w:ind w:right="113"/>
              <w:rPr>
                <w:sz w:val="16"/>
                <w:szCs w:val="16"/>
              </w:rPr>
            </w:pPr>
            <w:r w:rsidRPr="00053B83">
              <w:rPr>
                <w:sz w:val="16"/>
                <w:szCs w:val="16"/>
              </w:rPr>
              <w:t xml:space="preserve">Group-wide supervision includes the power to supervise insurance entities on a group-wide basis as well as on an individual basis. </w:t>
            </w:r>
          </w:p>
        </w:tc>
      </w:tr>
      <w:tr w:rsidR="00C15F2E" w:rsidRPr="00053B83" w14:paraId="0AE8DD0F" w14:textId="77777777" w:rsidTr="00053B83">
        <w:trPr>
          <w:cnfStyle w:val="000000010000" w:firstRow="0" w:lastRow="0" w:firstColumn="0" w:lastColumn="0" w:oddVBand="0" w:evenVBand="0" w:oddHBand="0" w:evenHBand="1" w:firstRowFirstColumn="0" w:firstRowLastColumn="0" w:lastRowFirstColumn="0" w:lastRowLastColumn="0"/>
        </w:trPr>
        <w:tc>
          <w:tcPr>
            <w:tcW w:w="988" w:type="dxa"/>
          </w:tcPr>
          <w:p w14:paraId="2B13D45D" w14:textId="77777777" w:rsidR="00C15F2E" w:rsidRPr="00053B83" w:rsidRDefault="00C15F2E" w:rsidP="00053B83">
            <w:pPr>
              <w:ind w:right="170"/>
              <w:jc w:val="left"/>
              <w:rPr>
                <w:sz w:val="16"/>
                <w:szCs w:val="16"/>
              </w:rPr>
            </w:pPr>
            <w:r w:rsidRPr="00053B83">
              <w:rPr>
                <w:sz w:val="16"/>
                <w:szCs w:val="16"/>
              </w:rPr>
              <w:t>5</w:t>
            </w:r>
          </w:p>
        </w:tc>
        <w:tc>
          <w:tcPr>
            <w:tcW w:w="7938" w:type="dxa"/>
          </w:tcPr>
          <w:p w14:paraId="32C6AD08" w14:textId="77777777" w:rsidR="00C15F2E" w:rsidRPr="00053B83" w:rsidRDefault="00C15F2E" w:rsidP="00053B83">
            <w:pPr>
              <w:ind w:right="113"/>
              <w:rPr>
                <w:sz w:val="16"/>
                <w:szCs w:val="16"/>
              </w:rPr>
            </w:pPr>
            <w:r w:rsidRPr="00053B83">
              <w:rPr>
                <w:sz w:val="16"/>
                <w:szCs w:val="16"/>
              </w:rPr>
              <w:t xml:space="preserve">Independence of the Commission in discharging its functions. </w:t>
            </w:r>
          </w:p>
        </w:tc>
      </w:tr>
      <w:tr w:rsidR="00C15F2E" w:rsidRPr="00053B83" w14:paraId="520F98CF" w14:textId="77777777" w:rsidTr="00053B83">
        <w:tc>
          <w:tcPr>
            <w:tcW w:w="988" w:type="dxa"/>
          </w:tcPr>
          <w:p w14:paraId="22753110" w14:textId="77777777" w:rsidR="00C15F2E" w:rsidRPr="00053B83" w:rsidRDefault="00C15F2E" w:rsidP="00053B83">
            <w:pPr>
              <w:ind w:right="170"/>
              <w:jc w:val="left"/>
              <w:rPr>
                <w:sz w:val="16"/>
                <w:szCs w:val="16"/>
              </w:rPr>
            </w:pPr>
            <w:r w:rsidRPr="00053B83">
              <w:rPr>
                <w:sz w:val="16"/>
                <w:szCs w:val="16"/>
              </w:rPr>
              <w:t>44</w:t>
            </w:r>
          </w:p>
        </w:tc>
        <w:tc>
          <w:tcPr>
            <w:tcW w:w="7938" w:type="dxa"/>
          </w:tcPr>
          <w:p w14:paraId="04E7F787" w14:textId="77777777" w:rsidR="00C15F2E" w:rsidRPr="00053B83" w:rsidRDefault="00C15F2E" w:rsidP="00053B83">
            <w:pPr>
              <w:ind w:right="113"/>
              <w:rPr>
                <w:sz w:val="16"/>
                <w:szCs w:val="16"/>
              </w:rPr>
            </w:pPr>
            <w:r w:rsidRPr="00053B83">
              <w:rPr>
                <w:sz w:val="16"/>
                <w:szCs w:val="16"/>
              </w:rPr>
              <w:t>Reasons for refusal to grant licence or imposition of conditions to be spelled out.</w:t>
            </w:r>
          </w:p>
        </w:tc>
      </w:tr>
      <w:tr w:rsidR="00C15F2E" w:rsidRPr="00053B83" w14:paraId="421095FB" w14:textId="77777777" w:rsidTr="00053B83">
        <w:trPr>
          <w:cnfStyle w:val="000000010000" w:firstRow="0" w:lastRow="0" w:firstColumn="0" w:lastColumn="0" w:oddVBand="0" w:evenVBand="0" w:oddHBand="0" w:evenHBand="1" w:firstRowFirstColumn="0" w:firstRowLastColumn="0" w:lastRowFirstColumn="0" w:lastRowLastColumn="0"/>
        </w:trPr>
        <w:tc>
          <w:tcPr>
            <w:tcW w:w="988" w:type="dxa"/>
          </w:tcPr>
          <w:p w14:paraId="3B6621D4" w14:textId="77777777" w:rsidR="00C15F2E" w:rsidRPr="00053B83" w:rsidRDefault="00C15F2E" w:rsidP="00053B83">
            <w:pPr>
              <w:ind w:right="113"/>
              <w:jc w:val="left"/>
              <w:rPr>
                <w:sz w:val="16"/>
                <w:szCs w:val="16"/>
              </w:rPr>
            </w:pPr>
            <w:r w:rsidRPr="00053B83">
              <w:rPr>
                <w:sz w:val="16"/>
                <w:szCs w:val="16"/>
              </w:rPr>
              <w:t>54 &amp; 124</w:t>
            </w:r>
          </w:p>
        </w:tc>
        <w:tc>
          <w:tcPr>
            <w:tcW w:w="7938" w:type="dxa"/>
          </w:tcPr>
          <w:p w14:paraId="582C99AE" w14:textId="77777777" w:rsidR="00C15F2E" w:rsidRPr="00053B83" w:rsidRDefault="00C15F2E" w:rsidP="00053B83">
            <w:pPr>
              <w:ind w:right="113"/>
              <w:rPr>
                <w:sz w:val="16"/>
                <w:szCs w:val="16"/>
              </w:rPr>
            </w:pPr>
            <w:r w:rsidRPr="00053B83">
              <w:rPr>
                <w:sz w:val="16"/>
                <w:szCs w:val="16"/>
              </w:rPr>
              <w:t xml:space="preserve">Power granted to the Commission to require disposal of interest or prohibit the exercise of rights where ownership structures hinder effective supervision or shareholders cease to be fit and proper. </w:t>
            </w:r>
          </w:p>
        </w:tc>
      </w:tr>
      <w:tr w:rsidR="00C15F2E" w:rsidRPr="00053B83" w14:paraId="401C43CA" w14:textId="77777777" w:rsidTr="00053B83">
        <w:tc>
          <w:tcPr>
            <w:tcW w:w="988" w:type="dxa"/>
          </w:tcPr>
          <w:p w14:paraId="11569BFF" w14:textId="77777777" w:rsidR="00C15F2E" w:rsidRPr="00053B83" w:rsidRDefault="00C15F2E" w:rsidP="00053B83">
            <w:pPr>
              <w:ind w:right="113"/>
              <w:jc w:val="left"/>
              <w:rPr>
                <w:sz w:val="16"/>
                <w:szCs w:val="16"/>
              </w:rPr>
            </w:pPr>
            <w:r w:rsidRPr="00053B83">
              <w:rPr>
                <w:sz w:val="16"/>
                <w:szCs w:val="16"/>
              </w:rPr>
              <w:t>56 &amp; 126</w:t>
            </w:r>
          </w:p>
        </w:tc>
        <w:tc>
          <w:tcPr>
            <w:tcW w:w="7938" w:type="dxa"/>
          </w:tcPr>
          <w:p w14:paraId="42AB48FF" w14:textId="77777777" w:rsidR="00C15F2E" w:rsidRPr="00053B83" w:rsidRDefault="00C15F2E" w:rsidP="00053B83">
            <w:pPr>
              <w:ind w:right="113"/>
              <w:rPr>
                <w:sz w:val="16"/>
                <w:szCs w:val="16"/>
              </w:rPr>
            </w:pPr>
            <w:r w:rsidRPr="00053B83">
              <w:rPr>
                <w:sz w:val="16"/>
                <w:szCs w:val="16"/>
              </w:rPr>
              <w:t xml:space="preserve">Removal and replacement of key personnel if not fit and proper. </w:t>
            </w:r>
          </w:p>
        </w:tc>
      </w:tr>
      <w:tr w:rsidR="00C15F2E" w:rsidRPr="00053B83" w14:paraId="596AF499" w14:textId="77777777" w:rsidTr="00053B83">
        <w:trPr>
          <w:cnfStyle w:val="000000010000" w:firstRow="0" w:lastRow="0" w:firstColumn="0" w:lastColumn="0" w:oddVBand="0" w:evenVBand="0" w:oddHBand="0" w:evenHBand="1" w:firstRowFirstColumn="0" w:firstRowLastColumn="0" w:lastRowFirstColumn="0" w:lastRowLastColumn="0"/>
        </w:trPr>
        <w:tc>
          <w:tcPr>
            <w:tcW w:w="988" w:type="dxa"/>
          </w:tcPr>
          <w:p w14:paraId="17617E77" w14:textId="77777777" w:rsidR="00C15F2E" w:rsidRPr="00053B83" w:rsidRDefault="00C15F2E" w:rsidP="00053B83">
            <w:pPr>
              <w:ind w:right="170"/>
              <w:jc w:val="left"/>
              <w:rPr>
                <w:sz w:val="16"/>
                <w:szCs w:val="16"/>
              </w:rPr>
            </w:pPr>
            <w:r w:rsidRPr="00053B83">
              <w:rPr>
                <w:sz w:val="16"/>
                <w:szCs w:val="16"/>
              </w:rPr>
              <w:t>58-64</w:t>
            </w:r>
          </w:p>
        </w:tc>
        <w:tc>
          <w:tcPr>
            <w:tcW w:w="7938" w:type="dxa"/>
          </w:tcPr>
          <w:p w14:paraId="123D6C28" w14:textId="77777777" w:rsidR="00C15F2E" w:rsidRPr="00053B83" w:rsidRDefault="00C15F2E" w:rsidP="00053B83">
            <w:pPr>
              <w:ind w:right="113"/>
              <w:rPr>
                <w:sz w:val="16"/>
                <w:szCs w:val="16"/>
              </w:rPr>
            </w:pPr>
            <w:r w:rsidRPr="00053B83">
              <w:rPr>
                <w:sz w:val="16"/>
                <w:szCs w:val="16"/>
              </w:rPr>
              <w:t xml:space="preserve">Solvency requirements are in tangent with international best practices. </w:t>
            </w:r>
          </w:p>
        </w:tc>
      </w:tr>
      <w:tr w:rsidR="00C15F2E" w:rsidRPr="00053B83" w14:paraId="05170390" w14:textId="77777777" w:rsidTr="00053B83">
        <w:tc>
          <w:tcPr>
            <w:tcW w:w="988" w:type="dxa"/>
          </w:tcPr>
          <w:p w14:paraId="77368904" w14:textId="77777777" w:rsidR="00C15F2E" w:rsidRPr="00053B83" w:rsidRDefault="00C15F2E" w:rsidP="00053B83">
            <w:pPr>
              <w:ind w:right="170"/>
              <w:jc w:val="left"/>
              <w:rPr>
                <w:sz w:val="16"/>
                <w:szCs w:val="16"/>
              </w:rPr>
            </w:pPr>
            <w:r w:rsidRPr="00053B83">
              <w:rPr>
                <w:sz w:val="16"/>
                <w:szCs w:val="16"/>
              </w:rPr>
              <w:t>72 &amp; 73</w:t>
            </w:r>
          </w:p>
        </w:tc>
        <w:tc>
          <w:tcPr>
            <w:tcW w:w="7938" w:type="dxa"/>
          </w:tcPr>
          <w:p w14:paraId="02334CD4" w14:textId="77777777" w:rsidR="00C15F2E" w:rsidRPr="00053B83" w:rsidRDefault="00C15F2E" w:rsidP="00053B83">
            <w:pPr>
              <w:ind w:right="113"/>
              <w:rPr>
                <w:sz w:val="16"/>
                <w:szCs w:val="16"/>
              </w:rPr>
            </w:pPr>
            <w:r w:rsidRPr="00053B83">
              <w:rPr>
                <w:sz w:val="16"/>
                <w:szCs w:val="16"/>
              </w:rPr>
              <w:t xml:space="preserve">Restrictions on the placement of reinsurance, obligation on reinsurers to also put retrocession strategies into place; restrictions placed on retrocessions. </w:t>
            </w:r>
          </w:p>
        </w:tc>
      </w:tr>
      <w:tr w:rsidR="00C15F2E" w:rsidRPr="00053B83" w14:paraId="5D906085" w14:textId="77777777" w:rsidTr="00053B83">
        <w:trPr>
          <w:cnfStyle w:val="000000010000" w:firstRow="0" w:lastRow="0" w:firstColumn="0" w:lastColumn="0" w:oddVBand="0" w:evenVBand="0" w:oddHBand="0" w:evenHBand="1" w:firstRowFirstColumn="0" w:firstRowLastColumn="0" w:lastRowFirstColumn="0" w:lastRowLastColumn="0"/>
        </w:trPr>
        <w:tc>
          <w:tcPr>
            <w:tcW w:w="988" w:type="dxa"/>
          </w:tcPr>
          <w:p w14:paraId="5EF054AC" w14:textId="77777777" w:rsidR="00C15F2E" w:rsidRPr="00053B83" w:rsidRDefault="00C15F2E" w:rsidP="00053B83">
            <w:pPr>
              <w:ind w:right="113"/>
              <w:jc w:val="left"/>
              <w:rPr>
                <w:sz w:val="16"/>
                <w:szCs w:val="16"/>
              </w:rPr>
            </w:pPr>
            <w:r w:rsidRPr="00053B83">
              <w:rPr>
                <w:sz w:val="16"/>
                <w:szCs w:val="16"/>
              </w:rPr>
              <w:t>78 &amp; 135</w:t>
            </w:r>
          </w:p>
        </w:tc>
        <w:tc>
          <w:tcPr>
            <w:tcW w:w="7938" w:type="dxa"/>
          </w:tcPr>
          <w:p w14:paraId="44ED4582" w14:textId="77777777" w:rsidR="00C15F2E" w:rsidRPr="00053B83" w:rsidRDefault="00C15F2E" w:rsidP="00053B83">
            <w:pPr>
              <w:ind w:right="113"/>
              <w:rPr>
                <w:sz w:val="16"/>
                <w:szCs w:val="16"/>
              </w:rPr>
            </w:pPr>
            <w:r w:rsidRPr="00053B83">
              <w:rPr>
                <w:sz w:val="16"/>
                <w:szCs w:val="16"/>
              </w:rPr>
              <w:t xml:space="preserve">Risk management framework. </w:t>
            </w:r>
          </w:p>
        </w:tc>
      </w:tr>
      <w:tr w:rsidR="00C15F2E" w:rsidRPr="00053B83" w14:paraId="71B052ED" w14:textId="77777777" w:rsidTr="00053B83">
        <w:tc>
          <w:tcPr>
            <w:tcW w:w="988" w:type="dxa"/>
          </w:tcPr>
          <w:p w14:paraId="06D3B56C" w14:textId="77777777" w:rsidR="00C15F2E" w:rsidRPr="00053B83" w:rsidRDefault="00C15F2E" w:rsidP="00053B83">
            <w:pPr>
              <w:ind w:right="170"/>
              <w:jc w:val="left"/>
              <w:rPr>
                <w:sz w:val="16"/>
                <w:szCs w:val="16"/>
              </w:rPr>
            </w:pPr>
            <w:r w:rsidRPr="00053B83">
              <w:rPr>
                <w:sz w:val="16"/>
                <w:szCs w:val="16"/>
              </w:rPr>
              <w:t>99</w:t>
            </w:r>
          </w:p>
        </w:tc>
        <w:tc>
          <w:tcPr>
            <w:tcW w:w="7938" w:type="dxa"/>
          </w:tcPr>
          <w:p w14:paraId="02E3A151" w14:textId="77777777" w:rsidR="00C15F2E" w:rsidRPr="00053B83" w:rsidRDefault="00C15F2E" w:rsidP="00053B83">
            <w:pPr>
              <w:ind w:right="113"/>
              <w:rPr>
                <w:sz w:val="16"/>
                <w:szCs w:val="16"/>
              </w:rPr>
            </w:pPr>
            <w:r w:rsidRPr="00053B83">
              <w:rPr>
                <w:sz w:val="16"/>
                <w:szCs w:val="16"/>
              </w:rPr>
              <w:t>Provides for the appointment of a Statutory manager to prevent or limit the impact of the risk of failure of a licensed insurer or reinsurer.</w:t>
            </w:r>
          </w:p>
        </w:tc>
      </w:tr>
      <w:tr w:rsidR="00C15F2E" w:rsidRPr="00053B83" w14:paraId="2422BCC6" w14:textId="77777777" w:rsidTr="00053B83">
        <w:trPr>
          <w:cnfStyle w:val="000000010000" w:firstRow="0" w:lastRow="0" w:firstColumn="0" w:lastColumn="0" w:oddVBand="0" w:evenVBand="0" w:oddHBand="0" w:evenHBand="1" w:firstRowFirstColumn="0" w:firstRowLastColumn="0" w:lastRowFirstColumn="0" w:lastRowLastColumn="0"/>
        </w:trPr>
        <w:tc>
          <w:tcPr>
            <w:tcW w:w="988" w:type="dxa"/>
          </w:tcPr>
          <w:p w14:paraId="146A3847" w14:textId="77777777" w:rsidR="00C15F2E" w:rsidRPr="00053B83" w:rsidRDefault="00C15F2E" w:rsidP="00053B83">
            <w:pPr>
              <w:ind w:right="170"/>
              <w:jc w:val="left"/>
              <w:rPr>
                <w:sz w:val="16"/>
                <w:szCs w:val="16"/>
              </w:rPr>
            </w:pPr>
            <w:r w:rsidRPr="00053B83">
              <w:rPr>
                <w:sz w:val="16"/>
                <w:szCs w:val="16"/>
              </w:rPr>
              <w:t>167</w:t>
            </w:r>
          </w:p>
        </w:tc>
        <w:tc>
          <w:tcPr>
            <w:tcW w:w="7938" w:type="dxa"/>
          </w:tcPr>
          <w:p w14:paraId="49FDAEAB" w14:textId="77777777" w:rsidR="00C15F2E" w:rsidRPr="00053B83" w:rsidRDefault="00C15F2E" w:rsidP="00053B83">
            <w:pPr>
              <w:ind w:right="113"/>
              <w:rPr>
                <w:sz w:val="16"/>
                <w:szCs w:val="16"/>
              </w:rPr>
            </w:pPr>
            <w:r w:rsidRPr="00053B83">
              <w:rPr>
                <w:sz w:val="16"/>
                <w:szCs w:val="16"/>
              </w:rPr>
              <w:t>Requirement for distressed licensed entities to prepare and submit recovery plans.</w:t>
            </w:r>
          </w:p>
        </w:tc>
      </w:tr>
      <w:tr w:rsidR="00C15F2E" w:rsidRPr="00053B83" w14:paraId="680E6E13" w14:textId="77777777" w:rsidTr="00053B83">
        <w:tc>
          <w:tcPr>
            <w:tcW w:w="988" w:type="dxa"/>
          </w:tcPr>
          <w:p w14:paraId="63B0CBEC" w14:textId="77777777" w:rsidR="00C15F2E" w:rsidRPr="00053B83" w:rsidRDefault="00C15F2E" w:rsidP="00053B83">
            <w:pPr>
              <w:ind w:right="170"/>
              <w:jc w:val="left"/>
              <w:rPr>
                <w:sz w:val="16"/>
                <w:szCs w:val="16"/>
              </w:rPr>
            </w:pPr>
            <w:r w:rsidRPr="00053B83">
              <w:rPr>
                <w:sz w:val="16"/>
                <w:szCs w:val="16"/>
              </w:rPr>
              <w:t>210</w:t>
            </w:r>
          </w:p>
        </w:tc>
        <w:tc>
          <w:tcPr>
            <w:tcW w:w="7938" w:type="dxa"/>
          </w:tcPr>
          <w:p w14:paraId="108C0E54" w14:textId="77777777" w:rsidR="00C15F2E" w:rsidRPr="00053B83" w:rsidRDefault="00C15F2E" w:rsidP="00053B83">
            <w:pPr>
              <w:ind w:right="113"/>
              <w:rPr>
                <w:sz w:val="16"/>
                <w:szCs w:val="16"/>
              </w:rPr>
            </w:pPr>
            <w:r w:rsidRPr="00053B83">
              <w:rPr>
                <w:sz w:val="16"/>
                <w:szCs w:val="16"/>
              </w:rPr>
              <w:t>Non-indemnity insurance such as index-based insurance used in agricultural insurance.</w:t>
            </w:r>
          </w:p>
        </w:tc>
      </w:tr>
      <w:tr w:rsidR="00C15F2E" w:rsidRPr="00053B83" w14:paraId="0BD871AF" w14:textId="77777777" w:rsidTr="00053B83">
        <w:trPr>
          <w:cnfStyle w:val="000000010000" w:firstRow="0" w:lastRow="0" w:firstColumn="0" w:lastColumn="0" w:oddVBand="0" w:evenVBand="0" w:oddHBand="0" w:evenHBand="1" w:firstRowFirstColumn="0" w:firstRowLastColumn="0" w:lastRowFirstColumn="0" w:lastRowLastColumn="0"/>
        </w:trPr>
        <w:tc>
          <w:tcPr>
            <w:tcW w:w="988" w:type="dxa"/>
          </w:tcPr>
          <w:p w14:paraId="0CA1CCA3" w14:textId="77777777" w:rsidR="00C15F2E" w:rsidRPr="00053B83" w:rsidRDefault="00C15F2E" w:rsidP="00053B83">
            <w:pPr>
              <w:ind w:right="170"/>
              <w:jc w:val="left"/>
              <w:rPr>
                <w:sz w:val="16"/>
                <w:szCs w:val="16"/>
              </w:rPr>
            </w:pPr>
            <w:r w:rsidRPr="00053B83">
              <w:rPr>
                <w:sz w:val="16"/>
                <w:szCs w:val="16"/>
              </w:rPr>
              <w:t>211</w:t>
            </w:r>
          </w:p>
        </w:tc>
        <w:tc>
          <w:tcPr>
            <w:tcW w:w="7938" w:type="dxa"/>
          </w:tcPr>
          <w:p w14:paraId="363434C0" w14:textId="77777777" w:rsidR="00C15F2E" w:rsidRPr="00053B83" w:rsidRDefault="00C15F2E" w:rsidP="00053B83">
            <w:pPr>
              <w:ind w:right="113"/>
              <w:rPr>
                <w:sz w:val="16"/>
                <w:szCs w:val="16"/>
              </w:rPr>
            </w:pPr>
            <w:r w:rsidRPr="00053B83">
              <w:rPr>
                <w:sz w:val="16"/>
                <w:szCs w:val="16"/>
              </w:rPr>
              <w:t xml:space="preserve">Sand-box system for testing and piloting of innovations financial technology. </w:t>
            </w:r>
          </w:p>
        </w:tc>
      </w:tr>
      <w:tr w:rsidR="00C15F2E" w:rsidRPr="00053B83" w14:paraId="2D6BE517" w14:textId="77777777" w:rsidTr="00053B83">
        <w:tc>
          <w:tcPr>
            <w:tcW w:w="988" w:type="dxa"/>
          </w:tcPr>
          <w:p w14:paraId="098E0871" w14:textId="77777777" w:rsidR="00C15F2E" w:rsidRPr="00053B83" w:rsidRDefault="00C15F2E" w:rsidP="00053B83">
            <w:pPr>
              <w:ind w:right="170"/>
              <w:jc w:val="left"/>
              <w:rPr>
                <w:sz w:val="16"/>
                <w:szCs w:val="16"/>
              </w:rPr>
            </w:pPr>
            <w:r w:rsidRPr="00053B83">
              <w:rPr>
                <w:sz w:val="16"/>
                <w:szCs w:val="16"/>
              </w:rPr>
              <w:t>222</w:t>
            </w:r>
          </w:p>
        </w:tc>
        <w:tc>
          <w:tcPr>
            <w:tcW w:w="7938" w:type="dxa"/>
          </w:tcPr>
          <w:p w14:paraId="28E67D91" w14:textId="77777777" w:rsidR="00C15F2E" w:rsidRPr="00053B83" w:rsidRDefault="00C15F2E" w:rsidP="00053B83">
            <w:pPr>
              <w:jc w:val="left"/>
              <w:rPr>
                <w:sz w:val="16"/>
                <w:szCs w:val="16"/>
              </w:rPr>
            </w:pPr>
            <w:r w:rsidRPr="00053B83">
              <w:rPr>
                <w:sz w:val="16"/>
                <w:szCs w:val="16"/>
              </w:rPr>
              <w:t xml:space="preserve">Requires all goods being imported into Ghana to be insured with licensed insurers. Marine Insurance made compulsory. </w:t>
            </w:r>
          </w:p>
        </w:tc>
      </w:tr>
      <w:tr w:rsidR="00C15F2E" w:rsidRPr="00053B83" w14:paraId="07F62D15" w14:textId="77777777" w:rsidTr="00053B83">
        <w:trPr>
          <w:cnfStyle w:val="000000010000" w:firstRow="0" w:lastRow="0" w:firstColumn="0" w:lastColumn="0" w:oddVBand="0" w:evenVBand="0" w:oddHBand="0" w:evenHBand="1" w:firstRowFirstColumn="0" w:firstRowLastColumn="0" w:lastRowFirstColumn="0" w:lastRowLastColumn="0"/>
        </w:trPr>
        <w:tc>
          <w:tcPr>
            <w:tcW w:w="988" w:type="dxa"/>
          </w:tcPr>
          <w:p w14:paraId="1F406CCA" w14:textId="77777777" w:rsidR="00C15F2E" w:rsidRPr="00053B83" w:rsidRDefault="00C15F2E" w:rsidP="00053B83">
            <w:pPr>
              <w:ind w:right="170"/>
              <w:jc w:val="left"/>
              <w:rPr>
                <w:sz w:val="16"/>
                <w:szCs w:val="16"/>
              </w:rPr>
            </w:pPr>
            <w:r w:rsidRPr="00053B83">
              <w:rPr>
                <w:sz w:val="16"/>
                <w:szCs w:val="16"/>
              </w:rPr>
              <w:t>245</w:t>
            </w:r>
          </w:p>
        </w:tc>
        <w:tc>
          <w:tcPr>
            <w:tcW w:w="7938" w:type="dxa"/>
          </w:tcPr>
          <w:p w14:paraId="059A352A" w14:textId="77777777" w:rsidR="00C15F2E" w:rsidRPr="00053B83" w:rsidRDefault="00C15F2E" w:rsidP="00053B83">
            <w:pPr>
              <w:ind w:right="113"/>
              <w:rPr>
                <w:sz w:val="16"/>
                <w:szCs w:val="16"/>
              </w:rPr>
            </w:pPr>
            <w:r w:rsidRPr="00053B83">
              <w:rPr>
                <w:sz w:val="16"/>
                <w:szCs w:val="16"/>
              </w:rPr>
              <w:t>Provides for the creation of the Agricultural Insurance Fund.</w:t>
            </w:r>
          </w:p>
        </w:tc>
      </w:tr>
      <w:tr w:rsidR="00C15F2E" w:rsidRPr="00053B83" w14:paraId="028157CA" w14:textId="77777777" w:rsidTr="00053B83">
        <w:tc>
          <w:tcPr>
            <w:tcW w:w="988" w:type="dxa"/>
          </w:tcPr>
          <w:p w14:paraId="0A2C212D" w14:textId="77777777" w:rsidR="00C15F2E" w:rsidRPr="00053B83" w:rsidRDefault="00C15F2E" w:rsidP="00053B83">
            <w:pPr>
              <w:ind w:right="170"/>
              <w:jc w:val="left"/>
              <w:rPr>
                <w:sz w:val="16"/>
                <w:szCs w:val="16"/>
              </w:rPr>
            </w:pPr>
            <w:r w:rsidRPr="00053B83">
              <w:rPr>
                <w:sz w:val="16"/>
                <w:szCs w:val="16"/>
              </w:rPr>
              <w:t>256</w:t>
            </w:r>
          </w:p>
        </w:tc>
        <w:tc>
          <w:tcPr>
            <w:tcW w:w="7938" w:type="dxa"/>
          </w:tcPr>
          <w:p w14:paraId="5A0164B5" w14:textId="77777777" w:rsidR="00C15F2E" w:rsidRPr="00053B83" w:rsidRDefault="00C15F2E" w:rsidP="00053B83">
            <w:pPr>
              <w:ind w:right="113"/>
              <w:rPr>
                <w:sz w:val="16"/>
                <w:szCs w:val="16"/>
              </w:rPr>
            </w:pPr>
            <w:r w:rsidRPr="00053B83">
              <w:rPr>
                <w:sz w:val="16"/>
                <w:szCs w:val="16"/>
              </w:rPr>
              <w:t>NIC to set maximum commission rates as well as minimum premium rates.</w:t>
            </w:r>
          </w:p>
        </w:tc>
      </w:tr>
      <w:tr w:rsidR="00C15F2E" w:rsidRPr="00053B83" w14:paraId="3C253226" w14:textId="77777777" w:rsidTr="00053B83">
        <w:trPr>
          <w:cnfStyle w:val="000000010000" w:firstRow="0" w:lastRow="0" w:firstColumn="0" w:lastColumn="0" w:oddVBand="0" w:evenVBand="0" w:oddHBand="0" w:evenHBand="1" w:firstRowFirstColumn="0" w:firstRowLastColumn="0" w:lastRowFirstColumn="0" w:lastRowLastColumn="0"/>
        </w:trPr>
        <w:tc>
          <w:tcPr>
            <w:tcW w:w="988" w:type="dxa"/>
          </w:tcPr>
          <w:p w14:paraId="3711804E" w14:textId="77777777" w:rsidR="00C15F2E" w:rsidRPr="00053B83" w:rsidRDefault="00C15F2E" w:rsidP="00053B83">
            <w:pPr>
              <w:ind w:right="170"/>
              <w:jc w:val="left"/>
              <w:rPr>
                <w:sz w:val="16"/>
                <w:szCs w:val="16"/>
              </w:rPr>
            </w:pPr>
            <w:r w:rsidRPr="00053B83">
              <w:rPr>
                <w:sz w:val="16"/>
                <w:szCs w:val="16"/>
              </w:rPr>
              <w:t>261</w:t>
            </w:r>
          </w:p>
        </w:tc>
        <w:tc>
          <w:tcPr>
            <w:tcW w:w="7938" w:type="dxa"/>
          </w:tcPr>
          <w:p w14:paraId="3573F25A" w14:textId="77777777" w:rsidR="00C15F2E" w:rsidRPr="00053B83" w:rsidRDefault="00C15F2E" w:rsidP="00053B83">
            <w:pPr>
              <w:ind w:right="113"/>
              <w:rPr>
                <w:sz w:val="16"/>
                <w:szCs w:val="16"/>
              </w:rPr>
            </w:pPr>
            <w:r w:rsidRPr="00053B83">
              <w:rPr>
                <w:sz w:val="16"/>
                <w:szCs w:val="16"/>
              </w:rPr>
              <w:t>Companies to receive premiums before granting cover (No Premium No Cover).</w:t>
            </w:r>
          </w:p>
        </w:tc>
      </w:tr>
    </w:tbl>
    <w:p w14:paraId="7A01B245" w14:textId="77777777" w:rsidR="00C15F2E" w:rsidRPr="00D96063" w:rsidRDefault="00C15F2E" w:rsidP="00D868BF">
      <w:pPr>
        <w:pStyle w:val="NoteText"/>
        <w:spacing w:before="120" w:after="240"/>
      </w:pPr>
      <w:r w:rsidRPr="00D96063">
        <w:t>Source:</w:t>
      </w:r>
      <w:r w:rsidRPr="00D96063">
        <w:tab/>
        <w:t>NIC</w:t>
      </w:r>
      <w:bookmarkEnd w:id="264"/>
      <w:bookmarkEnd w:id="265"/>
      <w:r w:rsidRPr="00D96063">
        <w:t>.</w:t>
      </w:r>
    </w:p>
    <w:bookmarkEnd w:id="262"/>
    <w:p w14:paraId="2E20F26F" w14:textId="77777777" w:rsidR="00C15F2E" w:rsidRPr="00D96063" w:rsidRDefault="00C15F2E" w:rsidP="003758E5">
      <w:pPr>
        <w:numPr>
          <w:ilvl w:val="6"/>
          <w:numId w:val="31"/>
        </w:numPr>
        <w:spacing w:after="240"/>
      </w:pPr>
      <w:r w:rsidRPr="00D96063">
        <w:rPr>
          <w:snapToGrid w:val="0"/>
        </w:rPr>
        <w:t>The minimum capital requirement has been increased as of January 2022 from the equivalent of USD 2.1 million to USD 7.3 million (GHS 50 million), for both life and non-life insurance companies; reinsurance firms are required to have a minimum of GHS 125 million (USD 18.2 million) as minimum capital. According to the authorities, t</w:t>
      </w:r>
      <w:bookmarkStart w:id="266" w:name="_Hlk80268480"/>
      <w:r w:rsidRPr="00D96063">
        <w:rPr>
          <w:snapToGrid w:val="0"/>
        </w:rPr>
        <w:t xml:space="preserve">he increase in minimum capital has led to the consolidation of two companies; </w:t>
      </w:r>
      <w:r w:rsidRPr="00D96063">
        <w:t>a significant number of firms in 2022 meet risk-based solvency capital requirements.</w:t>
      </w:r>
    </w:p>
    <w:bookmarkEnd w:id="266"/>
    <w:p w14:paraId="41015F6C" w14:textId="77777777" w:rsidR="00C15F2E" w:rsidRPr="00D96063" w:rsidRDefault="00C15F2E" w:rsidP="003758E5">
      <w:pPr>
        <w:numPr>
          <w:ilvl w:val="6"/>
          <w:numId w:val="31"/>
        </w:numPr>
        <w:spacing w:after="240"/>
      </w:pPr>
      <w:r w:rsidRPr="00D96063">
        <w:t>Insurance companies</w:t>
      </w:r>
      <w:r w:rsidRPr="00D96063">
        <w:rPr>
          <w:snapToGrid w:val="0"/>
        </w:rPr>
        <w:t xml:space="preserve"> are not allowed to engage in any other business, including reinsurance. Moreover, the same company cannot supply both life and non-life insurance services. Insurance is compulsory for: (i) motor vehicles; (ii) commercial buildings under construction; (iii) commercial buildings against collapse and natural disasters; (iv) public liability; and (v) professional indemnity. Premiums on motor vehicles are set by the NIC, while all other premiums are market-determined. </w:t>
      </w:r>
      <w:r w:rsidRPr="00D96063">
        <w:rPr>
          <w:snapToGrid w:val="0"/>
        </w:rPr>
        <w:lastRenderedPageBreak/>
        <w:t>There is presently a motor insurance database and a marine insurance database for the underwriting of motor and marine insurance.</w:t>
      </w:r>
    </w:p>
    <w:p w14:paraId="6CB67691" w14:textId="77777777" w:rsidR="00C15F2E" w:rsidRPr="00D96063" w:rsidRDefault="00C15F2E" w:rsidP="003758E5">
      <w:pPr>
        <w:numPr>
          <w:ilvl w:val="6"/>
          <w:numId w:val="31"/>
        </w:numPr>
        <w:spacing w:after="240"/>
        <w:rPr>
          <w:snapToGrid w:val="0"/>
        </w:rPr>
      </w:pPr>
      <w:r w:rsidRPr="00D96063">
        <w:rPr>
          <w:snapToGrid w:val="0"/>
        </w:rPr>
        <w:t xml:space="preserve">According to the Ghana Living Standards Survey (Sixth Round), 45.5% of local insurance companies believe that there is unfavourable </w:t>
      </w:r>
      <w:r w:rsidRPr="00D96063">
        <w:t>competition</w:t>
      </w:r>
      <w:r w:rsidRPr="00D96063">
        <w:rPr>
          <w:snapToGrid w:val="0"/>
        </w:rPr>
        <w:t xml:space="preserve"> between local and foreign companies as the former lack the capital to take on bigger risk.</w:t>
      </w:r>
      <w:r w:rsidRPr="00D96063">
        <w:rPr>
          <w:rStyle w:val="FootnoteReference"/>
          <w:snapToGrid w:val="0"/>
        </w:rPr>
        <w:footnoteReference w:id="233"/>
      </w:r>
      <w:r w:rsidRPr="00D96063">
        <w:rPr>
          <w:snapToGrid w:val="0"/>
        </w:rPr>
        <w:t xml:space="preserve"> This is because most of the private foreign firms tend to get aid and financial support from their branches abroad. </w:t>
      </w:r>
      <w:r w:rsidRPr="00D96063">
        <w:t>Exporters and importers, according to this survey, mostly insure their cargo with foreign insurance companies.</w:t>
      </w:r>
    </w:p>
    <w:p w14:paraId="2EEF8BB1" w14:textId="77777777" w:rsidR="00C15F2E" w:rsidRPr="00D96063" w:rsidRDefault="00C15F2E" w:rsidP="00D868BF">
      <w:pPr>
        <w:pStyle w:val="Heading4"/>
        <w:numPr>
          <w:ilvl w:val="3"/>
          <w:numId w:val="17"/>
        </w:numPr>
      </w:pPr>
      <w:bookmarkStart w:id="267" w:name="_Toc103607737"/>
      <w:r w:rsidRPr="00D96063">
        <w:t>Securities market</w:t>
      </w:r>
      <w:bookmarkEnd w:id="267"/>
    </w:p>
    <w:p w14:paraId="36CED83F" w14:textId="77777777" w:rsidR="00C15F2E" w:rsidRPr="00D96063" w:rsidRDefault="00C15F2E" w:rsidP="003758E5">
      <w:pPr>
        <w:numPr>
          <w:ilvl w:val="6"/>
          <w:numId w:val="31"/>
        </w:numPr>
        <w:spacing w:after="240"/>
        <w:rPr>
          <w:snapToGrid w:val="0"/>
        </w:rPr>
      </w:pPr>
      <w:r w:rsidRPr="00D96063">
        <w:rPr>
          <w:snapToGrid w:val="0"/>
        </w:rPr>
        <w:t>Ghana's SEC oversees the Ghana Stock Exchange (GSE), sets listing requirements, and licenses brokerage firms (securities dealers), investment management companies, unit trusts, and mutual funds.</w:t>
      </w:r>
      <w:r w:rsidRPr="00D96063">
        <w:rPr>
          <w:rStyle w:val="FootnoteReference"/>
          <w:snapToGrid w:val="0"/>
          <w:szCs w:val="18"/>
        </w:rPr>
        <w:footnoteReference w:id="234"/>
      </w:r>
      <w:r w:rsidRPr="00D96063">
        <w:rPr>
          <w:snapToGrid w:val="0"/>
        </w:rPr>
        <w:t xml:space="preserve"> Its commissioners are appointed by the President of Ghana. </w:t>
      </w:r>
      <w:r w:rsidRPr="00D96063">
        <w:t>There are no nationality or residency requirements for the establishment of any of the entities above. Incorporation under the Companies Act is the first step to apply for a licence to operate. Foreigners may choose to incorporate a wholly owned company in Ghana or in partnership or joint venture with Ghanaian individuals or corporate entities, or incorporate or operate as an external company. The parent company incorporated abroad must furnish the SEC with certified copies of incorporation and an operating licence in the country of incorporation and/or operation before a local licence is issued. The SEC shall not issue a local licence unless the foreign licence is issued by an accredited securities regulator that is a member of the International Organization of Securities Commission (IOSCO), of which Ghana is also a member.</w:t>
      </w:r>
      <w:r w:rsidRPr="00D96063">
        <w:rPr>
          <w:rStyle w:val="FootnoteReference"/>
        </w:rPr>
        <w:footnoteReference w:id="235"/>
      </w:r>
      <w:r w:rsidRPr="00D96063">
        <w:t xml:space="preserve"> </w:t>
      </w:r>
      <w:r w:rsidRPr="00D96063">
        <w:rPr>
          <w:snapToGrid w:val="0"/>
        </w:rPr>
        <w:t>Market capitalization of the GSE has declined strongly when expressed in US dollars (Chart 4.6), to about USD 1 billion in 2020.</w:t>
      </w:r>
    </w:p>
    <w:p w14:paraId="384AC5A6" w14:textId="0ABAF95B" w:rsidR="00C15F2E" w:rsidRPr="00D96063" w:rsidRDefault="00C15F2E" w:rsidP="00D868BF">
      <w:pPr>
        <w:pStyle w:val="Caption"/>
        <w:keepLines/>
        <w:rPr>
          <w:color w:val="auto"/>
        </w:rPr>
      </w:pPr>
      <w:bookmarkStart w:id="268" w:name="_Toc382470883"/>
      <w:bookmarkStart w:id="269" w:name="_Toc103607811"/>
      <w:r w:rsidRPr="00D96063">
        <w:t xml:space="preserve">Chart </w:t>
      </w:r>
      <w:fldSimple w:instr=" STYLEREF 1 \s ">
        <w:r w:rsidR="004B63B1">
          <w:rPr>
            <w:noProof/>
          </w:rPr>
          <w:t>4</w:t>
        </w:r>
      </w:fldSimple>
      <w:r w:rsidR="00045F7A">
        <w:t>.</w:t>
      </w:r>
      <w:fldSimple w:instr=" SEQ Chart \* ARABIC \s 1 ">
        <w:r w:rsidR="004B63B1">
          <w:rPr>
            <w:noProof/>
          </w:rPr>
          <w:t>6</w:t>
        </w:r>
      </w:fldSimple>
      <w:r w:rsidRPr="00D96063">
        <w:t xml:space="preserve"> Market capitalization on the GSE, 2007-21</w:t>
      </w:r>
      <w:bookmarkEnd w:id="268"/>
      <w:bookmarkEnd w:id="269"/>
    </w:p>
    <w:p w14:paraId="38859335" w14:textId="1A5A6459" w:rsidR="00FB428F" w:rsidRDefault="00FB428F" w:rsidP="00FB428F">
      <w:pPr>
        <w:rPr>
          <w:lang w:eastAsia="en-GB"/>
        </w:rPr>
      </w:pPr>
      <w:r w:rsidRPr="00FB428F">
        <w:rPr>
          <w:noProof/>
        </w:rPr>
        <w:drawing>
          <wp:inline distT="0" distB="0" distL="0" distR="0" wp14:anchorId="2CB4AFAF" wp14:editId="15773C8B">
            <wp:extent cx="5731510" cy="3094892"/>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t="9038" r="-6" b="13361"/>
                    <a:stretch/>
                  </pic:blipFill>
                  <pic:spPr bwMode="auto">
                    <a:xfrm>
                      <a:off x="0" y="0"/>
                      <a:ext cx="5731820" cy="3095059"/>
                    </a:xfrm>
                    <a:prstGeom prst="rect">
                      <a:avLst/>
                    </a:prstGeom>
                    <a:noFill/>
                    <a:ln>
                      <a:noFill/>
                    </a:ln>
                    <a:extLst>
                      <a:ext uri="{53640926-AAD7-44D8-BBD7-CCE9431645EC}">
                        <a14:shadowObscured xmlns:a14="http://schemas.microsoft.com/office/drawing/2010/main"/>
                      </a:ext>
                    </a:extLst>
                  </pic:spPr>
                </pic:pic>
              </a:graphicData>
            </a:graphic>
          </wp:inline>
        </w:drawing>
      </w:r>
    </w:p>
    <w:p w14:paraId="71CAE4A5" w14:textId="77777777" w:rsidR="00C15F2E" w:rsidRPr="00D96063" w:rsidRDefault="00C15F2E" w:rsidP="00D868BF">
      <w:pPr>
        <w:pStyle w:val="NoteText"/>
        <w:spacing w:before="120" w:after="240"/>
        <w:rPr>
          <w:lang w:eastAsia="en-GB"/>
        </w:rPr>
      </w:pPr>
      <w:r w:rsidRPr="00D96063">
        <w:rPr>
          <w:lang w:eastAsia="en-GB"/>
        </w:rPr>
        <w:t>Source:</w:t>
      </w:r>
      <w:r w:rsidRPr="00D96063">
        <w:rPr>
          <w:lang w:eastAsia="en-GB"/>
        </w:rPr>
        <w:tab/>
        <w:t>GSE.</w:t>
      </w:r>
    </w:p>
    <w:p w14:paraId="0FB29125" w14:textId="77777777" w:rsidR="00C15F2E" w:rsidRPr="00D96063" w:rsidRDefault="00C15F2E" w:rsidP="00087027">
      <w:pPr>
        <w:pStyle w:val="Heading3"/>
        <w:rPr>
          <w:rFonts w:eastAsia="Times New Roman"/>
        </w:rPr>
      </w:pPr>
      <w:bookmarkStart w:id="270" w:name="_Toc358974992"/>
      <w:bookmarkStart w:id="271" w:name="_Toc359309483"/>
      <w:bookmarkStart w:id="272" w:name="_Toc392845189"/>
      <w:bookmarkStart w:id="273" w:name="_Toc103607738"/>
      <w:bookmarkStart w:id="274" w:name="_Hlk81993489"/>
      <w:r w:rsidRPr="00D96063">
        <w:rPr>
          <w:rFonts w:eastAsia="Times New Roman"/>
        </w:rPr>
        <w:lastRenderedPageBreak/>
        <w:t xml:space="preserve">Professional </w:t>
      </w:r>
      <w:r w:rsidRPr="00D96063">
        <w:t>and</w:t>
      </w:r>
      <w:r w:rsidRPr="00D96063">
        <w:rPr>
          <w:rFonts w:eastAsia="Times New Roman"/>
        </w:rPr>
        <w:t xml:space="preserve"> other business services</w:t>
      </w:r>
      <w:bookmarkEnd w:id="270"/>
      <w:bookmarkEnd w:id="271"/>
      <w:bookmarkEnd w:id="272"/>
      <w:bookmarkEnd w:id="273"/>
    </w:p>
    <w:bookmarkEnd w:id="274"/>
    <w:p w14:paraId="5076EE04" w14:textId="754CAA7D" w:rsidR="00C15F2E" w:rsidRPr="00D96063" w:rsidRDefault="00C15F2E" w:rsidP="00087027">
      <w:pPr>
        <w:keepNext/>
        <w:keepLines/>
        <w:numPr>
          <w:ilvl w:val="6"/>
          <w:numId w:val="18"/>
        </w:numPr>
        <w:spacing w:after="240"/>
      </w:pPr>
      <w:r w:rsidRPr="00D96063">
        <w:t xml:space="preserve">Business services have expanded significantly in Ghana since 2014 (Chart </w:t>
      </w:r>
      <w:r w:rsidR="00A11172" w:rsidRPr="00D96063">
        <w:t>1</w:t>
      </w:r>
      <w:r w:rsidRPr="00D96063">
        <w:t>.</w:t>
      </w:r>
      <w:r w:rsidR="00A11172" w:rsidRPr="00D96063">
        <w:t>4</w:t>
      </w:r>
      <w:r w:rsidRPr="00D96063">
        <w:t>). Ghana's Professional Bodies Registration Act, 1973 (NRCD 143) provides for the establishment of a register of professional bodies established in Ghana.</w:t>
      </w:r>
      <w:r w:rsidRPr="00D96063">
        <w:rPr>
          <w:vertAlign w:val="superscript"/>
        </w:rPr>
        <w:footnoteReference w:id="236"/>
      </w:r>
      <w:r w:rsidRPr="00D96063">
        <w:t xml:space="preserve"> Business services are generally not regulated </w:t>
      </w:r>
      <w:r w:rsidRPr="00D96063">
        <w:rPr>
          <w:i/>
        </w:rPr>
        <w:t>per se</w:t>
      </w:r>
      <w:r w:rsidRPr="00D96063">
        <w:t>; they include those related to computers, research and development, and real estate, as well as other business services such as advertising, technical, and maintenance and repair.</w:t>
      </w:r>
    </w:p>
    <w:p w14:paraId="7D95E46B" w14:textId="77777777" w:rsidR="00C15F2E" w:rsidRPr="00D96063" w:rsidRDefault="00C15F2E" w:rsidP="003758E5">
      <w:pPr>
        <w:numPr>
          <w:ilvl w:val="6"/>
          <w:numId w:val="18"/>
        </w:numPr>
        <w:spacing w:after="240"/>
      </w:pPr>
      <w:r w:rsidRPr="00D96063">
        <w:t>As trade in professional and business services is largely based on the movement of natural persons, suppliers of these services are particularly affected by regulations that limit movement in the countries where they are seeking to provide their services (mode 4 according to the GATS terminology). Ghana has not made any commitments under the GATS regarding business or professional services.</w:t>
      </w:r>
    </w:p>
    <w:p w14:paraId="7A68DC52" w14:textId="77777777" w:rsidR="00C15F2E" w:rsidRPr="00D96063" w:rsidRDefault="00C15F2E" w:rsidP="003758E5">
      <w:pPr>
        <w:numPr>
          <w:ilvl w:val="6"/>
          <w:numId w:val="18"/>
        </w:numPr>
        <w:spacing w:after="240"/>
      </w:pPr>
      <w:r w:rsidRPr="00D96063">
        <w:t>Regulated professions are listed in Table 4.19. Professions are generally protected against foreign competition; those wishing to engage in a profession must obtain an authorization or accreditation issued by the professional association. Each professional association has its own rules, regulations, and standards for exercising the profession. Although it is not always necessary to be a Ghanaian national to join a professional association, many of the texts include requirements on nationality or contain reciprocity provisions.</w:t>
      </w:r>
    </w:p>
    <w:p w14:paraId="23D934F2" w14:textId="34C6D32F" w:rsidR="00C15F2E" w:rsidRPr="00D96063" w:rsidRDefault="00C15F2E" w:rsidP="00D868BF">
      <w:pPr>
        <w:pStyle w:val="Caption"/>
        <w:rPr>
          <w:b w:val="0"/>
          <w:bCs w:val="0"/>
        </w:rPr>
      </w:pPr>
      <w:bookmarkStart w:id="275" w:name="_Toc103607915"/>
      <w:r w:rsidRPr="00D96063">
        <w:t xml:space="preserve">Table </w:t>
      </w:r>
      <w:fldSimple w:instr=" STYLEREF 1 \s ">
        <w:r w:rsidR="004B63B1">
          <w:rPr>
            <w:noProof/>
          </w:rPr>
          <w:t>4</w:t>
        </w:r>
      </w:fldSimple>
      <w:r w:rsidR="00BF3184">
        <w:t>.</w:t>
      </w:r>
      <w:fldSimple w:instr=" SEQ Table \* ARABIC \s 1 ">
        <w:r w:rsidR="004B63B1">
          <w:rPr>
            <w:noProof/>
          </w:rPr>
          <w:t>19</w:t>
        </w:r>
      </w:fldSimple>
      <w:r w:rsidRPr="00D96063">
        <w:t xml:space="preserve"> Selected regulated professions in Ghana, 2021</w:t>
      </w:r>
      <w:bookmarkEnd w:id="275"/>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3114"/>
        <w:gridCol w:w="5902"/>
      </w:tblGrid>
      <w:tr w:rsidR="00C15F2E" w:rsidRPr="00D96063" w14:paraId="640DC09C" w14:textId="77777777" w:rsidTr="00053198">
        <w:trPr>
          <w:tblHeader/>
        </w:trPr>
        <w:tc>
          <w:tcPr>
            <w:tcW w:w="3114" w:type="dxa"/>
            <w:shd w:val="clear" w:color="auto" w:fill="006283"/>
          </w:tcPr>
          <w:p w14:paraId="5ED0E4D4" w14:textId="77777777" w:rsidR="00C15F2E" w:rsidRPr="00D96063" w:rsidRDefault="00C15F2E" w:rsidP="00053198">
            <w:pPr>
              <w:widowControl w:val="0"/>
              <w:autoSpaceDE w:val="0"/>
              <w:autoSpaceDN w:val="0"/>
              <w:adjustRightInd w:val="0"/>
              <w:spacing w:after="60"/>
              <w:jc w:val="left"/>
              <w:rPr>
                <w:rFonts w:eastAsia="Times New Roman" w:cs="TimesNewRomanPS-BoldMT"/>
                <w:b/>
                <w:bCs/>
                <w:color w:val="FFFFFF"/>
                <w:sz w:val="16"/>
                <w:szCs w:val="16"/>
                <w:lang w:eastAsia="fr-CH"/>
              </w:rPr>
            </w:pPr>
            <w:r w:rsidRPr="00D96063">
              <w:rPr>
                <w:rFonts w:eastAsia="Times New Roman" w:cs="TimesNewRomanPS-BoldMT"/>
                <w:b/>
                <w:bCs/>
                <w:color w:val="FFFFFF"/>
                <w:sz w:val="16"/>
                <w:szCs w:val="16"/>
                <w:lang w:eastAsia="fr-CH"/>
              </w:rPr>
              <w:t>Profession/law</w:t>
            </w:r>
            <w:r w:rsidRPr="00D96063">
              <w:rPr>
                <w:rFonts w:eastAsia="Times New Roman" w:cs="TimesNewRomanPS-BoldMT"/>
                <w:b/>
                <w:bCs/>
                <w:color w:val="FFFFFF"/>
                <w:sz w:val="16"/>
                <w:szCs w:val="16"/>
                <w:lang w:eastAsia="fr-CH"/>
              </w:rPr>
              <w:br/>
              <w:t>(national association)</w:t>
            </w:r>
          </w:p>
        </w:tc>
        <w:tc>
          <w:tcPr>
            <w:tcW w:w="5902" w:type="dxa"/>
            <w:shd w:val="clear" w:color="auto" w:fill="006283"/>
          </w:tcPr>
          <w:p w14:paraId="0EE78CB5" w14:textId="77777777" w:rsidR="00C15F2E" w:rsidRPr="00D96063" w:rsidRDefault="00C15F2E" w:rsidP="00053198">
            <w:pPr>
              <w:widowControl w:val="0"/>
              <w:autoSpaceDE w:val="0"/>
              <w:autoSpaceDN w:val="0"/>
              <w:adjustRightInd w:val="0"/>
              <w:spacing w:after="60"/>
              <w:jc w:val="left"/>
              <w:rPr>
                <w:rFonts w:eastAsia="Times New Roman" w:cs="TimesNewRomanPS-BoldMT"/>
                <w:b/>
                <w:bCs/>
                <w:color w:val="FFFFFF"/>
                <w:sz w:val="16"/>
                <w:szCs w:val="16"/>
                <w:lang w:eastAsia="fr-CH"/>
              </w:rPr>
            </w:pPr>
            <w:r w:rsidRPr="00D96063">
              <w:rPr>
                <w:rFonts w:eastAsia="Times New Roman" w:cs="TimesNewRomanPS-BoldMT"/>
                <w:b/>
                <w:bCs/>
                <w:color w:val="FFFFFF"/>
                <w:sz w:val="16"/>
                <w:szCs w:val="16"/>
                <w:lang w:eastAsia="fr-CH"/>
              </w:rPr>
              <w:t>Market access</w:t>
            </w:r>
          </w:p>
        </w:tc>
      </w:tr>
      <w:tr w:rsidR="00C15F2E" w:rsidRPr="00D96063" w14:paraId="2AC38ED0" w14:textId="77777777" w:rsidTr="00053198">
        <w:tc>
          <w:tcPr>
            <w:tcW w:w="3114" w:type="dxa"/>
            <w:shd w:val="clear" w:color="auto" w:fill="C9DED4"/>
          </w:tcPr>
          <w:p w14:paraId="7EA31E19" w14:textId="77777777" w:rsidR="00C15F2E" w:rsidRPr="00D96063" w:rsidRDefault="00C15F2E" w:rsidP="00053198">
            <w:pPr>
              <w:widowControl w:val="0"/>
              <w:autoSpaceDE w:val="0"/>
              <w:autoSpaceDN w:val="0"/>
              <w:adjustRightInd w:val="0"/>
              <w:spacing w:after="60"/>
              <w:jc w:val="left"/>
              <w:rPr>
                <w:b/>
                <w:color w:val="000000"/>
                <w:spacing w:val="4"/>
                <w:sz w:val="16"/>
                <w:szCs w:val="16"/>
              </w:rPr>
            </w:pPr>
            <w:r w:rsidRPr="00D96063">
              <w:rPr>
                <w:b/>
                <w:color w:val="000000"/>
                <w:spacing w:val="4"/>
                <w:sz w:val="16"/>
                <w:szCs w:val="16"/>
              </w:rPr>
              <w:t>Certified public accountant</w:t>
            </w:r>
          </w:p>
          <w:p w14:paraId="52C6A7D5" w14:textId="25CDBD61" w:rsidR="00C15F2E" w:rsidRPr="00D96063" w:rsidRDefault="00C15F2E" w:rsidP="00053198">
            <w:pPr>
              <w:widowControl w:val="0"/>
              <w:autoSpaceDE w:val="0"/>
              <w:autoSpaceDN w:val="0"/>
              <w:adjustRightInd w:val="0"/>
              <w:spacing w:after="60"/>
              <w:jc w:val="left"/>
              <w:rPr>
                <w:rFonts w:cs="TimesNewRomanPS-BoldMT"/>
                <w:bCs/>
                <w:sz w:val="16"/>
                <w:szCs w:val="16"/>
              </w:rPr>
            </w:pPr>
            <w:r w:rsidRPr="00D96063">
              <w:rPr>
                <w:color w:val="000000"/>
                <w:spacing w:val="4"/>
                <w:sz w:val="16"/>
                <w:szCs w:val="16"/>
              </w:rPr>
              <w:t>Chartered Institute of Certified Tax Accountants (CICTA)</w:t>
            </w:r>
          </w:p>
          <w:p w14:paraId="2A216EDF" w14:textId="77777777" w:rsidR="00C15F2E" w:rsidRPr="00D96063" w:rsidRDefault="00C15F2E" w:rsidP="00053198">
            <w:pPr>
              <w:widowControl w:val="0"/>
              <w:autoSpaceDE w:val="0"/>
              <w:autoSpaceDN w:val="0"/>
              <w:adjustRightInd w:val="0"/>
              <w:spacing w:after="60"/>
              <w:jc w:val="left"/>
              <w:rPr>
                <w:rFonts w:cs="TimesNewRomanPS-BoldMT"/>
                <w:bCs/>
                <w:sz w:val="16"/>
                <w:szCs w:val="16"/>
              </w:rPr>
            </w:pPr>
            <w:r w:rsidRPr="00D96063">
              <w:rPr>
                <w:rFonts w:cs="TimesNewRomanPS-BoldMT"/>
                <w:bCs/>
                <w:sz w:val="16"/>
                <w:szCs w:val="16"/>
              </w:rPr>
              <w:t>Chartered Accountant Act, 1963 (Act 170)</w:t>
            </w:r>
          </w:p>
        </w:tc>
        <w:tc>
          <w:tcPr>
            <w:tcW w:w="5902" w:type="dxa"/>
            <w:shd w:val="clear" w:color="auto" w:fill="C9DED4"/>
          </w:tcPr>
          <w:p w14:paraId="5FA72858" w14:textId="77777777" w:rsidR="00C15F2E" w:rsidRPr="00D96063" w:rsidRDefault="00C15F2E" w:rsidP="00053198">
            <w:pPr>
              <w:widowControl w:val="0"/>
              <w:spacing w:after="60"/>
              <w:jc w:val="left"/>
              <w:rPr>
                <w:sz w:val="16"/>
                <w:szCs w:val="16"/>
              </w:rPr>
            </w:pPr>
            <w:r w:rsidRPr="00D96063">
              <w:rPr>
                <w:sz w:val="16"/>
                <w:szCs w:val="16"/>
              </w:rPr>
              <w:t xml:space="preserve">To become a member of the Institute, a person must pass the qualifying examinations and complete specific practical training. A member of a professional accountancy body whose status the Council by Regulations recognizes to be equivalent to the Institute's is eligible to apply to the Institute to be a member but cannot use the title of Chartered Accountant (Ghana) until he or she has passed the qualifying exams of the Institute. </w:t>
            </w:r>
          </w:p>
        </w:tc>
      </w:tr>
      <w:tr w:rsidR="00C15F2E" w:rsidRPr="00D96063" w14:paraId="0A06FF8A" w14:textId="77777777" w:rsidTr="00053198">
        <w:tc>
          <w:tcPr>
            <w:tcW w:w="3114" w:type="dxa"/>
            <w:shd w:val="clear" w:color="auto" w:fill="auto"/>
          </w:tcPr>
          <w:p w14:paraId="2B4A890C" w14:textId="77777777" w:rsidR="00C15F2E" w:rsidRPr="00D96063" w:rsidRDefault="00C15F2E" w:rsidP="00053198">
            <w:pPr>
              <w:widowControl w:val="0"/>
              <w:autoSpaceDE w:val="0"/>
              <w:autoSpaceDN w:val="0"/>
              <w:adjustRightInd w:val="0"/>
              <w:spacing w:after="60"/>
              <w:jc w:val="left"/>
              <w:rPr>
                <w:b/>
                <w:color w:val="000000"/>
                <w:spacing w:val="4"/>
                <w:sz w:val="16"/>
                <w:szCs w:val="16"/>
              </w:rPr>
            </w:pPr>
            <w:r w:rsidRPr="00D96063">
              <w:rPr>
                <w:b/>
                <w:color w:val="000000"/>
                <w:spacing w:val="4"/>
                <w:sz w:val="16"/>
                <w:szCs w:val="16"/>
              </w:rPr>
              <w:t>Engineer</w:t>
            </w:r>
          </w:p>
          <w:p w14:paraId="65784FC6" w14:textId="77777777" w:rsidR="00C15F2E" w:rsidRPr="00D96063" w:rsidRDefault="00C15F2E" w:rsidP="00053198">
            <w:pPr>
              <w:widowControl w:val="0"/>
              <w:autoSpaceDE w:val="0"/>
              <w:autoSpaceDN w:val="0"/>
              <w:adjustRightInd w:val="0"/>
              <w:spacing w:after="60"/>
              <w:jc w:val="left"/>
              <w:rPr>
                <w:color w:val="000000"/>
                <w:spacing w:val="4"/>
                <w:sz w:val="16"/>
                <w:szCs w:val="16"/>
              </w:rPr>
            </w:pPr>
            <w:r w:rsidRPr="00D96063">
              <w:rPr>
                <w:color w:val="000000"/>
                <w:spacing w:val="4"/>
                <w:sz w:val="16"/>
                <w:szCs w:val="16"/>
              </w:rPr>
              <w:t xml:space="preserve">Ghana Institution of Engineering </w:t>
            </w:r>
            <w:hyperlink r:id="rId106" w:history="1">
              <w:r w:rsidRPr="00D96063">
                <w:rPr>
                  <w:rFonts w:cs="TimesNewRomanPS-BoldMT"/>
                  <w:bCs/>
                  <w:color w:val="0000FF"/>
                  <w:sz w:val="16"/>
                  <w:szCs w:val="16"/>
                  <w:u w:val="single"/>
                </w:rPr>
                <w:t>http://ghie.org.gh</w:t>
              </w:r>
            </w:hyperlink>
          </w:p>
          <w:p w14:paraId="53994488" w14:textId="77777777" w:rsidR="00C15F2E" w:rsidRPr="00D96063" w:rsidRDefault="00C15F2E" w:rsidP="00053198">
            <w:pPr>
              <w:widowControl w:val="0"/>
              <w:autoSpaceDE w:val="0"/>
              <w:autoSpaceDN w:val="0"/>
              <w:adjustRightInd w:val="0"/>
              <w:spacing w:after="60"/>
              <w:jc w:val="left"/>
              <w:rPr>
                <w:color w:val="000000"/>
                <w:spacing w:val="4"/>
                <w:sz w:val="16"/>
                <w:szCs w:val="16"/>
              </w:rPr>
            </w:pPr>
            <w:r w:rsidRPr="00D96063">
              <w:rPr>
                <w:color w:val="000000"/>
                <w:spacing w:val="4"/>
                <w:sz w:val="16"/>
                <w:szCs w:val="16"/>
              </w:rPr>
              <w:t>Institute of Mechanical Engineers</w:t>
            </w:r>
          </w:p>
          <w:p w14:paraId="39E6FAEF" w14:textId="77777777" w:rsidR="00C15F2E" w:rsidRPr="00D96063" w:rsidRDefault="00C15F2E" w:rsidP="00053198">
            <w:pPr>
              <w:widowControl w:val="0"/>
              <w:autoSpaceDE w:val="0"/>
              <w:autoSpaceDN w:val="0"/>
              <w:adjustRightInd w:val="0"/>
              <w:spacing w:after="60"/>
              <w:jc w:val="left"/>
              <w:rPr>
                <w:color w:val="000000"/>
                <w:spacing w:val="4"/>
                <w:sz w:val="16"/>
                <w:szCs w:val="16"/>
              </w:rPr>
            </w:pPr>
            <w:r w:rsidRPr="00D96063">
              <w:rPr>
                <w:color w:val="000000"/>
                <w:spacing w:val="4"/>
                <w:sz w:val="16"/>
                <w:szCs w:val="16"/>
              </w:rPr>
              <w:t>Ghana Institute of Chemical Engineers</w:t>
            </w:r>
          </w:p>
          <w:p w14:paraId="6D358162" w14:textId="77777777" w:rsidR="00C15F2E" w:rsidRPr="00D96063" w:rsidRDefault="00C15F2E" w:rsidP="00053198">
            <w:pPr>
              <w:widowControl w:val="0"/>
              <w:autoSpaceDE w:val="0"/>
              <w:autoSpaceDN w:val="0"/>
              <w:adjustRightInd w:val="0"/>
              <w:spacing w:after="60"/>
              <w:jc w:val="left"/>
              <w:rPr>
                <w:color w:val="000000"/>
                <w:spacing w:val="4"/>
                <w:sz w:val="16"/>
                <w:szCs w:val="16"/>
              </w:rPr>
            </w:pPr>
            <w:r w:rsidRPr="00D96063">
              <w:rPr>
                <w:iCs/>
                <w:color w:val="000000"/>
                <w:spacing w:val="4"/>
                <w:sz w:val="16"/>
                <w:szCs w:val="16"/>
              </w:rPr>
              <w:t>Engineering</w:t>
            </w:r>
            <w:r w:rsidRPr="00D96063">
              <w:rPr>
                <w:i/>
                <w:iCs/>
                <w:color w:val="000000"/>
                <w:spacing w:val="4"/>
                <w:sz w:val="16"/>
                <w:szCs w:val="16"/>
              </w:rPr>
              <w:t xml:space="preserve"> </w:t>
            </w:r>
            <w:r w:rsidRPr="00D96063">
              <w:rPr>
                <w:iCs/>
                <w:color w:val="000000"/>
                <w:spacing w:val="4"/>
                <w:sz w:val="16"/>
                <w:szCs w:val="16"/>
              </w:rPr>
              <w:t>Council Act,</w:t>
            </w:r>
            <w:r w:rsidRPr="00D96063">
              <w:rPr>
                <w:color w:val="000000"/>
                <w:spacing w:val="4"/>
                <w:sz w:val="16"/>
                <w:szCs w:val="16"/>
              </w:rPr>
              <w:t xml:space="preserve"> 2011 (</w:t>
            </w:r>
            <w:r w:rsidRPr="00D96063">
              <w:rPr>
                <w:iCs/>
                <w:color w:val="000000"/>
                <w:spacing w:val="4"/>
                <w:sz w:val="16"/>
                <w:szCs w:val="16"/>
              </w:rPr>
              <w:t>Act</w:t>
            </w:r>
            <w:r w:rsidRPr="00D96063">
              <w:rPr>
                <w:color w:val="000000"/>
                <w:spacing w:val="4"/>
                <w:sz w:val="16"/>
                <w:szCs w:val="16"/>
              </w:rPr>
              <w:t xml:space="preserve"> 819)</w:t>
            </w:r>
          </w:p>
        </w:tc>
        <w:tc>
          <w:tcPr>
            <w:tcW w:w="5902" w:type="dxa"/>
            <w:shd w:val="clear" w:color="auto" w:fill="auto"/>
          </w:tcPr>
          <w:p w14:paraId="38B16F48" w14:textId="77777777" w:rsidR="00C15F2E" w:rsidRPr="00D96063" w:rsidRDefault="00C15F2E" w:rsidP="00053198">
            <w:pPr>
              <w:widowControl w:val="0"/>
              <w:spacing w:after="60"/>
              <w:jc w:val="left"/>
              <w:rPr>
                <w:rFonts w:eastAsia="Times New Roman" w:cs="TimesNewRomanPS-BoldMT"/>
                <w:b/>
                <w:bCs/>
                <w:sz w:val="16"/>
                <w:szCs w:val="16"/>
                <w:lang w:eastAsia="fr-CH"/>
              </w:rPr>
            </w:pPr>
            <w:r w:rsidRPr="00D96063">
              <w:rPr>
                <w:rFonts w:cs="Arial"/>
                <w:color w:val="000000"/>
                <w:sz w:val="16"/>
                <w:szCs w:val="16"/>
              </w:rPr>
              <w:t>A foreign engineer can practice with a foreign degree but is encouraged to be certified by the GHIE. Certification is required to tender for government contracts.</w:t>
            </w:r>
          </w:p>
        </w:tc>
      </w:tr>
      <w:tr w:rsidR="00C15F2E" w:rsidRPr="00D96063" w14:paraId="586475F2" w14:textId="77777777" w:rsidTr="00053198">
        <w:tc>
          <w:tcPr>
            <w:tcW w:w="3114" w:type="dxa"/>
            <w:shd w:val="clear" w:color="auto" w:fill="C9DED4"/>
          </w:tcPr>
          <w:p w14:paraId="49861791" w14:textId="77777777" w:rsidR="00C15F2E" w:rsidRPr="00D96063" w:rsidRDefault="00C15F2E" w:rsidP="00053198">
            <w:pPr>
              <w:keepNext/>
              <w:keepLines/>
              <w:autoSpaceDE w:val="0"/>
              <w:autoSpaceDN w:val="0"/>
              <w:adjustRightInd w:val="0"/>
              <w:spacing w:after="60"/>
              <w:jc w:val="left"/>
              <w:rPr>
                <w:rFonts w:eastAsia="Times New Roman" w:cs="TimesNewRomanPSMT"/>
                <w:b/>
                <w:sz w:val="16"/>
                <w:szCs w:val="16"/>
                <w:lang w:eastAsia="fr-CH"/>
              </w:rPr>
            </w:pPr>
            <w:r w:rsidRPr="00D96063">
              <w:rPr>
                <w:rFonts w:eastAsia="Times New Roman" w:cs="TimesNewRomanPSMT"/>
                <w:b/>
                <w:sz w:val="16"/>
                <w:szCs w:val="16"/>
                <w:lang w:eastAsia="fr-CH"/>
              </w:rPr>
              <w:t>Notary</w:t>
            </w:r>
          </w:p>
          <w:p w14:paraId="3842E5A0" w14:textId="77777777" w:rsidR="00C15F2E" w:rsidRPr="00D96063" w:rsidRDefault="00C15F2E" w:rsidP="00053198">
            <w:pPr>
              <w:keepNext/>
              <w:keepLines/>
              <w:autoSpaceDE w:val="0"/>
              <w:autoSpaceDN w:val="0"/>
              <w:adjustRightInd w:val="0"/>
              <w:spacing w:after="60"/>
              <w:jc w:val="left"/>
              <w:rPr>
                <w:rFonts w:eastAsia="Times New Roman" w:cs="TimesNewRomanPS-BoldMT"/>
                <w:b/>
                <w:bCs/>
                <w:sz w:val="16"/>
                <w:szCs w:val="16"/>
                <w:u w:val="single"/>
                <w:lang w:eastAsia="fr-CH"/>
              </w:rPr>
            </w:pPr>
            <w:r w:rsidRPr="00D96063">
              <w:rPr>
                <w:rFonts w:eastAsia="Times New Roman"/>
                <w:kern w:val="36"/>
                <w:sz w:val="16"/>
                <w:szCs w:val="16"/>
                <w:lang w:eastAsia="en-GB"/>
              </w:rPr>
              <w:t>Notaries Public Act, 1960 (Act 26)</w:t>
            </w:r>
          </w:p>
        </w:tc>
        <w:tc>
          <w:tcPr>
            <w:tcW w:w="5902" w:type="dxa"/>
            <w:shd w:val="clear" w:color="auto" w:fill="C9DED4"/>
          </w:tcPr>
          <w:p w14:paraId="796FFDB1" w14:textId="77777777" w:rsidR="00C15F2E" w:rsidRPr="00D96063" w:rsidRDefault="00C15F2E" w:rsidP="00053198">
            <w:pPr>
              <w:keepNext/>
              <w:keepLines/>
              <w:autoSpaceDE w:val="0"/>
              <w:autoSpaceDN w:val="0"/>
              <w:adjustRightInd w:val="0"/>
              <w:spacing w:after="60"/>
              <w:jc w:val="left"/>
              <w:rPr>
                <w:rFonts w:eastAsia="Times New Roman" w:cs="TimesNewRomanPS-BoldMT"/>
                <w:bCs/>
                <w:sz w:val="16"/>
                <w:szCs w:val="16"/>
                <w:lang w:eastAsia="fr-CH"/>
              </w:rPr>
            </w:pPr>
            <w:r w:rsidRPr="00D96063">
              <w:rPr>
                <w:rFonts w:eastAsia="Times New Roman" w:cs="TimesNewRomanPS-BoldMT"/>
                <w:bCs/>
                <w:sz w:val="16"/>
                <w:szCs w:val="16"/>
                <w:lang w:eastAsia="fr-CH"/>
              </w:rPr>
              <w:t>Must be a Ghanaian national.</w:t>
            </w:r>
          </w:p>
        </w:tc>
      </w:tr>
      <w:tr w:rsidR="00C15F2E" w:rsidRPr="00D96063" w14:paraId="57E33CC1" w14:textId="77777777" w:rsidTr="00053198">
        <w:tc>
          <w:tcPr>
            <w:tcW w:w="3114" w:type="dxa"/>
            <w:shd w:val="clear" w:color="auto" w:fill="auto"/>
          </w:tcPr>
          <w:p w14:paraId="210DAE7E" w14:textId="77777777" w:rsidR="00C15F2E" w:rsidRPr="00D96063" w:rsidRDefault="00C15F2E" w:rsidP="00053198">
            <w:pPr>
              <w:autoSpaceDE w:val="0"/>
              <w:autoSpaceDN w:val="0"/>
              <w:adjustRightInd w:val="0"/>
              <w:spacing w:after="60"/>
              <w:jc w:val="left"/>
              <w:rPr>
                <w:rFonts w:eastAsia="Times New Roman" w:cs="TimesNewRomanPSMT"/>
                <w:sz w:val="16"/>
                <w:szCs w:val="16"/>
                <w:u w:val="single"/>
                <w:lang w:eastAsia="fr-CH"/>
              </w:rPr>
            </w:pPr>
            <w:r w:rsidRPr="00D96063">
              <w:rPr>
                <w:rFonts w:eastAsia="Times New Roman" w:cs="TimesNewRomanPSMT"/>
                <w:b/>
                <w:sz w:val="16"/>
                <w:szCs w:val="16"/>
                <w:lang w:eastAsia="fr-CH"/>
              </w:rPr>
              <w:t>Lawyer</w:t>
            </w:r>
          </w:p>
          <w:p w14:paraId="24EBC8A1" w14:textId="77777777" w:rsidR="00C15F2E" w:rsidRPr="00D96063" w:rsidRDefault="00C15F2E" w:rsidP="00053198">
            <w:pPr>
              <w:autoSpaceDE w:val="0"/>
              <w:autoSpaceDN w:val="0"/>
              <w:adjustRightInd w:val="0"/>
              <w:spacing w:after="60"/>
              <w:jc w:val="left"/>
              <w:rPr>
                <w:rFonts w:eastAsia="Times New Roman"/>
                <w:sz w:val="16"/>
                <w:szCs w:val="16"/>
                <w:lang w:eastAsia="en-GB"/>
              </w:rPr>
            </w:pPr>
            <w:r w:rsidRPr="00D96063">
              <w:rPr>
                <w:rFonts w:eastAsia="Times New Roman"/>
                <w:sz w:val="16"/>
                <w:szCs w:val="16"/>
                <w:lang w:eastAsia="en-GB"/>
              </w:rPr>
              <w:t xml:space="preserve">Ghana Bar Association </w:t>
            </w:r>
            <w:hyperlink r:id="rId107" w:history="1">
              <w:r w:rsidRPr="00D96063">
                <w:rPr>
                  <w:color w:val="0000FF"/>
                  <w:sz w:val="16"/>
                  <w:szCs w:val="16"/>
                  <w:u w:val="single"/>
                  <w:lang w:eastAsia="en-GB"/>
                </w:rPr>
                <w:t>http://www.ghanabar.org</w:t>
              </w:r>
            </w:hyperlink>
          </w:p>
          <w:p w14:paraId="047C8C74" w14:textId="77777777" w:rsidR="00C15F2E" w:rsidRPr="00D96063" w:rsidRDefault="00C15F2E" w:rsidP="00053198">
            <w:pPr>
              <w:autoSpaceDE w:val="0"/>
              <w:autoSpaceDN w:val="0"/>
              <w:adjustRightInd w:val="0"/>
              <w:spacing w:after="60"/>
              <w:jc w:val="left"/>
              <w:rPr>
                <w:rFonts w:eastAsia="Times New Roman"/>
                <w:sz w:val="16"/>
                <w:szCs w:val="16"/>
                <w:lang w:eastAsia="en-GB"/>
              </w:rPr>
            </w:pPr>
            <w:r w:rsidRPr="00D96063">
              <w:rPr>
                <w:rFonts w:cs="TimesNewRomanPS-BoldMT"/>
                <w:bCs/>
                <w:sz w:val="16"/>
                <w:szCs w:val="16"/>
              </w:rPr>
              <w:t>Legal Profession Act, 1960 (Act 32) as amended</w:t>
            </w:r>
          </w:p>
        </w:tc>
        <w:tc>
          <w:tcPr>
            <w:tcW w:w="5902" w:type="dxa"/>
            <w:shd w:val="clear" w:color="auto" w:fill="auto"/>
          </w:tcPr>
          <w:p w14:paraId="3924E7F4" w14:textId="77777777" w:rsidR="00C15F2E" w:rsidRPr="00D96063" w:rsidRDefault="00C15F2E" w:rsidP="00053198">
            <w:pPr>
              <w:shd w:val="clear" w:color="auto" w:fill="FFFFFF"/>
              <w:spacing w:after="60"/>
              <w:jc w:val="left"/>
              <w:rPr>
                <w:rFonts w:eastAsia="Times New Roman"/>
                <w:sz w:val="16"/>
                <w:szCs w:val="16"/>
                <w:lang w:eastAsia="en-GB"/>
              </w:rPr>
            </w:pPr>
            <w:r w:rsidRPr="00D96063">
              <w:rPr>
                <w:rFonts w:cs="TimesNewRomanPS-BoldMT"/>
                <w:bCs/>
                <w:sz w:val="16"/>
                <w:szCs w:val="16"/>
              </w:rPr>
              <w:t>Non-Ghanaian citizens must demonstrate seven years of legal experience in a country with a compatible legal system. A</w:t>
            </w:r>
            <w:r w:rsidRPr="00D96063">
              <w:rPr>
                <w:rFonts w:eastAsia="Times New Roman"/>
                <w:sz w:val="16"/>
                <w:szCs w:val="16"/>
                <w:lang w:eastAsia="en-GB"/>
              </w:rPr>
              <w:t>pplicants must have been enrolled and called to the Bar as a licensed Solicitor or Barrister under a Common Law jurisdiction.</w:t>
            </w:r>
          </w:p>
        </w:tc>
      </w:tr>
      <w:tr w:rsidR="00C15F2E" w:rsidRPr="00D96063" w14:paraId="20679C18" w14:textId="77777777" w:rsidTr="00053198">
        <w:tc>
          <w:tcPr>
            <w:tcW w:w="3114" w:type="dxa"/>
            <w:shd w:val="clear" w:color="auto" w:fill="C9DED4"/>
          </w:tcPr>
          <w:p w14:paraId="439E8C08" w14:textId="77777777" w:rsidR="00C15F2E" w:rsidRPr="00D96063" w:rsidRDefault="00C15F2E" w:rsidP="00053198">
            <w:pPr>
              <w:keepNext/>
              <w:autoSpaceDE w:val="0"/>
              <w:autoSpaceDN w:val="0"/>
              <w:adjustRightInd w:val="0"/>
              <w:spacing w:after="60"/>
              <w:jc w:val="left"/>
              <w:rPr>
                <w:rFonts w:eastAsia="Times New Roman" w:cs="TimesNewRomanPS-BoldMT"/>
                <w:b/>
                <w:bCs/>
                <w:sz w:val="16"/>
                <w:szCs w:val="16"/>
                <w:lang w:eastAsia="fr-CH"/>
              </w:rPr>
            </w:pPr>
            <w:r w:rsidRPr="00D96063">
              <w:rPr>
                <w:rFonts w:eastAsia="Times New Roman" w:cs="TimesNewRomanPSMT"/>
                <w:b/>
                <w:sz w:val="16"/>
                <w:szCs w:val="16"/>
                <w:lang w:eastAsia="fr-CH"/>
              </w:rPr>
              <w:t>Bailiff</w:t>
            </w:r>
          </w:p>
        </w:tc>
        <w:tc>
          <w:tcPr>
            <w:tcW w:w="5902" w:type="dxa"/>
            <w:shd w:val="clear" w:color="auto" w:fill="C9DED4"/>
          </w:tcPr>
          <w:p w14:paraId="346EF988" w14:textId="77777777" w:rsidR="00C15F2E" w:rsidRPr="00D96063" w:rsidRDefault="00C15F2E" w:rsidP="00053198">
            <w:pPr>
              <w:keepNext/>
              <w:autoSpaceDE w:val="0"/>
              <w:autoSpaceDN w:val="0"/>
              <w:adjustRightInd w:val="0"/>
              <w:spacing w:after="60"/>
              <w:jc w:val="left"/>
              <w:rPr>
                <w:rFonts w:eastAsia="Times New Roman" w:cs="TimesNewRomanPS-BoldMT"/>
                <w:b/>
                <w:bCs/>
                <w:sz w:val="16"/>
                <w:szCs w:val="16"/>
                <w:lang w:eastAsia="fr-CH"/>
              </w:rPr>
            </w:pPr>
            <w:r w:rsidRPr="00D96063">
              <w:rPr>
                <w:rFonts w:eastAsia="Times New Roman" w:cs="TimesNewRomanPS-BoldMT"/>
                <w:bCs/>
                <w:sz w:val="16"/>
                <w:szCs w:val="16"/>
                <w:lang w:eastAsia="fr-CH"/>
              </w:rPr>
              <w:t xml:space="preserve">Must be a Ghanaian national. </w:t>
            </w:r>
          </w:p>
        </w:tc>
      </w:tr>
      <w:tr w:rsidR="00C15F2E" w:rsidRPr="00D96063" w14:paraId="3926157F" w14:textId="77777777" w:rsidTr="00053198">
        <w:tc>
          <w:tcPr>
            <w:tcW w:w="3114" w:type="dxa"/>
            <w:shd w:val="clear" w:color="auto" w:fill="auto"/>
          </w:tcPr>
          <w:p w14:paraId="41DBF559" w14:textId="77777777" w:rsidR="00C15F2E" w:rsidRPr="00D96063" w:rsidRDefault="00C15F2E" w:rsidP="00053198">
            <w:pPr>
              <w:autoSpaceDE w:val="0"/>
              <w:autoSpaceDN w:val="0"/>
              <w:adjustRightInd w:val="0"/>
              <w:spacing w:after="60"/>
              <w:jc w:val="left"/>
              <w:rPr>
                <w:rFonts w:eastAsia="Times New Roman" w:cs="TimesNewRomanPSMT"/>
                <w:b/>
                <w:sz w:val="16"/>
                <w:szCs w:val="16"/>
                <w:lang w:eastAsia="fr-CH"/>
              </w:rPr>
            </w:pPr>
            <w:r w:rsidRPr="00D96063">
              <w:rPr>
                <w:rFonts w:eastAsia="Times New Roman" w:cs="TimesNewRomanPSMT"/>
                <w:b/>
                <w:sz w:val="16"/>
                <w:szCs w:val="16"/>
                <w:lang w:eastAsia="fr-CH"/>
              </w:rPr>
              <w:t>Physician and dental surgeon</w:t>
            </w:r>
          </w:p>
          <w:p w14:paraId="2E602CC0" w14:textId="77777777" w:rsidR="00C15F2E" w:rsidRPr="00D96063" w:rsidRDefault="00C15F2E" w:rsidP="00053198">
            <w:pPr>
              <w:autoSpaceDE w:val="0"/>
              <w:autoSpaceDN w:val="0"/>
              <w:adjustRightInd w:val="0"/>
              <w:spacing w:after="60"/>
              <w:jc w:val="left"/>
              <w:rPr>
                <w:color w:val="0000FF"/>
                <w:sz w:val="16"/>
                <w:szCs w:val="16"/>
                <w:u w:val="single"/>
              </w:rPr>
            </w:pPr>
            <w:r w:rsidRPr="00D96063">
              <w:rPr>
                <w:sz w:val="16"/>
                <w:szCs w:val="16"/>
              </w:rPr>
              <w:t xml:space="preserve">Medical and Dental Council </w:t>
            </w:r>
            <w:hyperlink r:id="rId108" w:history="1">
              <w:r w:rsidRPr="00D96063">
                <w:rPr>
                  <w:color w:val="0000FF"/>
                  <w:sz w:val="16"/>
                  <w:szCs w:val="16"/>
                  <w:u w:val="single"/>
                </w:rPr>
                <w:t>http://www.mdcghana.org/</w:t>
              </w:r>
            </w:hyperlink>
          </w:p>
          <w:p w14:paraId="3AA19E49" w14:textId="77777777" w:rsidR="00C15F2E" w:rsidRPr="00D96063" w:rsidRDefault="00C15F2E" w:rsidP="00053198">
            <w:pPr>
              <w:autoSpaceDE w:val="0"/>
              <w:autoSpaceDN w:val="0"/>
              <w:adjustRightInd w:val="0"/>
              <w:spacing w:after="60"/>
              <w:jc w:val="left"/>
              <w:rPr>
                <w:rFonts w:eastAsia="Times New Roman" w:cs="TimesNewRomanPS-BoldMT"/>
                <w:b/>
                <w:bCs/>
                <w:sz w:val="16"/>
                <w:szCs w:val="16"/>
                <w:u w:val="single"/>
                <w:lang w:eastAsia="fr-CH"/>
              </w:rPr>
            </w:pPr>
            <w:r w:rsidRPr="00D96063">
              <w:rPr>
                <w:sz w:val="16"/>
                <w:szCs w:val="16"/>
              </w:rPr>
              <w:t xml:space="preserve">Medical and Dental Decree, 1972 (NRCD 91), as amended in 1979 </w:t>
            </w:r>
          </w:p>
        </w:tc>
        <w:tc>
          <w:tcPr>
            <w:tcW w:w="5902" w:type="dxa"/>
            <w:shd w:val="clear" w:color="auto" w:fill="auto"/>
          </w:tcPr>
          <w:p w14:paraId="65423CDF" w14:textId="77777777" w:rsidR="00C15F2E" w:rsidRPr="00D96063" w:rsidRDefault="00C15F2E" w:rsidP="00053198">
            <w:pPr>
              <w:autoSpaceDE w:val="0"/>
              <w:autoSpaceDN w:val="0"/>
              <w:adjustRightInd w:val="0"/>
              <w:spacing w:after="60"/>
              <w:jc w:val="left"/>
              <w:rPr>
                <w:rFonts w:cs="TimesNewRoman"/>
                <w:sz w:val="16"/>
                <w:szCs w:val="16"/>
                <w:lang w:eastAsia="en-GB"/>
              </w:rPr>
            </w:pPr>
            <w:r w:rsidRPr="00D96063">
              <w:rPr>
                <w:rFonts w:cs="TimesNewRoman"/>
                <w:sz w:val="16"/>
                <w:szCs w:val="16"/>
                <w:lang w:eastAsia="en-GB"/>
              </w:rPr>
              <w:t>Medical and Dental Council registration, examination for foreign</w:t>
            </w:r>
            <w:r w:rsidRPr="00D96063">
              <w:rPr>
                <w:rFonts w:cs="TimesNewRoman"/>
                <w:sz w:val="16"/>
                <w:szCs w:val="16"/>
                <w:lang w:eastAsia="en-GB"/>
              </w:rPr>
              <w:noBreakHyphen/>
              <w:t>trained doctors. Specialists from the West African Subregion holding West Africa Postgraduate College certificates are exempt from the exam.</w:t>
            </w:r>
          </w:p>
        </w:tc>
      </w:tr>
      <w:tr w:rsidR="00C15F2E" w:rsidRPr="00D96063" w14:paraId="2C63EF8E" w14:textId="77777777" w:rsidTr="00053198">
        <w:tc>
          <w:tcPr>
            <w:tcW w:w="3114" w:type="dxa"/>
            <w:shd w:val="clear" w:color="auto" w:fill="C9DED4"/>
          </w:tcPr>
          <w:p w14:paraId="051384DA" w14:textId="77777777" w:rsidR="00C15F2E" w:rsidRPr="00D96063" w:rsidRDefault="00C15F2E" w:rsidP="00053198">
            <w:pPr>
              <w:autoSpaceDE w:val="0"/>
              <w:autoSpaceDN w:val="0"/>
              <w:adjustRightInd w:val="0"/>
              <w:spacing w:after="60"/>
              <w:jc w:val="left"/>
              <w:rPr>
                <w:rFonts w:eastAsia="Times New Roman" w:cs="TimesNewRomanPSMT"/>
                <w:b/>
                <w:sz w:val="16"/>
                <w:szCs w:val="16"/>
                <w:lang w:eastAsia="fr-CH"/>
              </w:rPr>
            </w:pPr>
            <w:r w:rsidRPr="00D96063">
              <w:rPr>
                <w:rFonts w:eastAsia="Times New Roman" w:cs="TimesNewRomanPSMT"/>
                <w:b/>
                <w:sz w:val="16"/>
                <w:szCs w:val="16"/>
                <w:lang w:eastAsia="fr-CH"/>
              </w:rPr>
              <w:t>Pharmacist</w:t>
            </w:r>
          </w:p>
          <w:p w14:paraId="58DC5F42" w14:textId="77777777" w:rsidR="00C15F2E" w:rsidRPr="00D96063" w:rsidRDefault="00C15F2E" w:rsidP="00053198">
            <w:pPr>
              <w:autoSpaceDE w:val="0"/>
              <w:autoSpaceDN w:val="0"/>
              <w:adjustRightInd w:val="0"/>
              <w:spacing w:after="60"/>
              <w:jc w:val="left"/>
              <w:rPr>
                <w:rFonts w:eastAsia="Times New Roman" w:cs="TimesNewRomanPSMT"/>
                <w:b/>
                <w:sz w:val="16"/>
                <w:szCs w:val="16"/>
                <w:lang w:eastAsia="fr-CH"/>
              </w:rPr>
            </w:pPr>
            <w:r w:rsidRPr="00D96063">
              <w:rPr>
                <w:rFonts w:cs="TimesNewRoman"/>
                <w:sz w:val="16"/>
                <w:szCs w:val="16"/>
                <w:lang w:eastAsia="en-GB"/>
              </w:rPr>
              <w:t>Pharmacy Act, 1994 (Act 489)</w:t>
            </w:r>
          </w:p>
        </w:tc>
        <w:tc>
          <w:tcPr>
            <w:tcW w:w="5902" w:type="dxa"/>
            <w:shd w:val="clear" w:color="auto" w:fill="C9DED4"/>
          </w:tcPr>
          <w:p w14:paraId="193F4C6F" w14:textId="77777777" w:rsidR="00C15F2E" w:rsidRPr="00D96063" w:rsidRDefault="00C15F2E" w:rsidP="00053198">
            <w:pPr>
              <w:spacing w:after="60"/>
              <w:jc w:val="left"/>
              <w:rPr>
                <w:rFonts w:eastAsia="Times New Roman" w:cs="TimesNewRomanPS-BoldMT"/>
                <w:b/>
                <w:bCs/>
                <w:sz w:val="16"/>
                <w:szCs w:val="16"/>
                <w:lang w:eastAsia="fr-CH"/>
              </w:rPr>
            </w:pPr>
            <w:r w:rsidRPr="00D96063">
              <w:rPr>
                <w:rFonts w:cs="TimesNewRoman"/>
                <w:sz w:val="16"/>
                <w:szCs w:val="16"/>
                <w:lang w:eastAsia="en-GB"/>
              </w:rPr>
              <w:t>Passage of the Ghana Pharmacy Professional Qualifying Examination.</w:t>
            </w:r>
          </w:p>
        </w:tc>
      </w:tr>
      <w:tr w:rsidR="00C15F2E" w:rsidRPr="00D96063" w14:paraId="45D54456" w14:textId="77777777" w:rsidTr="00053198">
        <w:tc>
          <w:tcPr>
            <w:tcW w:w="3114" w:type="dxa"/>
            <w:shd w:val="clear" w:color="auto" w:fill="auto"/>
          </w:tcPr>
          <w:p w14:paraId="10E9DB07" w14:textId="77777777" w:rsidR="00C15F2E" w:rsidRPr="00D96063" w:rsidRDefault="00C15F2E" w:rsidP="0074236B">
            <w:pPr>
              <w:keepNext/>
              <w:autoSpaceDE w:val="0"/>
              <w:autoSpaceDN w:val="0"/>
              <w:adjustRightInd w:val="0"/>
              <w:spacing w:after="60"/>
              <w:jc w:val="left"/>
              <w:rPr>
                <w:rFonts w:cs="TimesNewRomanPS-BoldMT"/>
                <w:b/>
                <w:bCs/>
                <w:sz w:val="16"/>
                <w:szCs w:val="16"/>
              </w:rPr>
            </w:pPr>
            <w:r w:rsidRPr="00D96063">
              <w:rPr>
                <w:rFonts w:cs="TimesNewRomanPS-BoldMT"/>
                <w:b/>
                <w:bCs/>
                <w:sz w:val="16"/>
                <w:szCs w:val="16"/>
              </w:rPr>
              <w:lastRenderedPageBreak/>
              <w:t>Architect</w:t>
            </w:r>
          </w:p>
          <w:p w14:paraId="7684571C" w14:textId="77777777" w:rsidR="00C15F2E" w:rsidRPr="00D96063" w:rsidRDefault="00C15F2E" w:rsidP="0074236B">
            <w:pPr>
              <w:keepNext/>
              <w:autoSpaceDE w:val="0"/>
              <w:autoSpaceDN w:val="0"/>
              <w:adjustRightInd w:val="0"/>
              <w:spacing w:after="60"/>
              <w:jc w:val="left"/>
              <w:rPr>
                <w:rFonts w:cs="TimesNewRomanPS-BoldMT"/>
                <w:bCs/>
                <w:sz w:val="16"/>
                <w:szCs w:val="16"/>
              </w:rPr>
            </w:pPr>
            <w:r w:rsidRPr="00D96063">
              <w:rPr>
                <w:rFonts w:cs="TimesNewRomanPS-BoldMT"/>
                <w:bCs/>
                <w:sz w:val="16"/>
                <w:szCs w:val="16"/>
              </w:rPr>
              <w:t>Architects Decree, 1969</w:t>
            </w:r>
          </w:p>
          <w:p w14:paraId="4E0EB685" w14:textId="77777777" w:rsidR="00C15F2E" w:rsidRPr="00D96063" w:rsidRDefault="00C15F2E" w:rsidP="0074236B">
            <w:pPr>
              <w:keepNext/>
              <w:autoSpaceDE w:val="0"/>
              <w:autoSpaceDN w:val="0"/>
              <w:adjustRightInd w:val="0"/>
              <w:spacing w:after="60"/>
              <w:jc w:val="left"/>
              <w:rPr>
                <w:rFonts w:eastAsia="Times New Roman" w:cs="TimesNewRomanPSMT"/>
                <w:sz w:val="16"/>
                <w:szCs w:val="16"/>
                <w:lang w:eastAsia="fr-CH"/>
              </w:rPr>
            </w:pPr>
            <w:r w:rsidRPr="00D96063">
              <w:rPr>
                <w:rFonts w:cs="TimesNewRomanPS-BoldMT"/>
                <w:bCs/>
                <w:sz w:val="16"/>
                <w:szCs w:val="16"/>
              </w:rPr>
              <w:t>(NLCD 357)</w:t>
            </w:r>
          </w:p>
        </w:tc>
        <w:tc>
          <w:tcPr>
            <w:tcW w:w="5902" w:type="dxa"/>
            <w:shd w:val="clear" w:color="auto" w:fill="auto"/>
          </w:tcPr>
          <w:p w14:paraId="257CF525" w14:textId="77777777" w:rsidR="00C15F2E" w:rsidRPr="00D96063" w:rsidRDefault="00C15F2E" w:rsidP="00053198">
            <w:pPr>
              <w:autoSpaceDE w:val="0"/>
              <w:autoSpaceDN w:val="0"/>
              <w:adjustRightInd w:val="0"/>
              <w:spacing w:after="60"/>
              <w:jc w:val="left"/>
              <w:rPr>
                <w:rFonts w:eastAsia="Times New Roman" w:cs="TimesNewRomanPS-BoldMT"/>
                <w:b/>
                <w:bCs/>
                <w:sz w:val="16"/>
                <w:szCs w:val="16"/>
                <w:lang w:eastAsia="fr-CH"/>
              </w:rPr>
            </w:pPr>
            <w:r w:rsidRPr="00D96063">
              <w:rPr>
                <w:sz w:val="16"/>
                <w:szCs w:val="16"/>
                <w:lang w:eastAsia="fr-CH"/>
              </w:rPr>
              <w:t>Passage of qualifying examinations; and residence in Ghana.</w:t>
            </w:r>
          </w:p>
        </w:tc>
      </w:tr>
      <w:tr w:rsidR="00C15F2E" w:rsidRPr="00D96063" w14:paraId="428E8F27" w14:textId="77777777" w:rsidTr="00053198">
        <w:tc>
          <w:tcPr>
            <w:tcW w:w="3114" w:type="dxa"/>
            <w:shd w:val="clear" w:color="auto" w:fill="C9DED4"/>
          </w:tcPr>
          <w:p w14:paraId="21AB846A" w14:textId="77777777" w:rsidR="00C15F2E" w:rsidRPr="00D96063" w:rsidRDefault="00C15F2E" w:rsidP="00053B83">
            <w:pPr>
              <w:keepNext/>
              <w:autoSpaceDE w:val="0"/>
              <w:autoSpaceDN w:val="0"/>
              <w:adjustRightInd w:val="0"/>
              <w:spacing w:after="60"/>
              <w:jc w:val="left"/>
              <w:rPr>
                <w:rFonts w:eastAsia="Times New Roman" w:cs="TimesNewRomanPS-BoldMT"/>
                <w:b/>
                <w:bCs/>
                <w:sz w:val="16"/>
                <w:szCs w:val="16"/>
                <w:lang w:eastAsia="fr-CH"/>
              </w:rPr>
            </w:pPr>
            <w:r w:rsidRPr="00D96063">
              <w:rPr>
                <w:rFonts w:eastAsia="Times New Roman" w:cs="TimesNewRomanPSMT"/>
                <w:b/>
                <w:sz w:val="16"/>
                <w:szCs w:val="16"/>
                <w:lang w:eastAsia="fr-CH"/>
              </w:rPr>
              <w:t>Real estate agent</w:t>
            </w:r>
          </w:p>
        </w:tc>
        <w:tc>
          <w:tcPr>
            <w:tcW w:w="5902" w:type="dxa"/>
            <w:shd w:val="clear" w:color="auto" w:fill="C9DED4"/>
          </w:tcPr>
          <w:p w14:paraId="4C03A2EF" w14:textId="77777777" w:rsidR="00C15F2E" w:rsidRPr="00D96063" w:rsidRDefault="00C15F2E" w:rsidP="00053B83">
            <w:pPr>
              <w:keepNext/>
              <w:autoSpaceDE w:val="0"/>
              <w:autoSpaceDN w:val="0"/>
              <w:adjustRightInd w:val="0"/>
              <w:spacing w:after="60"/>
              <w:jc w:val="left"/>
              <w:rPr>
                <w:rFonts w:eastAsia="Times New Roman" w:cs="TimesNewRomanPS-BoldMT"/>
                <w:b/>
                <w:bCs/>
                <w:sz w:val="16"/>
                <w:szCs w:val="16"/>
                <w:lang w:eastAsia="fr-CH"/>
              </w:rPr>
            </w:pPr>
            <w:r w:rsidRPr="00D96063">
              <w:rPr>
                <w:rFonts w:cs="Segoe Print"/>
                <w:sz w:val="16"/>
                <w:szCs w:val="16"/>
                <w:lang w:eastAsia="en-GB"/>
              </w:rPr>
              <w:t>The Ghana Institute of Surveyors has initiated the Real Estate Agency Bill (at final review stage at the Attorney General's Department in early 2014) to establish a board to regulate the qualification, activities, and discipline of real estate agents, salespeople, and firms conducting business as estate agents, as well as their training and licensing.</w:t>
            </w:r>
          </w:p>
        </w:tc>
      </w:tr>
    </w:tbl>
    <w:p w14:paraId="7216AD52" w14:textId="77777777" w:rsidR="00C15F2E" w:rsidRPr="00D96063" w:rsidRDefault="00C15F2E" w:rsidP="00D868BF">
      <w:pPr>
        <w:tabs>
          <w:tab w:val="left" w:pos="851"/>
        </w:tabs>
        <w:spacing w:before="240" w:after="240"/>
        <w:jc w:val="left"/>
        <w:rPr>
          <w:sz w:val="16"/>
          <w:lang w:eastAsia="fr-CH"/>
        </w:rPr>
      </w:pPr>
      <w:r w:rsidRPr="00D96063">
        <w:rPr>
          <w:sz w:val="16"/>
          <w:lang w:eastAsia="fr-CH"/>
        </w:rPr>
        <w:t>Source:</w:t>
      </w:r>
      <w:r w:rsidRPr="00D96063">
        <w:rPr>
          <w:sz w:val="16"/>
          <w:lang w:eastAsia="fr-CH"/>
        </w:rPr>
        <w:tab/>
        <w:t>Information provided by the authorities.</w:t>
      </w:r>
    </w:p>
    <w:p w14:paraId="6B04210A" w14:textId="77777777" w:rsidR="00C15F2E" w:rsidRPr="00D96063" w:rsidRDefault="00C15F2E" w:rsidP="00B34425">
      <w:pPr>
        <w:pStyle w:val="Heading3"/>
      </w:pPr>
      <w:bookmarkStart w:id="276" w:name="_Toc103607739"/>
      <w:r w:rsidRPr="00D96063">
        <w:t>Tourism services</w:t>
      </w:r>
      <w:bookmarkEnd w:id="276"/>
    </w:p>
    <w:p w14:paraId="18747F63" w14:textId="77777777" w:rsidR="00C15F2E" w:rsidRPr="00D96063" w:rsidRDefault="00C15F2E" w:rsidP="003758E5">
      <w:pPr>
        <w:numPr>
          <w:ilvl w:val="6"/>
          <w:numId w:val="18"/>
        </w:numPr>
        <w:spacing w:after="240"/>
      </w:pPr>
      <w:r w:rsidRPr="00D96063">
        <w:t>The tourism sector experienced dynamic growth until 2019, and Ghana succeeded in attracting close to the one million tourists annually (Tables 1.1 and 4.20).</w:t>
      </w:r>
    </w:p>
    <w:p w14:paraId="4847AB17" w14:textId="77777777" w:rsidR="00C15F2E" w:rsidRPr="00D96063" w:rsidRDefault="00C15F2E" w:rsidP="003758E5">
      <w:pPr>
        <w:numPr>
          <w:ilvl w:val="6"/>
          <w:numId w:val="18"/>
        </w:numPr>
        <w:spacing w:after="240"/>
      </w:pPr>
      <w:r w:rsidRPr="00D96063">
        <w:t xml:space="preserve">The Ministry of Tourism, Arts and Culture is responsible for the formulation of tourism policy. The Ghana Tourism Authority, as </w:t>
      </w:r>
      <w:r w:rsidRPr="00D96063">
        <w:rPr>
          <w:snapToGrid w:val="0"/>
        </w:rPr>
        <w:t>implementing agency of the Ministry, carries</w:t>
      </w:r>
      <w:r w:rsidRPr="00D96063">
        <w:t xml:space="preserve"> out regulatory and promotional activities. It is also in charge of the registration and classification of tourism enterprises, and follows guidelines issued by ECOWAS. Ghana has made commitments regarding hotels and restaurants (including catering) and travel agencies and tour operators under the GATS.</w:t>
      </w:r>
    </w:p>
    <w:p w14:paraId="007B7F0E" w14:textId="77777777" w:rsidR="00C15F2E" w:rsidRPr="00D96063" w:rsidRDefault="00C15F2E" w:rsidP="003758E5">
      <w:pPr>
        <w:numPr>
          <w:ilvl w:val="6"/>
          <w:numId w:val="18"/>
        </w:numPr>
        <w:spacing w:after="240"/>
      </w:pPr>
      <w:r w:rsidRPr="00D96063">
        <w:t>Hotels in Ghana cannot be</w:t>
      </w:r>
      <w:r w:rsidRPr="00D96063">
        <w:rPr>
          <w:snapToGrid w:val="0"/>
        </w:rPr>
        <w:t xml:space="preserve"> fully owned by foreigners. </w:t>
      </w:r>
      <w:r w:rsidRPr="00D96063">
        <w:t xml:space="preserve">The State owns majority and </w:t>
      </w:r>
      <w:r w:rsidRPr="00D96063">
        <w:rPr>
          <w:snapToGrid w:val="0"/>
        </w:rPr>
        <w:t>minority participation</w:t>
      </w:r>
      <w:r w:rsidRPr="00D96063">
        <w:t>s in several hotels</w:t>
      </w:r>
      <w:r w:rsidRPr="00D96063">
        <w:rPr>
          <w:snapToGrid w:val="0"/>
        </w:rPr>
        <w:t xml:space="preserve">. </w:t>
      </w:r>
      <w:r w:rsidRPr="00D96063">
        <w:t xml:space="preserve">In early 2022, Ghana's Social Security and National Insurance Trust was seeking capital injections by investors for its portfolio of six hotels located along the coast of Ghana (Labadi Beach Hotel, La Palm Royal Beach Resort, Elmina Beach Resort, Ridge Royal Hotel, Busua Beach Resort, and Trust Lodge Hotel). </w:t>
      </w:r>
      <w:r w:rsidRPr="00D96063">
        <w:rPr>
          <w:snapToGrid w:val="0"/>
        </w:rPr>
        <w:t xml:space="preserve">The corporate income tax applicable to companies principally engaged in the hotel industry stands at 20%; VAT is 12.5%, and a </w:t>
      </w:r>
      <w:r w:rsidRPr="00D96063">
        <w:t>1% Tourism Development Levy applies.</w:t>
      </w:r>
    </w:p>
    <w:p w14:paraId="1CC5EC91" w14:textId="6D1E1547" w:rsidR="00C15F2E" w:rsidRPr="00D96063" w:rsidRDefault="00C15F2E" w:rsidP="00D868BF">
      <w:pPr>
        <w:pStyle w:val="Caption"/>
      </w:pPr>
      <w:bookmarkStart w:id="277" w:name="_Toc103607916"/>
      <w:r w:rsidRPr="00D96063">
        <w:t xml:space="preserve">Table </w:t>
      </w:r>
      <w:fldSimple w:instr=" STYLEREF 1 \s ">
        <w:r w:rsidR="004B63B1">
          <w:rPr>
            <w:noProof/>
          </w:rPr>
          <w:t>4</w:t>
        </w:r>
      </w:fldSimple>
      <w:r w:rsidR="00BF3184">
        <w:t>.</w:t>
      </w:r>
      <w:fldSimple w:instr=" SEQ Table \* ARABIC \s 1 ">
        <w:r w:rsidR="004B63B1">
          <w:rPr>
            <w:noProof/>
          </w:rPr>
          <w:t>20</w:t>
        </w:r>
      </w:fldSimple>
      <w:r w:rsidRPr="00D96063">
        <w:t xml:space="preserve"> Tourism indicators, 2010-20</w:t>
      </w:r>
      <w:bookmarkEnd w:id="277"/>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2123"/>
        <w:gridCol w:w="861"/>
        <w:gridCol w:w="863"/>
        <w:gridCol w:w="861"/>
        <w:gridCol w:w="862"/>
        <w:gridCol w:w="862"/>
        <w:gridCol w:w="860"/>
        <w:gridCol w:w="862"/>
        <w:gridCol w:w="862"/>
      </w:tblGrid>
      <w:tr w:rsidR="00C15F2E" w:rsidRPr="00D96063" w14:paraId="65FDA201" w14:textId="77777777" w:rsidTr="00053B83">
        <w:trPr>
          <w:cantSplit/>
          <w:trHeight w:val="80"/>
        </w:trPr>
        <w:tc>
          <w:tcPr>
            <w:tcW w:w="1177" w:type="pct"/>
            <w:shd w:val="clear" w:color="auto" w:fill="006283"/>
            <w:noWrap/>
            <w:hideMark/>
          </w:tcPr>
          <w:p w14:paraId="70113E28" w14:textId="77777777" w:rsidR="00C15F2E" w:rsidRPr="00D96063" w:rsidRDefault="00C15F2E" w:rsidP="00053198">
            <w:pPr>
              <w:keepNext/>
              <w:jc w:val="center"/>
              <w:rPr>
                <w:b/>
                <w:color w:val="FFFFFF"/>
                <w:sz w:val="16"/>
                <w:szCs w:val="16"/>
              </w:rPr>
            </w:pPr>
          </w:p>
        </w:tc>
        <w:tc>
          <w:tcPr>
            <w:tcW w:w="477" w:type="pct"/>
            <w:shd w:val="clear" w:color="auto" w:fill="006283"/>
            <w:noWrap/>
            <w:hideMark/>
          </w:tcPr>
          <w:p w14:paraId="608A74CF" w14:textId="77777777" w:rsidR="00C15F2E" w:rsidRPr="00D96063" w:rsidRDefault="00C15F2E" w:rsidP="00053B83">
            <w:pPr>
              <w:keepNext/>
              <w:jc w:val="right"/>
              <w:rPr>
                <w:b/>
                <w:color w:val="FFFFFF"/>
                <w:sz w:val="16"/>
                <w:szCs w:val="16"/>
              </w:rPr>
            </w:pPr>
            <w:r w:rsidRPr="00D96063">
              <w:rPr>
                <w:b/>
                <w:color w:val="FFFFFF"/>
                <w:sz w:val="16"/>
                <w:szCs w:val="16"/>
              </w:rPr>
              <w:t>2010</w:t>
            </w:r>
          </w:p>
        </w:tc>
        <w:tc>
          <w:tcPr>
            <w:tcW w:w="478" w:type="pct"/>
            <w:shd w:val="clear" w:color="auto" w:fill="006283"/>
            <w:noWrap/>
            <w:hideMark/>
          </w:tcPr>
          <w:p w14:paraId="3AB01D90" w14:textId="77777777" w:rsidR="00C15F2E" w:rsidRPr="00D96063" w:rsidRDefault="00C15F2E" w:rsidP="00053B83">
            <w:pPr>
              <w:keepNext/>
              <w:jc w:val="right"/>
              <w:rPr>
                <w:b/>
                <w:color w:val="FFFFFF"/>
                <w:sz w:val="16"/>
                <w:szCs w:val="16"/>
              </w:rPr>
            </w:pPr>
            <w:r w:rsidRPr="00D96063">
              <w:rPr>
                <w:b/>
                <w:color w:val="FFFFFF"/>
                <w:sz w:val="16"/>
                <w:szCs w:val="16"/>
              </w:rPr>
              <w:t>2011</w:t>
            </w:r>
          </w:p>
        </w:tc>
        <w:tc>
          <w:tcPr>
            <w:tcW w:w="477" w:type="pct"/>
            <w:shd w:val="clear" w:color="auto" w:fill="006283"/>
          </w:tcPr>
          <w:p w14:paraId="116AFA87" w14:textId="77777777" w:rsidR="00C15F2E" w:rsidRPr="00D96063" w:rsidRDefault="00C15F2E" w:rsidP="00053B83">
            <w:pPr>
              <w:keepNext/>
              <w:jc w:val="right"/>
              <w:rPr>
                <w:b/>
                <w:color w:val="FFFFFF"/>
                <w:sz w:val="16"/>
                <w:szCs w:val="16"/>
              </w:rPr>
            </w:pPr>
            <w:r w:rsidRPr="00D96063">
              <w:rPr>
                <w:b/>
                <w:color w:val="FFFFFF"/>
                <w:sz w:val="16"/>
                <w:szCs w:val="16"/>
              </w:rPr>
              <w:t>2012</w:t>
            </w:r>
          </w:p>
        </w:tc>
        <w:tc>
          <w:tcPr>
            <w:tcW w:w="478" w:type="pct"/>
            <w:shd w:val="clear" w:color="auto" w:fill="006283"/>
            <w:noWrap/>
          </w:tcPr>
          <w:p w14:paraId="5019BF05" w14:textId="77777777" w:rsidR="00C15F2E" w:rsidRPr="00D96063" w:rsidRDefault="00C15F2E" w:rsidP="00053B83">
            <w:pPr>
              <w:keepNext/>
              <w:jc w:val="right"/>
              <w:rPr>
                <w:b/>
                <w:color w:val="FFFFFF"/>
                <w:sz w:val="16"/>
                <w:szCs w:val="16"/>
              </w:rPr>
            </w:pPr>
            <w:r w:rsidRPr="00D96063">
              <w:rPr>
                <w:b/>
                <w:color w:val="FFFFFF"/>
                <w:sz w:val="16"/>
                <w:szCs w:val="16"/>
              </w:rPr>
              <w:t>2013</w:t>
            </w:r>
          </w:p>
        </w:tc>
        <w:tc>
          <w:tcPr>
            <w:tcW w:w="478" w:type="pct"/>
            <w:shd w:val="clear" w:color="auto" w:fill="006283"/>
          </w:tcPr>
          <w:p w14:paraId="06C20294" w14:textId="77777777" w:rsidR="00C15F2E" w:rsidRPr="00D96063" w:rsidRDefault="00C15F2E" w:rsidP="00053B83">
            <w:pPr>
              <w:keepNext/>
              <w:jc w:val="right"/>
              <w:rPr>
                <w:b/>
                <w:color w:val="FFFFFF"/>
                <w:sz w:val="16"/>
                <w:szCs w:val="16"/>
              </w:rPr>
            </w:pPr>
            <w:r w:rsidRPr="00D96063">
              <w:rPr>
                <w:b/>
                <w:color w:val="FFFFFF"/>
                <w:sz w:val="16"/>
                <w:szCs w:val="16"/>
              </w:rPr>
              <w:t>2015</w:t>
            </w:r>
          </w:p>
        </w:tc>
        <w:tc>
          <w:tcPr>
            <w:tcW w:w="477" w:type="pct"/>
            <w:shd w:val="clear" w:color="auto" w:fill="006283"/>
          </w:tcPr>
          <w:p w14:paraId="5BE9A07C" w14:textId="77777777" w:rsidR="00C15F2E" w:rsidRPr="00D96063" w:rsidRDefault="00C15F2E" w:rsidP="00053B83">
            <w:pPr>
              <w:keepNext/>
              <w:jc w:val="right"/>
              <w:rPr>
                <w:b/>
                <w:color w:val="FFFFFF"/>
                <w:sz w:val="16"/>
                <w:szCs w:val="16"/>
              </w:rPr>
            </w:pPr>
            <w:r w:rsidRPr="00D96063">
              <w:rPr>
                <w:b/>
                <w:color w:val="FFFFFF"/>
                <w:sz w:val="16"/>
                <w:szCs w:val="16"/>
              </w:rPr>
              <w:t>2018</w:t>
            </w:r>
          </w:p>
        </w:tc>
        <w:tc>
          <w:tcPr>
            <w:tcW w:w="478" w:type="pct"/>
            <w:shd w:val="clear" w:color="auto" w:fill="006283"/>
          </w:tcPr>
          <w:p w14:paraId="2CBEA225" w14:textId="77777777" w:rsidR="00C15F2E" w:rsidRPr="00D96063" w:rsidRDefault="00C15F2E" w:rsidP="00053B83">
            <w:pPr>
              <w:keepNext/>
              <w:jc w:val="right"/>
              <w:rPr>
                <w:b/>
                <w:color w:val="FFFFFF"/>
                <w:sz w:val="16"/>
                <w:szCs w:val="16"/>
              </w:rPr>
            </w:pPr>
            <w:r w:rsidRPr="00D96063">
              <w:rPr>
                <w:b/>
                <w:color w:val="FFFFFF"/>
                <w:sz w:val="16"/>
                <w:szCs w:val="16"/>
              </w:rPr>
              <w:t>2019</w:t>
            </w:r>
          </w:p>
        </w:tc>
        <w:tc>
          <w:tcPr>
            <w:tcW w:w="478" w:type="pct"/>
            <w:shd w:val="clear" w:color="auto" w:fill="006283"/>
          </w:tcPr>
          <w:p w14:paraId="285F2AE7" w14:textId="77777777" w:rsidR="00C15F2E" w:rsidRPr="00D96063" w:rsidRDefault="00C15F2E" w:rsidP="00053B83">
            <w:pPr>
              <w:keepNext/>
              <w:jc w:val="right"/>
              <w:rPr>
                <w:b/>
                <w:color w:val="FFFFFF"/>
                <w:sz w:val="16"/>
                <w:szCs w:val="16"/>
              </w:rPr>
            </w:pPr>
            <w:r w:rsidRPr="00D96063">
              <w:rPr>
                <w:b/>
                <w:color w:val="FFFFFF"/>
                <w:sz w:val="16"/>
                <w:szCs w:val="16"/>
              </w:rPr>
              <w:t>2020</w:t>
            </w:r>
          </w:p>
        </w:tc>
      </w:tr>
      <w:tr w:rsidR="00C15F2E" w:rsidRPr="00D96063" w14:paraId="65E8D459" w14:textId="77777777" w:rsidTr="00053B83">
        <w:trPr>
          <w:cantSplit/>
        </w:trPr>
        <w:tc>
          <w:tcPr>
            <w:tcW w:w="1177" w:type="pct"/>
            <w:shd w:val="clear" w:color="auto" w:fill="auto"/>
            <w:noWrap/>
            <w:hideMark/>
          </w:tcPr>
          <w:p w14:paraId="4E3CE225" w14:textId="77777777" w:rsidR="00C15F2E" w:rsidRPr="00D96063" w:rsidRDefault="00C15F2E" w:rsidP="00053198">
            <w:pPr>
              <w:keepNext/>
              <w:jc w:val="left"/>
              <w:rPr>
                <w:sz w:val="16"/>
                <w:szCs w:val="16"/>
              </w:rPr>
            </w:pPr>
            <w:r w:rsidRPr="00D96063">
              <w:rPr>
                <w:sz w:val="16"/>
                <w:szCs w:val="16"/>
              </w:rPr>
              <w:t xml:space="preserve">Arrivals ('000) </w:t>
            </w:r>
          </w:p>
        </w:tc>
        <w:tc>
          <w:tcPr>
            <w:tcW w:w="477" w:type="pct"/>
            <w:shd w:val="clear" w:color="auto" w:fill="auto"/>
            <w:noWrap/>
            <w:hideMark/>
          </w:tcPr>
          <w:p w14:paraId="10BC80DB" w14:textId="77777777" w:rsidR="00C15F2E" w:rsidRPr="00D96063" w:rsidRDefault="00C15F2E" w:rsidP="00053198">
            <w:pPr>
              <w:keepNext/>
              <w:jc w:val="right"/>
              <w:rPr>
                <w:sz w:val="16"/>
                <w:szCs w:val="16"/>
              </w:rPr>
            </w:pPr>
            <w:r w:rsidRPr="00D96063">
              <w:rPr>
                <w:sz w:val="16"/>
                <w:szCs w:val="16"/>
              </w:rPr>
              <w:t>746</w:t>
            </w:r>
          </w:p>
        </w:tc>
        <w:tc>
          <w:tcPr>
            <w:tcW w:w="478" w:type="pct"/>
            <w:shd w:val="clear" w:color="auto" w:fill="auto"/>
            <w:noWrap/>
            <w:hideMark/>
          </w:tcPr>
          <w:p w14:paraId="2AA81C1D" w14:textId="77777777" w:rsidR="00C15F2E" w:rsidRPr="00D96063" w:rsidRDefault="00C15F2E" w:rsidP="00053198">
            <w:pPr>
              <w:keepNext/>
              <w:jc w:val="right"/>
              <w:rPr>
                <w:sz w:val="16"/>
                <w:szCs w:val="16"/>
              </w:rPr>
            </w:pPr>
            <w:r w:rsidRPr="00D96063">
              <w:rPr>
                <w:sz w:val="16"/>
                <w:szCs w:val="16"/>
              </w:rPr>
              <w:t>828</w:t>
            </w:r>
          </w:p>
        </w:tc>
        <w:tc>
          <w:tcPr>
            <w:tcW w:w="477" w:type="pct"/>
          </w:tcPr>
          <w:p w14:paraId="0E4B541D" w14:textId="77777777" w:rsidR="00C15F2E" w:rsidRPr="00D96063" w:rsidRDefault="00C15F2E" w:rsidP="00053198">
            <w:pPr>
              <w:keepNext/>
              <w:jc w:val="right"/>
              <w:rPr>
                <w:sz w:val="16"/>
                <w:szCs w:val="16"/>
              </w:rPr>
            </w:pPr>
            <w:r w:rsidRPr="00D96063">
              <w:rPr>
                <w:sz w:val="16"/>
                <w:szCs w:val="16"/>
              </w:rPr>
              <w:t>903</w:t>
            </w:r>
          </w:p>
        </w:tc>
        <w:tc>
          <w:tcPr>
            <w:tcW w:w="478" w:type="pct"/>
            <w:shd w:val="clear" w:color="auto" w:fill="auto"/>
            <w:noWrap/>
          </w:tcPr>
          <w:p w14:paraId="7AE68C43" w14:textId="77777777" w:rsidR="00C15F2E" w:rsidRPr="00D96063" w:rsidRDefault="00C15F2E" w:rsidP="00053198">
            <w:pPr>
              <w:keepNext/>
              <w:jc w:val="right"/>
              <w:rPr>
                <w:sz w:val="16"/>
                <w:szCs w:val="16"/>
              </w:rPr>
            </w:pPr>
            <w:r w:rsidRPr="00D96063">
              <w:rPr>
                <w:sz w:val="16"/>
                <w:szCs w:val="16"/>
              </w:rPr>
              <w:t>994</w:t>
            </w:r>
          </w:p>
        </w:tc>
        <w:tc>
          <w:tcPr>
            <w:tcW w:w="478" w:type="pct"/>
          </w:tcPr>
          <w:p w14:paraId="799FDB3A" w14:textId="77777777" w:rsidR="00C15F2E" w:rsidRPr="00D96063" w:rsidRDefault="00C15F2E" w:rsidP="00053198">
            <w:pPr>
              <w:keepNext/>
              <w:jc w:val="right"/>
              <w:rPr>
                <w:sz w:val="16"/>
                <w:szCs w:val="16"/>
              </w:rPr>
            </w:pPr>
            <w:r w:rsidRPr="00D96063">
              <w:rPr>
                <w:sz w:val="16"/>
                <w:szCs w:val="16"/>
              </w:rPr>
              <w:t>897</w:t>
            </w:r>
          </w:p>
        </w:tc>
        <w:tc>
          <w:tcPr>
            <w:tcW w:w="477" w:type="pct"/>
          </w:tcPr>
          <w:p w14:paraId="04AA27B3" w14:textId="77777777" w:rsidR="00C15F2E" w:rsidRPr="00D96063" w:rsidRDefault="00C15F2E" w:rsidP="00053198">
            <w:pPr>
              <w:keepNext/>
              <w:jc w:val="right"/>
              <w:rPr>
                <w:sz w:val="16"/>
                <w:szCs w:val="16"/>
              </w:rPr>
            </w:pPr>
            <w:r w:rsidRPr="00D96063">
              <w:rPr>
                <w:sz w:val="16"/>
                <w:szCs w:val="16"/>
              </w:rPr>
              <w:t>..</w:t>
            </w:r>
          </w:p>
        </w:tc>
        <w:tc>
          <w:tcPr>
            <w:tcW w:w="478" w:type="pct"/>
          </w:tcPr>
          <w:p w14:paraId="0EC1B999" w14:textId="77777777" w:rsidR="00C15F2E" w:rsidRPr="00D96063" w:rsidRDefault="00C15F2E" w:rsidP="00053198">
            <w:pPr>
              <w:keepNext/>
              <w:jc w:val="right"/>
              <w:rPr>
                <w:sz w:val="16"/>
                <w:szCs w:val="16"/>
              </w:rPr>
            </w:pPr>
            <w:r w:rsidRPr="00D96063">
              <w:rPr>
                <w:sz w:val="16"/>
                <w:szCs w:val="16"/>
              </w:rPr>
              <w:t>..</w:t>
            </w:r>
          </w:p>
        </w:tc>
        <w:tc>
          <w:tcPr>
            <w:tcW w:w="478" w:type="pct"/>
          </w:tcPr>
          <w:p w14:paraId="38F9E592" w14:textId="77777777" w:rsidR="00C15F2E" w:rsidRPr="00D96063" w:rsidRDefault="00C15F2E" w:rsidP="00053198">
            <w:pPr>
              <w:keepNext/>
              <w:jc w:val="right"/>
              <w:rPr>
                <w:sz w:val="16"/>
                <w:szCs w:val="16"/>
              </w:rPr>
            </w:pPr>
            <w:r w:rsidRPr="00D96063">
              <w:rPr>
                <w:sz w:val="16"/>
                <w:szCs w:val="16"/>
              </w:rPr>
              <w:t>..</w:t>
            </w:r>
          </w:p>
        </w:tc>
      </w:tr>
      <w:tr w:rsidR="00C15F2E" w:rsidRPr="00D96063" w14:paraId="141AA03E" w14:textId="77777777" w:rsidTr="00053B83">
        <w:trPr>
          <w:cantSplit/>
        </w:trPr>
        <w:tc>
          <w:tcPr>
            <w:tcW w:w="1177" w:type="pct"/>
            <w:shd w:val="clear" w:color="auto" w:fill="C9DED4"/>
            <w:noWrap/>
            <w:hideMark/>
          </w:tcPr>
          <w:p w14:paraId="30275105" w14:textId="77777777" w:rsidR="00C15F2E" w:rsidRPr="00D96063" w:rsidRDefault="00C15F2E" w:rsidP="00053198">
            <w:pPr>
              <w:keepNext/>
              <w:jc w:val="left"/>
              <w:rPr>
                <w:sz w:val="16"/>
                <w:szCs w:val="16"/>
              </w:rPr>
            </w:pPr>
            <w:r w:rsidRPr="00D96063">
              <w:rPr>
                <w:sz w:val="16"/>
                <w:szCs w:val="16"/>
              </w:rPr>
              <w:t>Tourism receipts (USD million)</w:t>
            </w:r>
          </w:p>
        </w:tc>
        <w:tc>
          <w:tcPr>
            <w:tcW w:w="477" w:type="pct"/>
            <w:shd w:val="clear" w:color="auto" w:fill="C9DED4"/>
            <w:noWrap/>
            <w:hideMark/>
          </w:tcPr>
          <w:p w14:paraId="6F5BFBDD" w14:textId="77777777" w:rsidR="00C15F2E" w:rsidRPr="00D96063" w:rsidRDefault="00C15F2E" w:rsidP="00053198">
            <w:pPr>
              <w:keepNext/>
              <w:jc w:val="right"/>
              <w:rPr>
                <w:sz w:val="16"/>
                <w:szCs w:val="16"/>
              </w:rPr>
            </w:pPr>
            <w:r w:rsidRPr="00D96063">
              <w:rPr>
                <w:sz w:val="16"/>
                <w:szCs w:val="16"/>
              </w:rPr>
              <w:t>1,406</w:t>
            </w:r>
          </w:p>
        </w:tc>
        <w:tc>
          <w:tcPr>
            <w:tcW w:w="478" w:type="pct"/>
            <w:shd w:val="clear" w:color="auto" w:fill="C9DED4"/>
            <w:noWrap/>
            <w:hideMark/>
          </w:tcPr>
          <w:p w14:paraId="36DA3F54" w14:textId="77777777" w:rsidR="00C15F2E" w:rsidRPr="00D96063" w:rsidRDefault="00C15F2E" w:rsidP="00053198">
            <w:pPr>
              <w:keepNext/>
              <w:jc w:val="right"/>
              <w:rPr>
                <w:sz w:val="16"/>
                <w:szCs w:val="16"/>
              </w:rPr>
            </w:pPr>
            <w:r w:rsidRPr="00D96063">
              <w:rPr>
                <w:sz w:val="16"/>
                <w:szCs w:val="16"/>
              </w:rPr>
              <w:t>1,634</w:t>
            </w:r>
          </w:p>
        </w:tc>
        <w:tc>
          <w:tcPr>
            <w:tcW w:w="477" w:type="pct"/>
            <w:shd w:val="clear" w:color="auto" w:fill="C9DED4"/>
          </w:tcPr>
          <w:p w14:paraId="6DBC3EAC" w14:textId="77777777" w:rsidR="00C15F2E" w:rsidRPr="00D96063" w:rsidRDefault="00C15F2E" w:rsidP="00053198">
            <w:pPr>
              <w:keepNext/>
              <w:jc w:val="right"/>
              <w:rPr>
                <w:sz w:val="16"/>
                <w:szCs w:val="16"/>
              </w:rPr>
            </w:pPr>
            <w:r w:rsidRPr="00D96063">
              <w:rPr>
                <w:sz w:val="16"/>
                <w:szCs w:val="16"/>
              </w:rPr>
              <w:t>1,705</w:t>
            </w:r>
          </w:p>
        </w:tc>
        <w:tc>
          <w:tcPr>
            <w:tcW w:w="478" w:type="pct"/>
            <w:shd w:val="clear" w:color="auto" w:fill="C9DED4"/>
            <w:noWrap/>
          </w:tcPr>
          <w:p w14:paraId="69BD3F6C" w14:textId="77777777" w:rsidR="00C15F2E" w:rsidRPr="00D96063" w:rsidRDefault="00C15F2E" w:rsidP="00053198">
            <w:pPr>
              <w:keepNext/>
              <w:jc w:val="right"/>
              <w:rPr>
                <w:sz w:val="16"/>
                <w:szCs w:val="16"/>
              </w:rPr>
            </w:pPr>
            <w:r w:rsidRPr="00D96063">
              <w:rPr>
                <w:sz w:val="16"/>
                <w:szCs w:val="16"/>
              </w:rPr>
              <w:t>1,877</w:t>
            </w:r>
          </w:p>
        </w:tc>
        <w:tc>
          <w:tcPr>
            <w:tcW w:w="478" w:type="pct"/>
            <w:shd w:val="clear" w:color="auto" w:fill="C9DED4"/>
          </w:tcPr>
          <w:p w14:paraId="1C3704A7" w14:textId="77777777" w:rsidR="00C15F2E" w:rsidRPr="00D96063" w:rsidRDefault="00C15F2E" w:rsidP="00053198">
            <w:pPr>
              <w:keepNext/>
              <w:jc w:val="right"/>
              <w:rPr>
                <w:sz w:val="16"/>
                <w:szCs w:val="16"/>
              </w:rPr>
            </w:pPr>
            <w:r w:rsidRPr="00D96063">
              <w:rPr>
                <w:sz w:val="16"/>
                <w:szCs w:val="16"/>
              </w:rPr>
              <w:t>911</w:t>
            </w:r>
          </w:p>
        </w:tc>
        <w:tc>
          <w:tcPr>
            <w:tcW w:w="477" w:type="pct"/>
            <w:shd w:val="clear" w:color="auto" w:fill="C9DED4"/>
          </w:tcPr>
          <w:p w14:paraId="05BA3C29" w14:textId="77777777" w:rsidR="00C15F2E" w:rsidRPr="00D96063" w:rsidRDefault="00C15F2E" w:rsidP="00053198">
            <w:pPr>
              <w:keepNext/>
              <w:jc w:val="right"/>
              <w:rPr>
                <w:sz w:val="16"/>
                <w:szCs w:val="16"/>
              </w:rPr>
            </w:pPr>
            <w:r w:rsidRPr="00D96063">
              <w:rPr>
                <w:sz w:val="16"/>
                <w:szCs w:val="16"/>
              </w:rPr>
              <w:t>996</w:t>
            </w:r>
          </w:p>
        </w:tc>
        <w:tc>
          <w:tcPr>
            <w:tcW w:w="478" w:type="pct"/>
            <w:shd w:val="clear" w:color="auto" w:fill="C9DED4"/>
          </w:tcPr>
          <w:p w14:paraId="54A29AEE" w14:textId="77777777" w:rsidR="00C15F2E" w:rsidRPr="00D96063" w:rsidRDefault="00C15F2E" w:rsidP="00053198">
            <w:pPr>
              <w:keepNext/>
              <w:jc w:val="right"/>
              <w:rPr>
                <w:sz w:val="16"/>
                <w:szCs w:val="16"/>
              </w:rPr>
            </w:pPr>
            <w:r w:rsidRPr="00D96063">
              <w:rPr>
                <w:sz w:val="16"/>
                <w:szCs w:val="16"/>
              </w:rPr>
              <w:t>1,490</w:t>
            </w:r>
          </w:p>
        </w:tc>
        <w:tc>
          <w:tcPr>
            <w:tcW w:w="478" w:type="pct"/>
            <w:shd w:val="clear" w:color="auto" w:fill="C9DED4"/>
          </w:tcPr>
          <w:p w14:paraId="7D1E727A" w14:textId="77777777" w:rsidR="00C15F2E" w:rsidRPr="00D96063" w:rsidRDefault="00C15F2E" w:rsidP="00053198">
            <w:pPr>
              <w:keepNext/>
              <w:jc w:val="right"/>
              <w:rPr>
                <w:sz w:val="16"/>
                <w:szCs w:val="16"/>
              </w:rPr>
            </w:pPr>
            <w:r w:rsidRPr="00D96063">
              <w:rPr>
                <w:sz w:val="16"/>
                <w:szCs w:val="16"/>
              </w:rPr>
              <w:t>191</w:t>
            </w:r>
          </w:p>
        </w:tc>
      </w:tr>
      <w:tr w:rsidR="00C15F2E" w:rsidRPr="00D96063" w14:paraId="0A1F4D42" w14:textId="77777777" w:rsidTr="00053B83">
        <w:trPr>
          <w:cantSplit/>
        </w:trPr>
        <w:tc>
          <w:tcPr>
            <w:tcW w:w="1177" w:type="pct"/>
            <w:shd w:val="clear" w:color="auto" w:fill="auto"/>
            <w:noWrap/>
            <w:hideMark/>
          </w:tcPr>
          <w:p w14:paraId="5C822FFB" w14:textId="77777777" w:rsidR="00C15F2E" w:rsidRPr="00D96063" w:rsidRDefault="00C15F2E" w:rsidP="00053198">
            <w:pPr>
              <w:keepNext/>
              <w:jc w:val="left"/>
              <w:rPr>
                <w:sz w:val="16"/>
                <w:szCs w:val="16"/>
              </w:rPr>
            </w:pPr>
            <w:r w:rsidRPr="00D96063">
              <w:rPr>
                <w:sz w:val="16"/>
                <w:szCs w:val="16"/>
              </w:rPr>
              <w:t>Number of hotels</w:t>
            </w:r>
          </w:p>
        </w:tc>
        <w:tc>
          <w:tcPr>
            <w:tcW w:w="477" w:type="pct"/>
            <w:shd w:val="clear" w:color="auto" w:fill="auto"/>
            <w:noWrap/>
            <w:hideMark/>
          </w:tcPr>
          <w:p w14:paraId="097798A3" w14:textId="77777777" w:rsidR="00C15F2E" w:rsidRPr="00D96063" w:rsidRDefault="00C15F2E" w:rsidP="00053198">
            <w:pPr>
              <w:keepNext/>
              <w:jc w:val="right"/>
              <w:rPr>
                <w:sz w:val="16"/>
                <w:szCs w:val="16"/>
              </w:rPr>
            </w:pPr>
            <w:r w:rsidRPr="00D96063">
              <w:rPr>
                <w:sz w:val="16"/>
                <w:szCs w:val="16"/>
              </w:rPr>
              <w:t>1,797</w:t>
            </w:r>
          </w:p>
        </w:tc>
        <w:tc>
          <w:tcPr>
            <w:tcW w:w="478" w:type="pct"/>
            <w:shd w:val="clear" w:color="auto" w:fill="auto"/>
            <w:noWrap/>
          </w:tcPr>
          <w:p w14:paraId="4C2760A2" w14:textId="77777777" w:rsidR="00C15F2E" w:rsidRPr="00D96063" w:rsidRDefault="00C15F2E" w:rsidP="00053198">
            <w:pPr>
              <w:keepNext/>
              <w:jc w:val="right"/>
              <w:rPr>
                <w:sz w:val="16"/>
                <w:szCs w:val="16"/>
              </w:rPr>
            </w:pPr>
            <w:r w:rsidRPr="00D96063">
              <w:rPr>
                <w:sz w:val="16"/>
                <w:szCs w:val="16"/>
              </w:rPr>
              <w:t>2,136</w:t>
            </w:r>
          </w:p>
        </w:tc>
        <w:tc>
          <w:tcPr>
            <w:tcW w:w="477" w:type="pct"/>
          </w:tcPr>
          <w:p w14:paraId="1DB30244" w14:textId="77777777" w:rsidR="00C15F2E" w:rsidRPr="00D96063" w:rsidRDefault="00C15F2E" w:rsidP="00053198">
            <w:pPr>
              <w:keepNext/>
              <w:jc w:val="right"/>
              <w:rPr>
                <w:sz w:val="16"/>
                <w:szCs w:val="16"/>
              </w:rPr>
            </w:pPr>
            <w:r w:rsidRPr="00D96063">
              <w:rPr>
                <w:sz w:val="16"/>
                <w:szCs w:val="16"/>
              </w:rPr>
              <w:t>1,833</w:t>
            </w:r>
          </w:p>
        </w:tc>
        <w:tc>
          <w:tcPr>
            <w:tcW w:w="478" w:type="pct"/>
            <w:shd w:val="clear" w:color="auto" w:fill="auto"/>
            <w:noWrap/>
          </w:tcPr>
          <w:p w14:paraId="776AB541" w14:textId="77777777" w:rsidR="00C15F2E" w:rsidRPr="00D96063" w:rsidRDefault="00C15F2E" w:rsidP="00053198">
            <w:pPr>
              <w:keepNext/>
              <w:jc w:val="right"/>
              <w:rPr>
                <w:sz w:val="16"/>
                <w:szCs w:val="16"/>
              </w:rPr>
            </w:pPr>
            <w:r w:rsidRPr="00D96063">
              <w:rPr>
                <w:sz w:val="16"/>
                <w:szCs w:val="16"/>
              </w:rPr>
              <w:t>2,228</w:t>
            </w:r>
          </w:p>
        </w:tc>
        <w:tc>
          <w:tcPr>
            <w:tcW w:w="478" w:type="pct"/>
          </w:tcPr>
          <w:p w14:paraId="53B8748D" w14:textId="77777777" w:rsidR="00C15F2E" w:rsidRPr="00D96063" w:rsidRDefault="00C15F2E" w:rsidP="00053198">
            <w:pPr>
              <w:keepNext/>
              <w:jc w:val="right"/>
              <w:rPr>
                <w:sz w:val="16"/>
                <w:szCs w:val="16"/>
              </w:rPr>
            </w:pPr>
            <w:r w:rsidRPr="00D96063">
              <w:rPr>
                <w:sz w:val="16"/>
                <w:szCs w:val="16"/>
              </w:rPr>
              <w:t>2,724</w:t>
            </w:r>
          </w:p>
        </w:tc>
        <w:tc>
          <w:tcPr>
            <w:tcW w:w="477" w:type="pct"/>
          </w:tcPr>
          <w:p w14:paraId="665C1B77" w14:textId="77777777" w:rsidR="00C15F2E" w:rsidRPr="00D96063" w:rsidRDefault="00C15F2E" w:rsidP="00053198">
            <w:pPr>
              <w:keepNext/>
              <w:jc w:val="right"/>
              <w:rPr>
                <w:sz w:val="16"/>
                <w:szCs w:val="16"/>
              </w:rPr>
            </w:pPr>
            <w:r w:rsidRPr="00D96063">
              <w:rPr>
                <w:sz w:val="16"/>
                <w:szCs w:val="16"/>
              </w:rPr>
              <w:t>3,246</w:t>
            </w:r>
          </w:p>
        </w:tc>
        <w:tc>
          <w:tcPr>
            <w:tcW w:w="478" w:type="pct"/>
          </w:tcPr>
          <w:p w14:paraId="769680B0" w14:textId="77777777" w:rsidR="00C15F2E" w:rsidRPr="00D96063" w:rsidRDefault="00C15F2E" w:rsidP="00053198">
            <w:pPr>
              <w:keepNext/>
              <w:jc w:val="right"/>
              <w:rPr>
                <w:sz w:val="16"/>
                <w:szCs w:val="16"/>
              </w:rPr>
            </w:pPr>
            <w:r w:rsidRPr="00D96063">
              <w:rPr>
                <w:sz w:val="16"/>
                <w:szCs w:val="16"/>
              </w:rPr>
              <w:t>4,131</w:t>
            </w:r>
          </w:p>
        </w:tc>
        <w:tc>
          <w:tcPr>
            <w:tcW w:w="478" w:type="pct"/>
          </w:tcPr>
          <w:p w14:paraId="06D3E5B0" w14:textId="77777777" w:rsidR="00C15F2E" w:rsidRPr="00D96063" w:rsidRDefault="00C15F2E" w:rsidP="00053198">
            <w:pPr>
              <w:keepNext/>
              <w:jc w:val="right"/>
              <w:rPr>
                <w:sz w:val="16"/>
                <w:szCs w:val="16"/>
              </w:rPr>
            </w:pPr>
            <w:r w:rsidRPr="00D96063">
              <w:rPr>
                <w:sz w:val="16"/>
                <w:szCs w:val="16"/>
              </w:rPr>
              <w:t>3,538</w:t>
            </w:r>
          </w:p>
        </w:tc>
      </w:tr>
      <w:tr w:rsidR="00C15F2E" w:rsidRPr="00D96063" w14:paraId="7311ABF5" w14:textId="77777777" w:rsidTr="00053B83">
        <w:trPr>
          <w:cantSplit/>
        </w:trPr>
        <w:tc>
          <w:tcPr>
            <w:tcW w:w="1177" w:type="pct"/>
            <w:shd w:val="clear" w:color="auto" w:fill="C9DED4"/>
            <w:noWrap/>
            <w:hideMark/>
          </w:tcPr>
          <w:p w14:paraId="6DE398EB" w14:textId="77777777" w:rsidR="00C15F2E" w:rsidRPr="00D96063" w:rsidRDefault="00C15F2E" w:rsidP="00053198">
            <w:pPr>
              <w:keepNext/>
              <w:jc w:val="left"/>
              <w:rPr>
                <w:sz w:val="16"/>
                <w:szCs w:val="16"/>
              </w:rPr>
            </w:pPr>
            <w:r w:rsidRPr="00D96063">
              <w:rPr>
                <w:sz w:val="16"/>
                <w:szCs w:val="16"/>
              </w:rPr>
              <w:t>Rooms</w:t>
            </w:r>
          </w:p>
        </w:tc>
        <w:tc>
          <w:tcPr>
            <w:tcW w:w="477" w:type="pct"/>
            <w:shd w:val="clear" w:color="auto" w:fill="C9DED4"/>
            <w:noWrap/>
            <w:hideMark/>
          </w:tcPr>
          <w:p w14:paraId="4F6E5533" w14:textId="77777777" w:rsidR="00C15F2E" w:rsidRPr="00D96063" w:rsidRDefault="00C15F2E" w:rsidP="00053198">
            <w:pPr>
              <w:keepNext/>
              <w:jc w:val="right"/>
              <w:rPr>
                <w:sz w:val="16"/>
                <w:szCs w:val="16"/>
              </w:rPr>
            </w:pPr>
            <w:r w:rsidRPr="00D96063">
              <w:rPr>
                <w:sz w:val="16"/>
                <w:szCs w:val="16"/>
              </w:rPr>
              <w:t>28,058</w:t>
            </w:r>
          </w:p>
        </w:tc>
        <w:tc>
          <w:tcPr>
            <w:tcW w:w="478" w:type="pct"/>
            <w:shd w:val="clear" w:color="auto" w:fill="C9DED4"/>
            <w:noWrap/>
          </w:tcPr>
          <w:p w14:paraId="56C759AC" w14:textId="77777777" w:rsidR="00C15F2E" w:rsidRPr="00D96063" w:rsidRDefault="00C15F2E" w:rsidP="00053198">
            <w:pPr>
              <w:keepNext/>
              <w:jc w:val="right"/>
              <w:rPr>
                <w:sz w:val="16"/>
                <w:szCs w:val="16"/>
              </w:rPr>
            </w:pPr>
            <w:r w:rsidRPr="00D96063">
              <w:rPr>
                <w:sz w:val="16"/>
                <w:szCs w:val="16"/>
              </w:rPr>
              <w:t>34,423</w:t>
            </w:r>
          </w:p>
        </w:tc>
        <w:tc>
          <w:tcPr>
            <w:tcW w:w="477" w:type="pct"/>
            <w:shd w:val="clear" w:color="auto" w:fill="C9DED4"/>
          </w:tcPr>
          <w:p w14:paraId="38C7F4A6" w14:textId="77777777" w:rsidR="00C15F2E" w:rsidRPr="00D96063" w:rsidRDefault="00C15F2E" w:rsidP="00053198">
            <w:pPr>
              <w:keepNext/>
              <w:jc w:val="right"/>
              <w:rPr>
                <w:sz w:val="16"/>
                <w:szCs w:val="16"/>
              </w:rPr>
            </w:pPr>
            <w:r w:rsidRPr="00D96063">
              <w:rPr>
                <w:sz w:val="16"/>
                <w:szCs w:val="16"/>
              </w:rPr>
              <w:t>29,412</w:t>
            </w:r>
          </w:p>
        </w:tc>
        <w:tc>
          <w:tcPr>
            <w:tcW w:w="478" w:type="pct"/>
            <w:shd w:val="clear" w:color="auto" w:fill="C9DED4"/>
            <w:noWrap/>
          </w:tcPr>
          <w:p w14:paraId="6A0163FC" w14:textId="77777777" w:rsidR="00C15F2E" w:rsidRPr="00D96063" w:rsidRDefault="00C15F2E" w:rsidP="00053198">
            <w:pPr>
              <w:keepNext/>
              <w:jc w:val="right"/>
              <w:rPr>
                <w:sz w:val="16"/>
                <w:szCs w:val="16"/>
              </w:rPr>
            </w:pPr>
            <w:r w:rsidRPr="00D96063">
              <w:rPr>
                <w:sz w:val="16"/>
                <w:szCs w:val="16"/>
              </w:rPr>
              <w:t>36,749</w:t>
            </w:r>
          </w:p>
        </w:tc>
        <w:tc>
          <w:tcPr>
            <w:tcW w:w="478" w:type="pct"/>
            <w:shd w:val="clear" w:color="auto" w:fill="C9DED4"/>
          </w:tcPr>
          <w:p w14:paraId="5265B906" w14:textId="77777777" w:rsidR="00C15F2E" w:rsidRPr="00D96063" w:rsidRDefault="00C15F2E" w:rsidP="00053198">
            <w:pPr>
              <w:keepNext/>
              <w:jc w:val="right"/>
              <w:rPr>
                <w:sz w:val="16"/>
                <w:szCs w:val="16"/>
              </w:rPr>
            </w:pPr>
            <w:r w:rsidRPr="00D96063">
              <w:rPr>
                <w:sz w:val="16"/>
                <w:szCs w:val="16"/>
              </w:rPr>
              <w:t>44,754</w:t>
            </w:r>
          </w:p>
        </w:tc>
        <w:tc>
          <w:tcPr>
            <w:tcW w:w="477" w:type="pct"/>
            <w:shd w:val="clear" w:color="auto" w:fill="C9DED4"/>
          </w:tcPr>
          <w:p w14:paraId="23780C66" w14:textId="77777777" w:rsidR="00C15F2E" w:rsidRPr="00D96063" w:rsidRDefault="00C15F2E" w:rsidP="00053198">
            <w:pPr>
              <w:keepNext/>
              <w:jc w:val="right"/>
              <w:rPr>
                <w:sz w:val="16"/>
                <w:szCs w:val="16"/>
              </w:rPr>
            </w:pPr>
            <w:r w:rsidRPr="00D96063">
              <w:rPr>
                <w:sz w:val="16"/>
                <w:szCs w:val="16"/>
              </w:rPr>
              <w:t>53,102</w:t>
            </w:r>
          </w:p>
        </w:tc>
        <w:tc>
          <w:tcPr>
            <w:tcW w:w="478" w:type="pct"/>
            <w:shd w:val="clear" w:color="auto" w:fill="C9DED4"/>
          </w:tcPr>
          <w:p w14:paraId="4F806A23" w14:textId="77777777" w:rsidR="00C15F2E" w:rsidRPr="00D96063" w:rsidRDefault="00C15F2E" w:rsidP="00053198">
            <w:pPr>
              <w:keepNext/>
              <w:jc w:val="right"/>
              <w:rPr>
                <w:sz w:val="16"/>
                <w:szCs w:val="16"/>
              </w:rPr>
            </w:pPr>
            <w:r w:rsidRPr="00D96063">
              <w:rPr>
                <w:sz w:val="16"/>
                <w:szCs w:val="16"/>
              </w:rPr>
              <w:t>55,039</w:t>
            </w:r>
          </w:p>
        </w:tc>
        <w:tc>
          <w:tcPr>
            <w:tcW w:w="478" w:type="pct"/>
            <w:shd w:val="clear" w:color="auto" w:fill="C9DED4"/>
          </w:tcPr>
          <w:p w14:paraId="0C74ACB1" w14:textId="77777777" w:rsidR="00C15F2E" w:rsidRPr="00D96063" w:rsidRDefault="00C15F2E" w:rsidP="00053198">
            <w:pPr>
              <w:keepNext/>
              <w:jc w:val="right"/>
              <w:rPr>
                <w:sz w:val="16"/>
                <w:szCs w:val="16"/>
              </w:rPr>
            </w:pPr>
            <w:r w:rsidRPr="00D96063">
              <w:rPr>
                <w:sz w:val="16"/>
                <w:szCs w:val="16"/>
              </w:rPr>
              <w:t>55,559</w:t>
            </w:r>
          </w:p>
        </w:tc>
      </w:tr>
      <w:tr w:rsidR="00C15F2E" w:rsidRPr="00D96063" w14:paraId="13398F96" w14:textId="77777777" w:rsidTr="00053B83">
        <w:trPr>
          <w:cantSplit/>
        </w:trPr>
        <w:tc>
          <w:tcPr>
            <w:tcW w:w="1177" w:type="pct"/>
            <w:shd w:val="clear" w:color="auto" w:fill="auto"/>
            <w:noWrap/>
            <w:hideMark/>
          </w:tcPr>
          <w:p w14:paraId="07FED5E9" w14:textId="77777777" w:rsidR="00C15F2E" w:rsidRPr="00D96063" w:rsidRDefault="00C15F2E" w:rsidP="00053198">
            <w:pPr>
              <w:keepNext/>
              <w:jc w:val="left"/>
              <w:rPr>
                <w:sz w:val="16"/>
                <w:szCs w:val="16"/>
              </w:rPr>
            </w:pPr>
            <w:r w:rsidRPr="00D96063">
              <w:rPr>
                <w:sz w:val="16"/>
                <w:szCs w:val="16"/>
              </w:rPr>
              <w:t>Beds</w:t>
            </w:r>
          </w:p>
        </w:tc>
        <w:tc>
          <w:tcPr>
            <w:tcW w:w="477" w:type="pct"/>
            <w:shd w:val="clear" w:color="auto" w:fill="auto"/>
            <w:noWrap/>
            <w:hideMark/>
          </w:tcPr>
          <w:p w14:paraId="56610184" w14:textId="77777777" w:rsidR="00C15F2E" w:rsidRPr="00D96063" w:rsidRDefault="00C15F2E" w:rsidP="00053198">
            <w:pPr>
              <w:keepNext/>
              <w:jc w:val="right"/>
              <w:rPr>
                <w:sz w:val="16"/>
                <w:szCs w:val="16"/>
              </w:rPr>
            </w:pPr>
            <w:r w:rsidRPr="00D96063">
              <w:rPr>
                <w:sz w:val="16"/>
                <w:szCs w:val="16"/>
              </w:rPr>
              <w:t>34,288</w:t>
            </w:r>
          </w:p>
        </w:tc>
        <w:tc>
          <w:tcPr>
            <w:tcW w:w="478" w:type="pct"/>
            <w:shd w:val="clear" w:color="auto" w:fill="auto"/>
            <w:noWrap/>
          </w:tcPr>
          <w:p w14:paraId="628415CB" w14:textId="77777777" w:rsidR="00C15F2E" w:rsidRPr="00D96063" w:rsidRDefault="00C15F2E" w:rsidP="00053198">
            <w:pPr>
              <w:keepNext/>
              <w:jc w:val="right"/>
              <w:rPr>
                <w:sz w:val="16"/>
                <w:szCs w:val="16"/>
              </w:rPr>
            </w:pPr>
            <w:r w:rsidRPr="00D96063">
              <w:rPr>
                <w:sz w:val="16"/>
                <w:szCs w:val="16"/>
              </w:rPr>
              <w:t>39,934</w:t>
            </w:r>
          </w:p>
        </w:tc>
        <w:tc>
          <w:tcPr>
            <w:tcW w:w="477" w:type="pct"/>
          </w:tcPr>
          <w:p w14:paraId="0044FBB8" w14:textId="77777777" w:rsidR="00C15F2E" w:rsidRPr="00D96063" w:rsidRDefault="00C15F2E" w:rsidP="00053198">
            <w:pPr>
              <w:keepNext/>
              <w:jc w:val="center"/>
              <w:rPr>
                <w:sz w:val="16"/>
                <w:szCs w:val="16"/>
              </w:rPr>
            </w:pPr>
            <w:r w:rsidRPr="00D96063">
              <w:rPr>
                <w:sz w:val="16"/>
                <w:szCs w:val="16"/>
              </w:rPr>
              <w:t>32,109</w:t>
            </w:r>
          </w:p>
        </w:tc>
        <w:tc>
          <w:tcPr>
            <w:tcW w:w="478" w:type="pct"/>
            <w:shd w:val="clear" w:color="auto" w:fill="auto"/>
            <w:noWrap/>
          </w:tcPr>
          <w:p w14:paraId="717975B1" w14:textId="77777777" w:rsidR="00C15F2E" w:rsidRPr="00D96063" w:rsidRDefault="00C15F2E" w:rsidP="00053198">
            <w:pPr>
              <w:keepNext/>
              <w:jc w:val="right"/>
              <w:rPr>
                <w:sz w:val="16"/>
                <w:szCs w:val="16"/>
              </w:rPr>
            </w:pPr>
            <w:r w:rsidRPr="00D96063">
              <w:rPr>
                <w:sz w:val="16"/>
                <w:szCs w:val="16"/>
              </w:rPr>
              <w:t>40,176</w:t>
            </w:r>
          </w:p>
        </w:tc>
        <w:tc>
          <w:tcPr>
            <w:tcW w:w="478" w:type="pct"/>
          </w:tcPr>
          <w:p w14:paraId="5BA4FBD0" w14:textId="77777777" w:rsidR="00C15F2E" w:rsidRPr="00D96063" w:rsidRDefault="00C15F2E" w:rsidP="00053198">
            <w:pPr>
              <w:keepNext/>
              <w:jc w:val="right"/>
              <w:rPr>
                <w:sz w:val="16"/>
                <w:szCs w:val="16"/>
              </w:rPr>
            </w:pPr>
            <w:r w:rsidRPr="00D96063">
              <w:rPr>
                <w:sz w:val="16"/>
                <w:szCs w:val="16"/>
              </w:rPr>
              <w:t>49,216</w:t>
            </w:r>
          </w:p>
        </w:tc>
        <w:tc>
          <w:tcPr>
            <w:tcW w:w="477" w:type="pct"/>
          </w:tcPr>
          <w:p w14:paraId="635D542B" w14:textId="77777777" w:rsidR="00C15F2E" w:rsidRPr="00D96063" w:rsidRDefault="00C15F2E" w:rsidP="00053198">
            <w:pPr>
              <w:keepNext/>
              <w:jc w:val="right"/>
              <w:rPr>
                <w:sz w:val="16"/>
                <w:szCs w:val="16"/>
              </w:rPr>
            </w:pPr>
            <w:r w:rsidRPr="00D96063">
              <w:rPr>
                <w:sz w:val="16"/>
                <w:szCs w:val="16"/>
              </w:rPr>
              <w:t>57,415</w:t>
            </w:r>
          </w:p>
        </w:tc>
        <w:tc>
          <w:tcPr>
            <w:tcW w:w="478" w:type="pct"/>
          </w:tcPr>
          <w:p w14:paraId="0E72EE42" w14:textId="77777777" w:rsidR="00C15F2E" w:rsidRPr="00D96063" w:rsidRDefault="00C15F2E" w:rsidP="00053198">
            <w:pPr>
              <w:keepNext/>
              <w:jc w:val="right"/>
              <w:rPr>
                <w:sz w:val="16"/>
                <w:szCs w:val="16"/>
              </w:rPr>
            </w:pPr>
            <w:r w:rsidRPr="00D96063">
              <w:rPr>
                <w:sz w:val="16"/>
                <w:szCs w:val="16"/>
              </w:rPr>
              <w:t>60,851</w:t>
            </w:r>
          </w:p>
        </w:tc>
        <w:tc>
          <w:tcPr>
            <w:tcW w:w="478" w:type="pct"/>
          </w:tcPr>
          <w:p w14:paraId="6A2B1E62" w14:textId="77777777" w:rsidR="00C15F2E" w:rsidRPr="00D96063" w:rsidRDefault="00C15F2E" w:rsidP="00053198">
            <w:pPr>
              <w:keepNext/>
              <w:jc w:val="right"/>
              <w:rPr>
                <w:sz w:val="16"/>
                <w:szCs w:val="16"/>
              </w:rPr>
            </w:pPr>
            <w:r w:rsidRPr="00D96063">
              <w:rPr>
                <w:sz w:val="16"/>
                <w:szCs w:val="16"/>
              </w:rPr>
              <w:t>58,790</w:t>
            </w:r>
          </w:p>
        </w:tc>
      </w:tr>
      <w:tr w:rsidR="00C15F2E" w:rsidRPr="00D96063" w14:paraId="62332AF9" w14:textId="77777777" w:rsidTr="00053B83">
        <w:trPr>
          <w:cantSplit/>
        </w:trPr>
        <w:tc>
          <w:tcPr>
            <w:tcW w:w="1177" w:type="pct"/>
            <w:shd w:val="clear" w:color="auto" w:fill="C9DED4"/>
            <w:noWrap/>
            <w:hideMark/>
          </w:tcPr>
          <w:p w14:paraId="22463C3E" w14:textId="77777777" w:rsidR="00C15F2E" w:rsidRPr="00D96063" w:rsidRDefault="00C15F2E" w:rsidP="00053198">
            <w:pPr>
              <w:keepNext/>
              <w:jc w:val="left"/>
              <w:rPr>
                <w:sz w:val="16"/>
                <w:szCs w:val="16"/>
              </w:rPr>
            </w:pPr>
            <w:r w:rsidRPr="00D96063">
              <w:rPr>
                <w:sz w:val="16"/>
                <w:szCs w:val="16"/>
              </w:rPr>
              <w:t>Employees ('000)</w:t>
            </w:r>
          </w:p>
        </w:tc>
        <w:tc>
          <w:tcPr>
            <w:tcW w:w="477" w:type="pct"/>
            <w:shd w:val="clear" w:color="auto" w:fill="C9DED4"/>
            <w:noWrap/>
            <w:hideMark/>
          </w:tcPr>
          <w:p w14:paraId="7B81ECB0" w14:textId="77777777" w:rsidR="00C15F2E" w:rsidRPr="00D96063" w:rsidRDefault="00C15F2E" w:rsidP="00053198">
            <w:pPr>
              <w:keepNext/>
              <w:jc w:val="right"/>
              <w:rPr>
                <w:sz w:val="16"/>
                <w:szCs w:val="16"/>
              </w:rPr>
            </w:pPr>
            <w:r w:rsidRPr="00D96063">
              <w:rPr>
                <w:sz w:val="16"/>
                <w:szCs w:val="16"/>
              </w:rPr>
              <w:t>231</w:t>
            </w:r>
          </w:p>
        </w:tc>
        <w:tc>
          <w:tcPr>
            <w:tcW w:w="478" w:type="pct"/>
            <w:shd w:val="clear" w:color="auto" w:fill="C9DED4"/>
            <w:noWrap/>
          </w:tcPr>
          <w:p w14:paraId="426217CB" w14:textId="77777777" w:rsidR="00C15F2E" w:rsidRPr="00D96063" w:rsidRDefault="00C15F2E" w:rsidP="00053198">
            <w:pPr>
              <w:keepNext/>
              <w:jc w:val="right"/>
              <w:rPr>
                <w:sz w:val="16"/>
                <w:szCs w:val="16"/>
              </w:rPr>
            </w:pPr>
            <w:r w:rsidRPr="00D96063">
              <w:rPr>
                <w:sz w:val="16"/>
                <w:szCs w:val="16"/>
              </w:rPr>
              <w:t>259</w:t>
            </w:r>
          </w:p>
        </w:tc>
        <w:tc>
          <w:tcPr>
            <w:tcW w:w="477" w:type="pct"/>
            <w:shd w:val="clear" w:color="auto" w:fill="C9DED4"/>
          </w:tcPr>
          <w:p w14:paraId="4837AA53" w14:textId="77777777" w:rsidR="00C15F2E" w:rsidRPr="00D96063" w:rsidRDefault="00C15F2E" w:rsidP="00053198">
            <w:pPr>
              <w:keepNext/>
              <w:jc w:val="right"/>
              <w:rPr>
                <w:sz w:val="16"/>
                <w:szCs w:val="16"/>
              </w:rPr>
            </w:pPr>
            <w:r w:rsidRPr="00D96063">
              <w:rPr>
                <w:sz w:val="16"/>
                <w:szCs w:val="16"/>
              </w:rPr>
              <w:t>287</w:t>
            </w:r>
          </w:p>
        </w:tc>
        <w:tc>
          <w:tcPr>
            <w:tcW w:w="478" w:type="pct"/>
            <w:shd w:val="clear" w:color="auto" w:fill="C9DED4"/>
            <w:noWrap/>
          </w:tcPr>
          <w:p w14:paraId="1A8E1B5B" w14:textId="77777777" w:rsidR="00C15F2E" w:rsidRPr="00D96063" w:rsidRDefault="00C15F2E" w:rsidP="00053198">
            <w:pPr>
              <w:keepNext/>
              <w:jc w:val="right"/>
              <w:rPr>
                <w:sz w:val="16"/>
                <w:szCs w:val="16"/>
              </w:rPr>
            </w:pPr>
            <w:r w:rsidRPr="00D96063">
              <w:rPr>
                <w:sz w:val="16"/>
                <w:szCs w:val="16"/>
              </w:rPr>
              <w:t>319</w:t>
            </w:r>
          </w:p>
        </w:tc>
        <w:tc>
          <w:tcPr>
            <w:tcW w:w="478" w:type="pct"/>
            <w:shd w:val="clear" w:color="auto" w:fill="C9DED4"/>
          </w:tcPr>
          <w:p w14:paraId="58BC266F" w14:textId="77777777" w:rsidR="00C15F2E" w:rsidRPr="00D96063" w:rsidRDefault="00C15F2E" w:rsidP="00053198">
            <w:pPr>
              <w:keepNext/>
              <w:jc w:val="right"/>
              <w:rPr>
                <w:sz w:val="16"/>
                <w:szCs w:val="16"/>
              </w:rPr>
            </w:pPr>
            <w:r w:rsidRPr="00D96063">
              <w:rPr>
                <w:sz w:val="16"/>
                <w:szCs w:val="16"/>
              </w:rPr>
              <w:t>392</w:t>
            </w:r>
          </w:p>
        </w:tc>
        <w:tc>
          <w:tcPr>
            <w:tcW w:w="477" w:type="pct"/>
            <w:shd w:val="clear" w:color="auto" w:fill="C9DED4"/>
          </w:tcPr>
          <w:p w14:paraId="451B48E4" w14:textId="77777777" w:rsidR="00C15F2E" w:rsidRPr="00D96063" w:rsidRDefault="00C15F2E" w:rsidP="00053198">
            <w:pPr>
              <w:keepNext/>
              <w:jc w:val="right"/>
              <w:rPr>
                <w:sz w:val="16"/>
                <w:szCs w:val="16"/>
              </w:rPr>
            </w:pPr>
            <w:r w:rsidRPr="00D96063">
              <w:rPr>
                <w:sz w:val="16"/>
                <w:szCs w:val="16"/>
              </w:rPr>
              <w:t>543</w:t>
            </w:r>
          </w:p>
        </w:tc>
        <w:tc>
          <w:tcPr>
            <w:tcW w:w="478" w:type="pct"/>
            <w:shd w:val="clear" w:color="auto" w:fill="C9DED4"/>
          </w:tcPr>
          <w:p w14:paraId="42C82121" w14:textId="77777777" w:rsidR="00C15F2E" w:rsidRPr="00D96063" w:rsidRDefault="00C15F2E" w:rsidP="00053198">
            <w:pPr>
              <w:keepNext/>
              <w:jc w:val="right"/>
              <w:rPr>
                <w:sz w:val="16"/>
                <w:szCs w:val="16"/>
              </w:rPr>
            </w:pPr>
            <w:r w:rsidRPr="00D96063">
              <w:rPr>
                <w:sz w:val="16"/>
                <w:szCs w:val="16"/>
              </w:rPr>
              <w:t>547</w:t>
            </w:r>
          </w:p>
        </w:tc>
        <w:tc>
          <w:tcPr>
            <w:tcW w:w="478" w:type="pct"/>
            <w:shd w:val="clear" w:color="auto" w:fill="C9DED4"/>
          </w:tcPr>
          <w:p w14:paraId="12ABC1B6" w14:textId="77777777" w:rsidR="00C15F2E" w:rsidRPr="00D96063" w:rsidRDefault="00C15F2E" w:rsidP="00053198">
            <w:pPr>
              <w:keepNext/>
              <w:jc w:val="right"/>
              <w:rPr>
                <w:sz w:val="16"/>
                <w:szCs w:val="16"/>
              </w:rPr>
            </w:pPr>
            <w:r w:rsidRPr="00D96063">
              <w:rPr>
                <w:sz w:val="16"/>
                <w:szCs w:val="16"/>
              </w:rPr>
              <w:t>230</w:t>
            </w:r>
          </w:p>
        </w:tc>
      </w:tr>
      <w:tr w:rsidR="00C15F2E" w:rsidRPr="00D96063" w14:paraId="233EABD6" w14:textId="77777777" w:rsidTr="00053B83">
        <w:trPr>
          <w:cantSplit/>
        </w:trPr>
        <w:tc>
          <w:tcPr>
            <w:tcW w:w="1177" w:type="pct"/>
            <w:shd w:val="clear" w:color="auto" w:fill="auto"/>
            <w:noWrap/>
            <w:hideMark/>
          </w:tcPr>
          <w:p w14:paraId="600473B6" w14:textId="77777777" w:rsidR="00C15F2E" w:rsidRPr="00D96063" w:rsidRDefault="00C15F2E" w:rsidP="00053198">
            <w:pPr>
              <w:keepNext/>
              <w:jc w:val="left"/>
              <w:rPr>
                <w:sz w:val="16"/>
                <w:szCs w:val="16"/>
              </w:rPr>
            </w:pPr>
            <w:r w:rsidRPr="00D96063">
              <w:rPr>
                <w:sz w:val="16"/>
                <w:szCs w:val="16"/>
              </w:rPr>
              <w:t>Tourism contribution to GDP (%)</w:t>
            </w:r>
          </w:p>
        </w:tc>
        <w:tc>
          <w:tcPr>
            <w:tcW w:w="477" w:type="pct"/>
            <w:shd w:val="clear" w:color="auto" w:fill="auto"/>
            <w:noWrap/>
            <w:hideMark/>
          </w:tcPr>
          <w:p w14:paraId="25D8047B" w14:textId="77777777" w:rsidR="00C15F2E" w:rsidRPr="00D96063" w:rsidRDefault="00C15F2E" w:rsidP="00053198">
            <w:pPr>
              <w:keepNext/>
              <w:jc w:val="right"/>
              <w:rPr>
                <w:sz w:val="16"/>
                <w:szCs w:val="16"/>
              </w:rPr>
            </w:pPr>
            <w:r w:rsidRPr="00D96063">
              <w:rPr>
                <w:sz w:val="16"/>
                <w:szCs w:val="16"/>
              </w:rPr>
              <w:t>2.2</w:t>
            </w:r>
          </w:p>
        </w:tc>
        <w:tc>
          <w:tcPr>
            <w:tcW w:w="478" w:type="pct"/>
            <w:shd w:val="clear" w:color="auto" w:fill="auto"/>
            <w:noWrap/>
            <w:hideMark/>
          </w:tcPr>
          <w:p w14:paraId="6B30A3B8" w14:textId="77777777" w:rsidR="00C15F2E" w:rsidRPr="00D96063" w:rsidRDefault="00C15F2E" w:rsidP="00053198">
            <w:pPr>
              <w:keepNext/>
              <w:jc w:val="right"/>
              <w:rPr>
                <w:sz w:val="16"/>
                <w:szCs w:val="16"/>
              </w:rPr>
            </w:pPr>
            <w:r w:rsidRPr="00D96063">
              <w:rPr>
                <w:sz w:val="16"/>
                <w:szCs w:val="16"/>
              </w:rPr>
              <w:t>2.0</w:t>
            </w:r>
          </w:p>
        </w:tc>
        <w:tc>
          <w:tcPr>
            <w:tcW w:w="477" w:type="pct"/>
          </w:tcPr>
          <w:p w14:paraId="4405BD29" w14:textId="77777777" w:rsidR="00C15F2E" w:rsidRPr="00D96063" w:rsidRDefault="00C15F2E" w:rsidP="00053198">
            <w:pPr>
              <w:keepNext/>
              <w:jc w:val="right"/>
              <w:rPr>
                <w:sz w:val="16"/>
                <w:szCs w:val="16"/>
              </w:rPr>
            </w:pPr>
            <w:r w:rsidRPr="00D96063">
              <w:rPr>
                <w:sz w:val="16"/>
                <w:szCs w:val="16"/>
              </w:rPr>
              <w:t>4.8</w:t>
            </w:r>
          </w:p>
        </w:tc>
        <w:tc>
          <w:tcPr>
            <w:tcW w:w="478" w:type="pct"/>
            <w:shd w:val="clear" w:color="auto" w:fill="auto"/>
            <w:noWrap/>
          </w:tcPr>
          <w:p w14:paraId="2B36965A" w14:textId="77777777" w:rsidR="00C15F2E" w:rsidRPr="00D96063" w:rsidRDefault="00C15F2E" w:rsidP="00053198">
            <w:pPr>
              <w:keepNext/>
              <w:jc w:val="right"/>
              <w:rPr>
                <w:sz w:val="16"/>
                <w:szCs w:val="16"/>
              </w:rPr>
            </w:pPr>
            <w:r w:rsidRPr="00D96063">
              <w:rPr>
                <w:sz w:val="16"/>
                <w:szCs w:val="16"/>
              </w:rPr>
              <w:t>4.7</w:t>
            </w:r>
          </w:p>
        </w:tc>
        <w:tc>
          <w:tcPr>
            <w:tcW w:w="478" w:type="pct"/>
          </w:tcPr>
          <w:p w14:paraId="6832C6F8" w14:textId="77777777" w:rsidR="00C15F2E" w:rsidRPr="00D96063" w:rsidRDefault="00C15F2E" w:rsidP="00053198">
            <w:pPr>
              <w:keepNext/>
              <w:jc w:val="right"/>
              <w:rPr>
                <w:sz w:val="16"/>
                <w:szCs w:val="16"/>
              </w:rPr>
            </w:pPr>
            <w:r w:rsidRPr="00D96063">
              <w:rPr>
                <w:sz w:val="16"/>
                <w:szCs w:val="16"/>
              </w:rPr>
              <w:t>4.8</w:t>
            </w:r>
          </w:p>
        </w:tc>
        <w:tc>
          <w:tcPr>
            <w:tcW w:w="477" w:type="pct"/>
          </w:tcPr>
          <w:p w14:paraId="7F0814D9" w14:textId="77777777" w:rsidR="00C15F2E" w:rsidRPr="00D96063" w:rsidRDefault="00C15F2E" w:rsidP="00053198">
            <w:pPr>
              <w:keepNext/>
              <w:jc w:val="right"/>
              <w:rPr>
                <w:sz w:val="16"/>
                <w:szCs w:val="16"/>
              </w:rPr>
            </w:pPr>
            <w:r w:rsidRPr="00D96063">
              <w:rPr>
                <w:sz w:val="16"/>
                <w:szCs w:val="16"/>
              </w:rPr>
              <w:t>5.5</w:t>
            </w:r>
          </w:p>
        </w:tc>
        <w:tc>
          <w:tcPr>
            <w:tcW w:w="478" w:type="pct"/>
          </w:tcPr>
          <w:p w14:paraId="7414B33A" w14:textId="77777777" w:rsidR="00C15F2E" w:rsidRPr="00D96063" w:rsidRDefault="00C15F2E" w:rsidP="00053198">
            <w:pPr>
              <w:keepNext/>
              <w:jc w:val="right"/>
              <w:rPr>
                <w:sz w:val="16"/>
                <w:szCs w:val="16"/>
              </w:rPr>
            </w:pPr>
            <w:r w:rsidRPr="00D96063">
              <w:rPr>
                <w:sz w:val="16"/>
                <w:szCs w:val="16"/>
              </w:rPr>
              <w:t>5.9</w:t>
            </w:r>
          </w:p>
        </w:tc>
        <w:tc>
          <w:tcPr>
            <w:tcW w:w="478" w:type="pct"/>
          </w:tcPr>
          <w:p w14:paraId="592CB593" w14:textId="77777777" w:rsidR="00C15F2E" w:rsidRPr="00D96063" w:rsidRDefault="00C15F2E" w:rsidP="00053198">
            <w:pPr>
              <w:keepNext/>
              <w:jc w:val="right"/>
              <w:rPr>
                <w:sz w:val="16"/>
                <w:szCs w:val="16"/>
              </w:rPr>
            </w:pPr>
            <w:r w:rsidRPr="00D96063">
              <w:rPr>
                <w:sz w:val="16"/>
                <w:szCs w:val="16"/>
              </w:rPr>
              <w:t>2.7</w:t>
            </w:r>
          </w:p>
        </w:tc>
      </w:tr>
    </w:tbl>
    <w:p w14:paraId="3652E5A4" w14:textId="77777777" w:rsidR="00C15F2E" w:rsidRPr="00D96063" w:rsidRDefault="00C15F2E" w:rsidP="00D868BF">
      <w:pPr>
        <w:pStyle w:val="NoteText"/>
        <w:keepNext/>
        <w:spacing w:before="120" w:after="120"/>
        <w:ind w:left="0" w:firstLine="0"/>
      </w:pPr>
      <w:r w:rsidRPr="00D96063">
        <w:t>..</w:t>
      </w:r>
      <w:r w:rsidRPr="00D96063">
        <w:tab/>
        <w:t>Not available.</w:t>
      </w:r>
    </w:p>
    <w:p w14:paraId="2540A78F" w14:textId="77777777" w:rsidR="00C15F2E" w:rsidRPr="00D96063" w:rsidRDefault="00C15F2E" w:rsidP="00D868BF">
      <w:pPr>
        <w:pStyle w:val="NoteText"/>
        <w:keepNext/>
        <w:spacing w:after="240"/>
      </w:pPr>
      <w:r w:rsidRPr="00D96063">
        <w:t>Source:</w:t>
      </w:r>
      <w:r w:rsidRPr="00D96063">
        <w:tab/>
        <w:t xml:space="preserve">World Tourism Organization, </w:t>
      </w:r>
      <w:r w:rsidRPr="00D96063">
        <w:rPr>
          <w:i/>
          <w:iCs/>
        </w:rPr>
        <w:t>Compendium of Tourism Statistics, Data 2007-2011</w:t>
      </w:r>
      <w:r w:rsidRPr="00D96063">
        <w:t>, 2013 edition; and information from the Ghana Tourism Authority.</w:t>
      </w:r>
    </w:p>
    <w:bookmarkEnd w:id="177"/>
    <w:bookmarkEnd w:id="179"/>
    <w:p w14:paraId="26FB14A7" w14:textId="77777777" w:rsidR="00C15F2E" w:rsidRPr="00D96063" w:rsidRDefault="00C15F2E" w:rsidP="00352F58">
      <w:pPr>
        <w:sectPr w:rsidR="00C15F2E" w:rsidRPr="00D96063" w:rsidSect="00A76A58">
          <w:footerReference w:type="even" r:id="rId109"/>
          <w:footerReference w:type="default" r:id="rId110"/>
          <w:headerReference w:type="first" r:id="rId111"/>
          <w:footerReference w:type="first" r:id="rId112"/>
          <w:footnotePr>
            <w:numRestart w:val="eachSect"/>
          </w:footnotePr>
          <w:type w:val="continuous"/>
          <w:pgSz w:w="11906" w:h="16838" w:code="9"/>
          <w:pgMar w:top="1701" w:right="1440" w:bottom="1440" w:left="1440" w:header="720" w:footer="720" w:gutter="0"/>
          <w:cols w:space="708"/>
          <w:docGrid w:linePitch="360"/>
        </w:sectPr>
      </w:pPr>
    </w:p>
    <w:p w14:paraId="0FC9EC64" w14:textId="77777777" w:rsidR="0009597E" w:rsidRDefault="0009597E" w:rsidP="004656FC">
      <w:pPr>
        <w:pStyle w:val="Heading1"/>
        <w:sectPr w:rsidR="0009597E" w:rsidSect="00352F58">
          <w:footerReference w:type="even" r:id="rId113"/>
          <w:footerReference w:type="default" r:id="rId114"/>
          <w:headerReference w:type="first" r:id="rId115"/>
          <w:footerReference w:type="first" r:id="rId116"/>
          <w:type w:val="continuous"/>
          <w:pgSz w:w="11906" w:h="16838" w:code="9"/>
          <w:pgMar w:top="1701" w:right="1440" w:bottom="1440" w:left="1440" w:header="720" w:footer="720" w:gutter="0"/>
          <w:cols w:space="708"/>
          <w:titlePg/>
          <w:docGrid w:linePitch="360"/>
        </w:sectPr>
      </w:pPr>
    </w:p>
    <w:p w14:paraId="0954038B" w14:textId="7B809B12" w:rsidR="00C15F2E" w:rsidRPr="00D96063" w:rsidRDefault="00C15F2E" w:rsidP="004656FC">
      <w:pPr>
        <w:pStyle w:val="Heading1"/>
      </w:pPr>
      <w:bookmarkStart w:id="278" w:name="_Toc103607740"/>
      <w:r w:rsidRPr="00D96063">
        <w:lastRenderedPageBreak/>
        <w:t>APPENDIX TABLES</w:t>
      </w:r>
      <w:bookmarkEnd w:id="278"/>
    </w:p>
    <w:p w14:paraId="771899CC" w14:textId="06A2B4EE" w:rsidR="00C15F2E" w:rsidRPr="00D96063" w:rsidRDefault="00C15F2E" w:rsidP="0038223D">
      <w:pPr>
        <w:pStyle w:val="Caption"/>
      </w:pPr>
      <w:bookmarkStart w:id="279" w:name="_Toc103607997"/>
      <w:r w:rsidRPr="00D96063">
        <w:t>Table A1.</w:t>
      </w:r>
      <w:fldSimple w:instr=" SEQ Table_A1. \* ARABIC ">
        <w:r w:rsidR="004B63B1">
          <w:rPr>
            <w:noProof/>
          </w:rPr>
          <w:t>1</w:t>
        </w:r>
      </w:fldSimple>
      <w:r w:rsidRPr="00D96063">
        <w:t xml:space="preserve"> Merchandise exports by HS section and major chapter subheading, 2014-19</w:t>
      </w:r>
      <w:bookmarkEnd w:id="279"/>
    </w:p>
    <w:tbl>
      <w:tblPr>
        <w:tblStyle w:val="WTOTable1"/>
        <w:tblW w:w="5000" w:type="pct"/>
        <w:tblLayout w:type="fixed"/>
        <w:tblLook w:val="04A0" w:firstRow="1" w:lastRow="0" w:firstColumn="1" w:lastColumn="0" w:noHBand="0" w:noVBand="1"/>
      </w:tblPr>
      <w:tblGrid>
        <w:gridCol w:w="261"/>
        <w:gridCol w:w="507"/>
        <w:gridCol w:w="2918"/>
        <w:gridCol w:w="887"/>
        <w:gridCol w:w="889"/>
        <w:gridCol w:w="889"/>
        <w:gridCol w:w="887"/>
        <w:gridCol w:w="889"/>
        <w:gridCol w:w="889"/>
      </w:tblGrid>
      <w:tr w:rsidR="00C15F2E" w:rsidRPr="00D96063" w14:paraId="704786FF" w14:textId="77777777" w:rsidTr="00053198">
        <w:trPr>
          <w:cnfStyle w:val="100000000000" w:firstRow="1" w:lastRow="0" w:firstColumn="0" w:lastColumn="0" w:oddVBand="0" w:evenVBand="0" w:oddHBand="0" w:evenHBand="0" w:firstRowFirstColumn="0" w:firstRowLastColumn="0" w:lastRowFirstColumn="0" w:lastRowLastColumn="0"/>
          <w:trHeight w:val="240"/>
          <w:tblHeader/>
        </w:trPr>
        <w:tc>
          <w:tcPr>
            <w:tcW w:w="2044" w:type="pct"/>
            <w:gridSpan w:val="3"/>
            <w:noWrap/>
            <w:hideMark/>
          </w:tcPr>
          <w:p w14:paraId="05D1310E" w14:textId="77777777" w:rsidR="00C15F2E" w:rsidRPr="00D96063" w:rsidRDefault="00C15F2E" w:rsidP="0009597E">
            <w:pPr>
              <w:jc w:val="left"/>
              <w:rPr>
                <w:rFonts w:cs="Calibri"/>
                <w:sz w:val="16"/>
                <w:szCs w:val="16"/>
              </w:rPr>
            </w:pPr>
            <w:r w:rsidRPr="00D96063">
              <w:rPr>
                <w:rFonts w:cs="Calibri"/>
                <w:sz w:val="16"/>
                <w:szCs w:val="16"/>
              </w:rPr>
              <w:t>HS section/chapter/subheading</w:t>
            </w:r>
          </w:p>
        </w:tc>
        <w:tc>
          <w:tcPr>
            <w:tcW w:w="492" w:type="pct"/>
            <w:noWrap/>
            <w:hideMark/>
          </w:tcPr>
          <w:p w14:paraId="4553A8FF" w14:textId="77777777" w:rsidR="00C15F2E" w:rsidRPr="00D96063" w:rsidRDefault="00C15F2E" w:rsidP="0009597E">
            <w:pPr>
              <w:jc w:val="right"/>
              <w:rPr>
                <w:rFonts w:cs="Calibri"/>
                <w:sz w:val="16"/>
                <w:szCs w:val="16"/>
              </w:rPr>
            </w:pPr>
            <w:r w:rsidRPr="00D96063">
              <w:rPr>
                <w:rFonts w:cs="Calibri"/>
                <w:sz w:val="16"/>
                <w:szCs w:val="16"/>
              </w:rPr>
              <w:t>2014</w:t>
            </w:r>
          </w:p>
        </w:tc>
        <w:tc>
          <w:tcPr>
            <w:tcW w:w="493" w:type="pct"/>
            <w:noWrap/>
            <w:hideMark/>
          </w:tcPr>
          <w:p w14:paraId="35872058" w14:textId="77777777" w:rsidR="00C15F2E" w:rsidRPr="00D96063" w:rsidRDefault="00C15F2E" w:rsidP="0009597E">
            <w:pPr>
              <w:jc w:val="right"/>
              <w:rPr>
                <w:rFonts w:cs="Calibri"/>
                <w:sz w:val="16"/>
                <w:szCs w:val="16"/>
              </w:rPr>
            </w:pPr>
            <w:r w:rsidRPr="00D96063">
              <w:rPr>
                <w:rFonts w:cs="Calibri"/>
                <w:sz w:val="16"/>
                <w:szCs w:val="16"/>
              </w:rPr>
              <w:t>2015</w:t>
            </w:r>
          </w:p>
        </w:tc>
        <w:tc>
          <w:tcPr>
            <w:tcW w:w="493" w:type="pct"/>
            <w:noWrap/>
            <w:hideMark/>
          </w:tcPr>
          <w:p w14:paraId="1BF0A46A" w14:textId="77777777" w:rsidR="00C15F2E" w:rsidRPr="00D96063" w:rsidRDefault="00C15F2E" w:rsidP="0009597E">
            <w:pPr>
              <w:jc w:val="right"/>
              <w:rPr>
                <w:rFonts w:cs="Calibri"/>
                <w:sz w:val="16"/>
                <w:szCs w:val="16"/>
              </w:rPr>
            </w:pPr>
            <w:r w:rsidRPr="00D96063">
              <w:rPr>
                <w:rFonts w:cs="Calibri"/>
                <w:sz w:val="16"/>
                <w:szCs w:val="16"/>
              </w:rPr>
              <w:t>2016</w:t>
            </w:r>
          </w:p>
        </w:tc>
        <w:tc>
          <w:tcPr>
            <w:tcW w:w="492" w:type="pct"/>
            <w:noWrap/>
            <w:hideMark/>
          </w:tcPr>
          <w:p w14:paraId="79E0452E" w14:textId="77777777" w:rsidR="00C15F2E" w:rsidRPr="00D96063" w:rsidRDefault="00C15F2E" w:rsidP="0009597E">
            <w:pPr>
              <w:jc w:val="right"/>
              <w:rPr>
                <w:rFonts w:cs="Calibri"/>
                <w:sz w:val="16"/>
                <w:szCs w:val="16"/>
              </w:rPr>
            </w:pPr>
            <w:r w:rsidRPr="00D96063">
              <w:rPr>
                <w:rFonts w:cs="Calibri"/>
                <w:sz w:val="16"/>
                <w:szCs w:val="16"/>
              </w:rPr>
              <w:t>2017</w:t>
            </w:r>
          </w:p>
        </w:tc>
        <w:tc>
          <w:tcPr>
            <w:tcW w:w="493" w:type="pct"/>
            <w:noWrap/>
            <w:hideMark/>
          </w:tcPr>
          <w:p w14:paraId="2BCAEB46" w14:textId="77777777" w:rsidR="00C15F2E" w:rsidRPr="00D96063" w:rsidRDefault="00C15F2E" w:rsidP="0009597E">
            <w:pPr>
              <w:jc w:val="right"/>
              <w:rPr>
                <w:rFonts w:cs="Calibri"/>
                <w:sz w:val="16"/>
                <w:szCs w:val="16"/>
              </w:rPr>
            </w:pPr>
            <w:r w:rsidRPr="00D96063">
              <w:rPr>
                <w:rFonts w:cs="Calibri"/>
                <w:sz w:val="16"/>
                <w:szCs w:val="16"/>
              </w:rPr>
              <w:t>2018</w:t>
            </w:r>
          </w:p>
        </w:tc>
        <w:tc>
          <w:tcPr>
            <w:tcW w:w="493" w:type="pct"/>
            <w:noWrap/>
            <w:hideMark/>
          </w:tcPr>
          <w:p w14:paraId="22B0B61F" w14:textId="77777777" w:rsidR="00C15F2E" w:rsidRPr="00D96063" w:rsidRDefault="00C15F2E" w:rsidP="0009597E">
            <w:pPr>
              <w:jc w:val="right"/>
              <w:rPr>
                <w:rFonts w:cs="Calibri"/>
                <w:sz w:val="16"/>
                <w:szCs w:val="16"/>
              </w:rPr>
            </w:pPr>
            <w:r w:rsidRPr="00D96063">
              <w:rPr>
                <w:rFonts w:cs="Calibri"/>
                <w:sz w:val="16"/>
                <w:szCs w:val="16"/>
              </w:rPr>
              <w:t>2019</w:t>
            </w:r>
          </w:p>
        </w:tc>
      </w:tr>
      <w:tr w:rsidR="00C15F2E" w:rsidRPr="00D96063" w14:paraId="2D8E5D5B" w14:textId="77777777" w:rsidTr="00053198">
        <w:trPr>
          <w:trHeight w:val="240"/>
        </w:trPr>
        <w:tc>
          <w:tcPr>
            <w:tcW w:w="2044" w:type="pct"/>
            <w:gridSpan w:val="3"/>
            <w:noWrap/>
            <w:hideMark/>
          </w:tcPr>
          <w:p w14:paraId="0312C646" w14:textId="77777777" w:rsidR="00C15F2E" w:rsidRPr="00D96063" w:rsidRDefault="00C15F2E" w:rsidP="0009597E">
            <w:pPr>
              <w:jc w:val="left"/>
              <w:rPr>
                <w:rFonts w:cs="Calibri"/>
                <w:b/>
                <w:bCs/>
                <w:sz w:val="16"/>
                <w:szCs w:val="16"/>
              </w:rPr>
            </w:pPr>
            <w:r w:rsidRPr="00D96063">
              <w:rPr>
                <w:rFonts w:cs="Calibri"/>
                <w:b/>
                <w:bCs/>
                <w:sz w:val="16"/>
                <w:szCs w:val="16"/>
              </w:rPr>
              <w:t>Total exports (USD million)</w:t>
            </w:r>
          </w:p>
        </w:tc>
        <w:tc>
          <w:tcPr>
            <w:tcW w:w="492" w:type="pct"/>
            <w:noWrap/>
            <w:hideMark/>
          </w:tcPr>
          <w:p w14:paraId="024D129F" w14:textId="77777777" w:rsidR="00C15F2E" w:rsidRPr="00D96063" w:rsidRDefault="00C15F2E" w:rsidP="00053198">
            <w:pPr>
              <w:ind w:left="-113" w:right="-57"/>
              <w:jc w:val="right"/>
              <w:rPr>
                <w:rFonts w:cs="Calibri"/>
                <w:b/>
                <w:bCs/>
                <w:sz w:val="16"/>
                <w:szCs w:val="16"/>
              </w:rPr>
            </w:pPr>
            <w:r w:rsidRPr="00D96063">
              <w:rPr>
                <w:rFonts w:cs="Calibri"/>
                <w:b/>
                <w:bCs/>
                <w:sz w:val="16"/>
                <w:szCs w:val="16"/>
              </w:rPr>
              <w:t xml:space="preserve">15,504 </w:t>
            </w:r>
          </w:p>
        </w:tc>
        <w:tc>
          <w:tcPr>
            <w:tcW w:w="493" w:type="pct"/>
            <w:noWrap/>
            <w:hideMark/>
          </w:tcPr>
          <w:p w14:paraId="61D0112A" w14:textId="77777777" w:rsidR="00C15F2E" w:rsidRPr="00D96063" w:rsidRDefault="00C15F2E" w:rsidP="00053198">
            <w:pPr>
              <w:ind w:left="-113" w:right="-57"/>
              <w:jc w:val="right"/>
              <w:rPr>
                <w:rFonts w:cs="Calibri"/>
                <w:b/>
                <w:bCs/>
                <w:sz w:val="16"/>
                <w:szCs w:val="16"/>
              </w:rPr>
            </w:pPr>
            <w:r w:rsidRPr="00D96063">
              <w:rPr>
                <w:rFonts w:cs="Calibri"/>
                <w:b/>
                <w:bCs/>
                <w:sz w:val="16"/>
                <w:szCs w:val="16"/>
              </w:rPr>
              <w:t xml:space="preserve">13,756 </w:t>
            </w:r>
          </w:p>
        </w:tc>
        <w:tc>
          <w:tcPr>
            <w:tcW w:w="493" w:type="pct"/>
            <w:noWrap/>
            <w:hideMark/>
          </w:tcPr>
          <w:p w14:paraId="062F59F7" w14:textId="77777777" w:rsidR="00C15F2E" w:rsidRPr="00D96063" w:rsidRDefault="00C15F2E" w:rsidP="00053198">
            <w:pPr>
              <w:ind w:left="-113" w:right="-57"/>
              <w:jc w:val="right"/>
              <w:rPr>
                <w:rFonts w:cs="Calibri"/>
                <w:b/>
                <w:bCs/>
                <w:sz w:val="16"/>
                <w:szCs w:val="16"/>
              </w:rPr>
            </w:pPr>
            <w:r w:rsidRPr="00D96063">
              <w:rPr>
                <w:rFonts w:cs="Calibri"/>
                <w:b/>
                <w:bCs/>
                <w:sz w:val="16"/>
                <w:szCs w:val="16"/>
              </w:rPr>
              <w:t xml:space="preserve">10,656 </w:t>
            </w:r>
          </w:p>
        </w:tc>
        <w:tc>
          <w:tcPr>
            <w:tcW w:w="492" w:type="pct"/>
            <w:noWrap/>
            <w:hideMark/>
          </w:tcPr>
          <w:p w14:paraId="619AFF2B" w14:textId="77777777" w:rsidR="00C15F2E" w:rsidRPr="00D96063" w:rsidRDefault="00C15F2E" w:rsidP="00053198">
            <w:pPr>
              <w:ind w:left="-113" w:right="-57"/>
              <w:jc w:val="right"/>
              <w:rPr>
                <w:rFonts w:cs="Calibri"/>
                <w:b/>
                <w:bCs/>
                <w:sz w:val="16"/>
                <w:szCs w:val="16"/>
              </w:rPr>
            </w:pPr>
            <w:r w:rsidRPr="00D96063">
              <w:rPr>
                <w:rFonts w:cs="Calibri"/>
                <w:b/>
                <w:bCs/>
                <w:sz w:val="16"/>
                <w:szCs w:val="16"/>
              </w:rPr>
              <w:t xml:space="preserve">14,358 </w:t>
            </w:r>
          </w:p>
        </w:tc>
        <w:tc>
          <w:tcPr>
            <w:tcW w:w="493" w:type="pct"/>
            <w:noWrap/>
            <w:hideMark/>
          </w:tcPr>
          <w:p w14:paraId="123BF56E" w14:textId="77777777" w:rsidR="00C15F2E" w:rsidRPr="00D96063" w:rsidRDefault="00C15F2E" w:rsidP="00053198">
            <w:pPr>
              <w:ind w:left="-113" w:right="-57"/>
              <w:jc w:val="right"/>
              <w:rPr>
                <w:rFonts w:cs="Calibri"/>
                <w:b/>
                <w:bCs/>
                <w:sz w:val="16"/>
                <w:szCs w:val="16"/>
              </w:rPr>
            </w:pPr>
            <w:r w:rsidRPr="00D96063">
              <w:rPr>
                <w:rFonts w:cs="Calibri"/>
                <w:b/>
                <w:bCs/>
                <w:sz w:val="16"/>
                <w:szCs w:val="16"/>
              </w:rPr>
              <w:t xml:space="preserve">17,100 </w:t>
            </w:r>
          </w:p>
        </w:tc>
        <w:tc>
          <w:tcPr>
            <w:tcW w:w="493" w:type="pct"/>
            <w:noWrap/>
            <w:hideMark/>
          </w:tcPr>
          <w:p w14:paraId="21434A84" w14:textId="77777777" w:rsidR="00C15F2E" w:rsidRPr="00D96063" w:rsidRDefault="00C15F2E" w:rsidP="00053198">
            <w:pPr>
              <w:ind w:left="-113" w:right="-57"/>
              <w:jc w:val="right"/>
              <w:rPr>
                <w:rFonts w:cs="Calibri"/>
                <w:b/>
                <w:bCs/>
                <w:sz w:val="16"/>
                <w:szCs w:val="16"/>
              </w:rPr>
            </w:pPr>
            <w:r w:rsidRPr="00D96063">
              <w:rPr>
                <w:rFonts w:cs="Calibri"/>
                <w:b/>
                <w:bCs/>
                <w:sz w:val="16"/>
                <w:szCs w:val="16"/>
              </w:rPr>
              <w:t xml:space="preserve">16,768 </w:t>
            </w:r>
          </w:p>
        </w:tc>
      </w:tr>
      <w:tr w:rsidR="00C15F2E" w:rsidRPr="00D96063" w14:paraId="1950AE8C"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tcPr>
          <w:p w14:paraId="49A036C3" w14:textId="77777777" w:rsidR="00C15F2E" w:rsidRPr="00D96063" w:rsidRDefault="00C15F2E" w:rsidP="0009597E">
            <w:pPr>
              <w:jc w:val="left"/>
              <w:rPr>
                <w:rFonts w:cs="Calibri"/>
                <w:b/>
                <w:bCs/>
                <w:sz w:val="16"/>
                <w:szCs w:val="16"/>
              </w:rPr>
            </w:pPr>
          </w:p>
        </w:tc>
        <w:tc>
          <w:tcPr>
            <w:tcW w:w="2956" w:type="pct"/>
            <w:gridSpan w:val="6"/>
            <w:noWrap/>
          </w:tcPr>
          <w:p w14:paraId="2261B45A" w14:textId="77777777" w:rsidR="00C15F2E" w:rsidRPr="00D96063" w:rsidRDefault="00C15F2E" w:rsidP="00053198">
            <w:pPr>
              <w:jc w:val="center"/>
              <w:rPr>
                <w:rFonts w:cs="Calibri"/>
                <w:sz w:val="16"/>
                <w:szCs w:val="16"/>
              </w:rPr>
            </w:pPr>
            <w:r w:rsidRPr="00D96063">
              <w:rPr>
                <w:rFonts w:cs="Calibri"/>
                <w:sz w:val="16"/>
                <w:szCs w:val="16"/>
              </w:rPr>
              <w:t>(% of total)</w:t>
            </w:r>
          </w:p>
        </w:tc>
      </w:tr>
      <w:tr w:rsidR="00C15F2E" w:rsidRPr="00D96063" w14:paraId="6C36095D" w14:textId="77777777" w:rsidTr="00053198">
        <w:trPr>
          <w:trHeight w:val="240"/>
        </w:trPr>
        <w:tc>
          <w:tcPr>
            <w:tcW w:w="2044" w:type="pct"/>
            <w:gridSpan w:val="3"/>
            <w:noWrap/>
            <w:hideMark/>
          </w:tcPr>
          <w:p w14:paraId="47450022" w14:textId="77777777" w:rsidR="00C15F2E" w:rsidRPr="00D96063" w:rsidRDefault="00C15F2E" w:rsidP="0009597E">
            <w:pPr>
              <w:jc w:val="left"/>
              <w:rPr>
                <w:rFonts w:cs="Calibri"/>
                <w:sz w:val="16"/>
                <w:szCs w:val="16"/>
              </w:rPr>
            </w:pPr>
            <w:r w:rsidRPr="00D96063">
              <w:rPr>
                <w:rFonts w:cs="Calibri"/>
                <w:sz w:val="16"/>
                <w:szCs w:val="16"/>
              </w:rPr>
              <w:t>01 Live animals and products</w:t>
            </w:r>
          </w:p>
        </w:tc>
        <w:tc>
          <w:tcPr>
            <w:tcW w:w="492" w:type="pct"/>
            <w:noWrap/>
            <w:hideMark/>
          </w:tcPr>
          <w:p w14:paraId="3D22F8EF" w14:textId="77777777" w:rsidR="00C15F2E" w:rsidRPr="00D96063" w:rsidRDefault="00C15F2E" w:rsidP="00053198">
            <w:pPr>
              <w:jc w:val="right"/>
              <w:rPr>
                <w:rFonts w:cs="Calibri"/>
                <w:sz w:val="16"/>
                <w:szCs w:val="16"/>
              </w:rPr>
            </w:pPr>
            <w:r w:rsidRPr="00D96063">
              <w:rPr>
                <w:rFonts w:cs="Calibri"/>
                <w:sz w:val="16"/>
                <w:szCs w:val="16"/>
              </w:rPr>
              <w:t>3.0</w:t>
            </w:r>
          </w:p>
        </w:tc>
        <w:tc>
          <w:tcPr>
            <w:tcW w:w="493" w:type="pct"/>
            <w:noWrap/>
            <w:hideMark/>
          </w:tcPr>
          <w:p w14:paraId="01B4C7D6" w14:textId="77777777" w:rsidR="00C15F2E" w:rsidRPr="00D96063" w:rsidRDefault="00C15F2E" w:rsidP="00053198">
            <w:pPr>
              <w:jc w:val="right"/>
              <w:rPr>
                <w:rFonts w:cs="Calibri"/>
                <w:sz w:val="16"/>
                <w:szCs w:val="16"/>
              </w:rPr>
            </w:pPr>
            <w:r w:rsidRPr="00D96063">
              <w:rPr>
                <w:rFonts w:cs="Calibri"/>
                <w:sz w:val="16"/>
                <w:szCs w:val="16"/>
              </w:rPr>
              <w:t>0.4</w:t>
            </w:r>
          </w:p>
        </w:tc>
        <w:tc>
          <w:tcPr>
            <w:tcW w:w="493" w:type="pct"/>
            <w:noWrap/>
            <w:hideMark/>
          </w:tcPr>
          <w:p w14:paraId="0F631C82" w14:textId="77777777" w:rsidR="00C15F2E" w:rsidRPr="00D96063" w:rsidRDefault="00C15F2E" w:rsidP="00053198">
            <w:pPr>
              <w:jc w:val="right"/>
              <w:rPr>
                <w:rFonts w:cs="Calibri"/>
                <w:sz w:val="16"/>
                <w:szCs w:val="16"/>
              </w:rPr>
            </w:pPr>
            <w:r w:rsidRPr="00D96063">
              <w:rPr>
                <w:rFonts w:cs="Calibri"/>
                <w:sz w:val="16"/>
                <w:szCs w:val="16"/>
              </w:rPr>
              <w:t>0.2</w:t>
            </w:r>
          </w:p>
        </w:tc>
        <w:tc>
          <w:tcPr>
            <w:tcW w:w="492" w:type="pct"/>
            <w:noWrap/>
            <w:hideMark/>
          </w:tcPr>
          <w:p w14:paraId="684970CE" w14:textId="77777777" w:rsidR="00C15F2E" w:rsidRPr="00D96063" w:rsidRDefault="00C15F2E" w:rsidP="00053198">
            <w:pPr>
              <w:jc w:val="right"/>
              <w:rPr>
                <w:rFonts w:cs="Calibri"/>
                <w:sz w:val="16"/>
                <w:szCs w:val="16"/>
              </w:rPr>
            </w:pPr>
            <w:r w:rsidRPr="00D96063">
              <w:rPr>
                <w:rFonts w:cs="Calibri"/>
                <w:sz w:val="16"/>
                <w:szCs w:val="16"/>
              </w:rPr>
              <w:t>0.5</w:t>
            </w:r>
          </w:p>
        </w:tc>
        <w:tc>
          <w:tcPr>
            <w:tcW w:w="493" w:type="pct"/>
            <w:noWrap/>
            <w:hideMark/>
          </w:tcPr>
          <w:p w14:paraId="64798DEA" w14:textId="77777777" w:rsidR="00C15F2E" w:rsidRPr="00D96063" w:rsidRDefault="00C15F2E" w:rsidP="00053198">
            <w:pPr>
              <w:jc w:val="right"/>
              <w:rPr>
                <w:rFonts w:cs="Calibri"/>
                <w:sz w:val="16"/>
                <w:szCs w:val="16"/>
              </w:rPr>
            </w:pPr>
            <w:r w:rsidRPr="00D96063">
              <w:rPr>
                <w:rFonts w:cs="Calibri"/>
                <w:sz w:val="16"/>
                <w:szCs w:val="16"/>
              </w:rPr>
              <w:t>0.5</w:t>
            </w:r>
          </w:p>
        </w:tc>
        <w:tc>
          <w:tcPr>
            <w:tcW w:w="493" w:type="pct"/>
            <w:noWrap/>
            <w:hideMark/>
          </w:tcPr>
          <w:p w14:paraId="2646263F" w14:textId="77777777" w:rsidR="00C15F2E" w:rsidRPr="00D96063" w:rsidRDefault="00C15F2E" w:rsidP="00053198">
            <w:pPr>
              <w:jc w:val="right"/>
              <w:rPr>
                <w:rFonts w:cs="Calibri"/>
                <w:sz w:val="16"/>
                <w:szCs w:val="16"/>
              </w:rPr>
            </w:pPr>
            <w:r w:rsidRPr="00D96063">
              <w:rPr>
                <w:rFonts w:cs="Calibri"/>
                <w:sz w:val="16"/>
                <w:szCs w:val="16"/>
              </w:rPr>
              <w:t>0.4</w:t>
            </w:r>
          </w:p>
        </w:tc>
      </w:tr>
      <w:tr w:rsidR="00C15F2E" w:rsidRPr="00D96063" w14:paraId="75326E27"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701223C0" w14:textId="77777777" w:rsidR="00C15F2E" w:rsidRPr="00D96063" w:rsidRDefault="00C15F2E" w:rsidP="0009597E">
            <w:pPr>
              <w:jc w:val="left"/>
              <w:rPr>
                <w:rFonts w:cs="Calibri"/>
                <w:sz w:val="16"/>
                <w:szCs w:val="16"/>
              </w:rPr>
            </w:pPr>
            <w:r w:rsidRPr="00D96063">
              <w:rPr>
                <w:rFonts w:cs="Calibri"/>
                <w:sz w:val="16"/>
                <w:szCs w:val="16"/>
              </w:rPr>
              <w:t>02 Vegetable products</w:t>
            </w:r>
          </w:p>
        </w:tc>
        <w:tc>
          <w:tcPr>
            <w:tcW w:w="492" w:type="pct"/>
            <w:noWrap/>
            <w:hideMark/>
          </w:tcPr>
          <w:p w14:paraId="02F27D68" w14:textId="77777777" w:rsidR="00C15F2E" w:rsidRPr="00D96063" w:rsidRDefault="00C15F2E" w:rsidP="00053198">
            <w:pPr>
              <w:jc w:val="right"/>
              <w:rPr>
                <w:rFonts w:cs="Calibri"/>
                <w:sz w:val="16"/>
                <w:szCs w:val="16"/>
              </w:rPr>
            </w:pPr>
            <w:r w:rsidRPr="00D96063">
              <w:rPr>
                <w:rFonts w:cs="Calibri"/>
                <w:sz w:val="16"/>
                <w:szCs w:val="16"/>
              </w:rPr>
              <w:t>2.1</w:t>
            </w:r>
          </w:p>
        </w:tc>
        <w:tc>
          <w:tcPr>
            <w:tcW w:w="493" w:type="pct"/>
            <w:noWrap/>
            <w:hideMark/>
          </w:tcPr>
          <w:p w14:paraId="2BC1AD9D" w14:textId="77777777" w:rsidR="00C15F2E" w:rsidRPr="00D96063" w:rsidRDefault="00C15F2E" w:rsidP="00053198">
            <w:pPr>
              <w:jc w:val="right"/>
              <w:rPr>
                <w:rFonts w:cs="Calibri"/>
                <w:sz w:val="16"/>
                <w:szCs w:val="16"/>
              </w:rPr>
            </w:pPr>
            <w:r w:rsidRPr="00D96063">
              <w:rPr>
                <w:rFonts w:cs="Calibri"/>
                <w:sz w:val="16"/>
                <w:szCs w:val="16"/>
              </w:rPr>
              <w:t>4.4</w:t>
            </w:r>
          </w:p>
        </w:tc>
        <w:tc>
          <w:tcPr>
            <w:tcW w:w="493" w:type="pct"/>
            <w:noWrap/>
            <w:hideMark/>
          </w:tcPr>
          <w:p w14:paraId="402E27AB" w14:textId="77777777" w:rsidR="00C15F2E" w:rsidRPr="00D96063" w:rsidRDefault="00C15F2E" w:rsidP="00053198">
            <w:pPr>
              <w:jc w:val="right"/>
              <w:rPr>
                <w:rFonts w:cs="Calibri"/>
                <w:sz w:val="16"/>
                <w:szCs w:val="16"/>
              </w:rPr>
            </w:pPr>
            <w:r w:rsidRPr="00D96063">
              <w:rPr>
                <w:rFonts w:cs="Calibri"/>
                <w:sz w:val="16"/>
                <w:szCs w:val="16"/>
              </w:rPr>
              <w:t>10.2</w:t>
            </w:r>
          </w:p>
        </w:tc>
        <w:tc>
          <w:tcPr>
            <w:tcW w:w="492" w:type="pct"/>
            <w:noWrap/>
            <w:hideMark/>
          </w:tcPr>
          <w:p w14:paraId="45B4AE7A" w14:textId="77777777" w:rsidR="00C15F2E" w:rsidRPr="00D96063" w:rsidRDefault="00C15F2E" w:rsidP="00053198">
            <w:pPr>
              <w:jc w:val="right"/>
              <w:rPr>
                <w:rFonts w:cs="Calibri"/>
                <w:sz w:val="16"/>
                <w:szCs w:val="16"/>
              </w:rPr>
            </w:pPr>
            <w:r w:rsidRPr="00D96063">
              <w:rPr>
                <w:rFonts w:cs="Calibri"/>
                <w:sz w:val="16"/>
                <w:szCs w:val="16"/>
              </w:rPr>
              <w:t>3.3</w:t>
            </w:r>
          </w:p>
        </w:tc>
        <w:tc>
          <w:tcPr>
            <w:tcW w:w="493" w:type="pct"/>
            <w:noWrap/>
            <w:hideMark/>
          </w:tcPr>
          <w:p w14:paraId="3F96529D" w14:textId="77777777" w:rsidR="00C15F2E" w:rsidRPr="00D96063" w:rsidRDefault="00C15F2E" w:rsidP="00053198">
            <w:pPr>
              <w:jc w:val="right"/>
              <w:rPr>
                <w:rFonts w:cs="Calibri"/>
                <w:sz w:val="16"/>
                <w:szCs w:val="16"/>
              </w:rPr>
            </w:pPr>
            <w:r w:rsidRPr="00D96063">
              <w:rPr>
                <w:rFonts w:cs="Calibri"/>
                <w:sz w:val="16"/>
                <w:szCs w:val="16"/>
              </w:rPr>
              <w:t>4.0</w:t>
            </w:r>
          </w:p>
        </w:tc>
        <w:tc>
          <w:tcPr>
            <w:tcW w:w="493" w:type="pct"/>
            <w:noWrap/>
            <w:hideMark/>
          </w:tcPr>
          <w:p w14:paraId="04EC3824" w14:textId="77777777" w:rsidR="00C15F2E" w:rsidRPr="00D96063" w:rsidRDefault="00C15F2E" w:rsidP="00053198">
            <w:pPr>
              <w:jc w:val="right"/>
              <w:rPr>
                <w:rFonts w:cs="Calibri"/>
                <w:sz w:val="16"/>
                <w:szCs w:val="16"/>
              </w:rPr>
            </w:pPr>
            <w:r w:rsidRPr="00D96063">
              <w:rPr>
                <w:rFonts w:cs="Calibri"/>
                <w:sz w:val="16"/>
                <w:szCs w:val="16"/>
              </w:rPr>
              <w:t>2.9</w:t>
            </w:r>
          </w:p>
        </w:tc>
      </w:tr>
      <w:tr w:rsidR="00C15F2E" w:rsidRPr="00D96063" w14:paraId="4219CE89" w14:textId="77777777" w:rsidTr="0009597E">
        <w:trPr>
          <w:trHeight w:val="240"/>
        </w:trPr>
        <w:tc>
          <w:tcPr>
            <w:tcW w:w="145" w:type="pct"/>
            <w:tcBorders>
              <w:top w:val="nil"/>
              <w:bottom w:val="nil"/>
              <w:right w:val="nil"/>
            </w:tcBorders>
            <w:noWrap/>
            <w:hideMark/>
          </w:tcPr>
          <w:p w14:paraId="2AB8CD66" w14:textId="77777777" w:rsidR="00C15F2E" w:rsidRPr="00D96063" w:rsidRDefault="00C15F2E" w:rsidP="0009597E">
            <w:pPr>
              <w:jc w:val="left"/>
              <w:rPr>
                <w:rFonts w:cs="Calibri"/>
                <w:sz w:val="16"/>
                <w:szCs w:val="16"/>
              </w:rPr>
            </w:pPr>
            <w:r w:rsidRPr="00D96063">
              <w:rPr>
                <w:rFonts w:cs="Calibri"/>
                <w:sz w:val="16"/>
                <w:szCs w:val="16"/>
              </w:rPr>
              <w:t> </w:t>
            </w:r>
          </w:p>
        </w:tc>
        <w:tc>
          <w:tcPr>
            <w:tcW w:w="1899" w:type="pct"/>
            <w:gridSpan w:val="2"/>
            <w:tcBorders>
              <w:left w:val="nil"/>
            </w:tcBorders>
            <w:noWrap/>
            <w:hideMark/>
          </w:tcPr>
          <w:p w14:paraId="0EAC8605" w14:textId="77777777" w:rsidR="00C15F2E" w:rsidRPr="00D96063" w:rsidRDefault="00C15F2E" w:rsidP="0009597E">
            <w:pPr>
              <w:jc w:val="left"/>
              <w:rPr>
                <w:rFonts w:cs="Calibri"/>
                <w:sz w:val="16"/>
                <w:szCs w:val="16"/>
              </w:rPr>
            </w:pPr>
            <w:r w:rsidRPr="00D96063">
              <w:rPr>
                <w:rFonts w:cs="Calibri"/>
                <w:sz w:val="16"/>
                <w:szCs w:val="16"/>
              </w:rPr>
              <w:t>08 Edible fruit and nuts</w:t>
            </w:r>
          </w:p>
        </w:tc>
        <w:tc>
          <w:tcPr>
            <w:tcW w:w="492" w:type="pct"/>
            <w:noWrap/>
            <w:hideMark/>
          </w:tcPr>
          <w:p w14:paraId="0B9E17A1" w14:textId="77777777" w:rsidR="00C15F2E" w:rsidRPr="00D96063" w:rsidRDefault="00C15F2E" w:rsidP="00053198">
            <w:pPr>
              <w:jc w:val="right"/>
              <w:rPr>
                <w:rFonts w:cs="Calibri"/>
                <w:sz w:val="16"/>
                <w:szCs w:val="16"/>
              </w:rPr>
            </w:pPr>
            <w:r w:rsidRPr="00D96063">
              <w:rPr>
                <w:rFonts w:cs="Calibri"/>
                <w:sz w:val="16"/>
                <w:szCs w:val="16"/>
              </w:rPr>
              <w:t>1.3</w:t>
            </w:r>
          </w:p>
        </w:tc>
        <w:tc>
          <w:tcPr>
            <w:tcW w:w="493" w:type="pct"/>
            <w:noWrap/>
            <w:hideMark/>
          </w:tcPr>
          <w:p w14:paraId="4AFD3C9A" w14:textId="77777777" w:rsidR="00C15F2E" w:rsidRPr="00D96063" w:rsidRDefault="00C15F2E" w:rsidP="00053198">
            <w:pPr>
              <w:jc w:val="right"/>
              <w:rPr>
                <w:rFonts w:cs="Calibri"/>
                <w:sz w:val="16"/>
                <w:szCs w:val="16"/>
              </w:rPr>
            </w:pPr>
            <w:r w:rsidRPr="00D96063">
              <w:rPr>
                <w:rFonts w:cs="Calibri"/>
                <w:sz w:val="16"/>
                <w:szCs w:val="16"/>
              </w:rPr>
              <w:t>3.7</w:t>
            </w:r>
          </w:p>
        </w:tc>
        <w:tc>
          <w:tcPr>
            <w:tcW w:w="493" w:type="pct"/>
            <w:noWrap/>
            <w:hideMark/>
          </w:tcPr>
          <w:p w14:paraId="700AB3DD" w14:textId="77777777" w:rsidR="00C15F2E" w:rsidRPr="00D96063" w:rsidRDefault="00C15F2E" w:rsidP="00053198">
            <w:pPr>
              <w:jc w:val="right"/>
              <w:rPr>
                <w:rFonts w:cs="Calibri"/>
                <w:sz w:val="16"/>
                <w:szCs w:val="16"/>
              </w:rPr>
            </w:pPr>
            <w:r w:rsidRPr="00D96063">
              <w:rPr>
                <w:rFonts w:cs="Calibri"/>
                <w:sz w:val="16"/>
                <w:szCs w:val="16"/>
              </w:rPr>
              <w:t>9.3</w:t>
            </w:r>
          </w:p>
        </w:tc>
        <w:tc>
          <w:tcPr>
            <w:tcW w:w="492" w:type="pct"/>
            <w:noWrap/>
            <w:hideMark/>
          </w:tcPr>
          <w:p w14:paraId="65A30FE8" w14:textId="77777777" w:rsidR="00C15F2E" w:rsidRPr="00D96063" w:rsidRDefault="00C15F2E" w:rsidP="00053198">
            <w:pPr>
              <w:jc w:val="right"/>
              <w:rPr>
                <w:rFonts w:cs="Calibri"/>
                <w:sz w:val="16"/>
                <w:szCs w:val="16"/>
              </w:rPr>
            </w:pPr>
            <w:r w:rsidRPr="00D96063">
              <w:rPr>
                <w:rFonts w:cs="Calibri"/>
                <w:sz w:val="16"/>
                <w:szCs w:val="16"/>
              </w:rPr>
              <w:t>2.9</w:t>
            </w:r>
          </w:p>
        </w:tc>
        <w:tc>
          <w:tcPr>
            <w:tcW w:w="493" w:type="pct"/>
            <w:noWrap/>
            <w:hideMark/>
          </w:tcPr>
          <w:p w14:paraId="3BA62367" w14:textId="77777777" w:rsidR="00C15F2E" w:rsidRPr="00D96063" w:rsidRDefault="00C15F2E" w:rsidP="00053198">
            <w:pPr>
              <w:jc w:val="right"/>
              <w:rPr>
                <w:rFonts w:cs="Calibri"/>
                <w:sz w:val="16"/>
                <w:szCs w:val="16"/>
              </w:rPr>
            </w:pPr>
            <w:r w:rsidRPr="00D96063">
              <w:rPr>
                <w:rFonts w:cs="Calibri"/>
                <w:sz w:val="16"/>
                <w:szCs w:val="16"/>
              </w:rPr>
              <w:t>3.5</w:t>
            </w:r>
          </w:p>
        </w:tc>
        <w:tc>
          <w:tcPr>
            <w:tcW w:w="493" w:type="pct"/>
            <w:noWrap/>
            <w:hideMark/>
          </w:tcPr>
          <w:p w14:paraId="6FA90460" w14:textId="77777777" w:rsidR="00C15F2E" w:rsidRPr="00D96063" w:rsidRDefault="00C15F2E" w:rsidP="00053198">
            <w:pPr>
              <w:jc w:val="right"/>
              <w:rPr>
                <w:rFonts w:cs="Calibri"/>
                <w:sz w:val="16"/>
                <w:szCs w:val="16"/>
              </w:rPr>
            </w:pPr>
            <w:r w:rsidRPr="00D96063">
              <w:rPr>
                <w:rFonts w:cs="Calibri"/>
                <w:sz w:val="16"/>
                <w:szCs w:val="16"/>
              </w:rPr>
              <w:t>2.2</w:t>
            </w:r>
          </w:p>
        </w:tc>
      </w:tr>
      <w:tr w:rsidR="00C15F2E" w:rsidRPr="00D96063" w14:paraId="7801E060"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73153AC1" w14:textId="77777777" w:rsidR="00C15F2E" w:rsidRPr="00D96063" w:rsidRDefault="00C15F2E" w:rsidP="0009597E">
            <w:pPr>
              <w:jc w:val="left"/>
              <w:rPr>
                <w:rFonts w:cs="Calibri"/>
                <w:sz w:val="16"/>
                <w:szCs w:val="16"/>
              </w:rPr>
            </w:pPr>
            <w:r w:rsidRPr="00D96063">
              <w:rPr>
                <w:rFonts w:cs="Calibri"/>
                <w:sz w:val="16"/>
                <w:szCs w:val="16"/>
              </w:rPr>
              <w:t>03 Fats and oils</w:t>
            </w:r>
          </w:p>
        </w:tc>
        <w:tc>
          <w:tcPr>
            <w:tcW w:w="492" w:type="pct"/>
            <w:noWrap/>
            <w:hideMark/>
          </w:tcPr>
          <w:p w14:paraId="107BE7EA" w14:textId="77777777" w:rsidR="00C15F2E" w:rsidRPr="00D96063" w:rsidRDefault="00C15F2E" w:rsidP="00053198">
            <w:pPr>
              <w:jc w:val="right"/>
              <w:rPr>
                <w:rFonts w:cs="Calibri"/>
                <w:sz w:val="16"/>
                <w:szCs w:val="16"/>
              </w:rPr>
            </w:pPr>
            <w:r w:rsidRPr="00D96063">
              <w:rPr>
                <w:rFonts w:cs="Calibri"/>
                <w:sz w:val="16"/>
                <w:szCs w:val="16"/>
              </w:rPr>
              <w:t>1.6</w:t>
            </w:r>
          </w:p>
        </w:tc>
        <w:tc>
          <w:tcPr>
            <w:tcW w:w="493" w:type="pct"/>
            <w:noWrap/>
            <w:hideMark/>
          </w:tcPr>
          <w:p w14:paraId="7C7CC1C3" w14:textId="77777777" w:rsidR="00C15F2E" w:rsidRPr="00D96063" w:rsidRDefault="00C15F2E" w:rsidP="00053198">
            <w:pPr>
              <w:jc w:val="right"/>
              <w:rPr>
                <w:rFonts w:cs="Calibri"/>
                <w:sz w:val="16"/>
                <w:szCs w:val="16"/>
              </w:rPr>
            </w:pPr>
            <w:r w:rsidRPr="00D96063">
              <w:rPr>
                <w:rFonts w:cs="Calibri"/>
                <w:sz w:val="16"/>
                <w:szCs w:val="16"/>
              </w:rPr>
              <w:t>1.5</w:t>
            </w:r>
          </w:p>
        </w:tc>
        <w:tc>
          <w:tcPr>
            <w:tcW w:w="493" w:type="pct"/>
            <w:noWrap/>
            <w:hideMark/>
          </w:tcPr>
          <w:p w14:paraId="59225A29" w14:textId="77777777" w:rsidR="00C15F2E" w:rsidRPr="00D96063" w:rsidRDefault="00C15F2E" w:rsidP="00053198">
            <w:pPr>
              <w:jc w:val="right"/>
              <w:rPr>
                <w:rFonts w:cs="Calibri"/>
                <w:sz w:val="16"/>
                <w:szCs w:val="16"/>
              </w:rPr>
            </w:pPr>
            <w:r w:rsidRPr="00D96063">
              <w:rPr>
                <w:rFonts w:cs="Calibri"/>
                <w:sz w:val="16"/>
                <w:szCs w:val="16"/>
              </w:rPr>
              <w:t>1.1</w:t>
            </w:r>
          </w:p>
        </w:tc>
        <w:tc>
          <w:tcPr>
            <w:tcW w:w="492" w:type="pct"/>
            <w:noWrap/>
            <w:hideMark/>
          </w:tcPr>
          <w:p w14:paraId="15E9CEB5" w14:textId="77777777" w:rsidR="00C15F2E" w:rsidRPr="00D96063" w:rsidRDefault="00C15F2E" w:rsidP="00053198">
            <w:pPr>
              <w:jc w:val="right"/>
              <w:rPr>
                <w:rFonts w:cs="Calibri"/>
                <w:sz w:val="16"/>
                <w:szCs w:val="16"/>
              </w:rPr>
            </w:pPr>
            <w:r w:rsidRPr="00D96063">
              <w:rPr>
                <w:rFonts w:cs="Calibri"/>
                <w:sz w:val="16"/>
                <w:szCs w:val="16"/>
              </w:rPr>
              <w:t>1.3</w:t>
            </w:r>
          </w:p>
        </w:tc>
        <w:tc>
          <w:tcPr>
            <w:tcW w:w="493" w:type="pct"/>
            <w:noWrap/>
            <w:hideMark/>
          </w:tcPr>
          <w:p w14:paraId="45ABBA3D" w14:textId="77777777" w:rsidR="00C15F2E" w:rsidRPr="00D96063" w:rsidRDefault="00C15F2E" w:rsidP="00053198">
            <w:pPr>
              <w:jc w:val="right"/>
              <w:rPr>
                <w:rFonts w:cs="Calibri"/>
                <w:sz w:val="16"/>
                <w:szCs w:val="16"/>
              </w:rPr>
            </w:pPr>
            <w:r w:rsidRPr="00D96063">
              <w:rPr>
                <w:rFonts w:cs="Calibri"/>
                <w:sz w:val="16"/>
                <w:szCs w:val="16"/>
              </w:rPr>
              <w:t>1.0</w:t>
            </w:r>
          </w:p>
        </w:tc>
        <w:tc>
          <w:tcPr>
            <w:tcW w:w="493" w:type="pct"/>
            <w:noWrap/>
            <w:hideMark/>
          </w:tcPr>
          <w:p w14:paraId="681490BF" w14:textId="77777777" w:rsidR="00C15F2E" w:rsidRPr="00D96063" w:rsidRDefault="00C15F2E" w:rsidP="00053198">
            <w:pPr>
              <w:jc w:val="right"/>
              <w:rPr>
                <w:rFonts w:cs="Calibri"/>
                <w:sz w:val="16"/>
                <w:szCs w:val="16"/>
              </w:rPr>
            </w:pPr>
            <w:r w:rsidRPr="00D96063">
              <w:rPr>
                <w:rFonts w:cs="Calibri"/>
                <w:sz w:val="16"/>
                <w:szCs w:val="16"/>
              </w:rPr>
              <w:t>1.1</w:t>
            </w:r>
          </w:p>
        </w:tc>
      </w:tr>
      <w:tr w:rsidR="00C15F2E" w:rsidRPr="00D96063" w14:paraId="7E000E61" w14:textId="77777777" w:rsidTr="00053198">
        <w:trPr>
          <w:trHeight w:val="240"/>
        </w:trPr>
        <w:tc>
          <w:tcPr>
            <w:tcW w:w="2044" w:type="pct"/>
            <w:gridSpan w:val="3"/>
            <w:noWrap/>
            <w:hideMark/>
          </w:tcPr>
          <w:p w14:paraId="7B09BFC7" w14:textId="77777777" w:rsidR="00C15F2E" w:rsidRPr="00D96063" w:rsidRDefault="00C15F2E" w:rsidP="0009597E">
            <w:pPr>
              <w:jc w:val="left"/>
              <w:rPr>
                <w:rFonts w:cs="Calibri"/>
                <w:sz w:val="16"/>
                <w:szCs w:val="16"/>
              </w:rPr>
            </w:pPr>
            <w:r w:rsidRPr="00D96063">
              <w:rPr>
                <w:rFonts w:cs="Calibri"/>
                <w:sz w:val="16"/>
                <w:szCs w:val="16"/>
              </w:rPr>
              <w:t>04 Prepared food, beverages and tobacco</w:t>
            </w:r>
          </w:p>
        </w:tc>
        <w:tc>
          <w:tcPr>
            <w:tcW w:w="492" w:type="pct"/>
            <w:noWrap/>
            <w:hideMark/>
          </w:tcPr>
          <w:p w14:paraId="400F2DB4" w14:textId="77777777" w:rsidR="00C15F2E" w:rsidRPr="00D96063" w:rsidRDefault="00C15F2E" w:rsidP="00053198">
            <w:pPr>
              <w:jc w:val="right"/>
              <w:rPr>
                <w:rFonts w:cs="Calibri"/>
                <w:sz w:val="16"/>
                <w:szCs w:val="16"/>
              </w:rPr>
            </w:pPr>
            <w:r w:rsidRPr="00D96063">
              <w:rPr>
                <w:rFonts w:cs="Calibri"/>
                <w:sz w:val="16"/>
                <w:szCs w:val="16"/>
              </w:rPr>
              <w:t>20.3</w:t>
            </w:r>
          </w:p>
        </w:tc>
        <w:tc>
          <w:tcPr>
            <w:tcW w:w="493" w:type="pct"/>
            <w:noWrap/>
            <w:hideMark/>
          </w:tcPr>
          <w:p w14:paraId="21592856" w14:textId="77777777" w:rsidR="00C15F2E" w:rsidRPr="00D96063" w:rsidRDefault="00C15F2E" w:rsidP="00053198">
            <w:pPr>
              <w:jc w:val="right"/>
              <w:rPr>
                <w:rFonts w:cs="Calibri"/>
                <w:sz w:val="16"/>
                <w:szCs w:val="16"/>
              </w:rPr>
            </w:pPr>
            <w:r w:rsidRPr="00D96063">
              <w:rPr>
                <w:rFonts w:cs="Calibri"/>
                <w:sz w:val="16"/>
                <w:szCs w:val="16"/>
              </w:rPr>
              <w:t>28.7</w:t>
            </w:r>
          </w:p>
        </w:tc>
        <w:tc>
          <w:tcPr>
            <w:tcW w:w="493" w:type="pct"/>
            <w:noWrap/>
            <w:hideMark/>
          </w:tcPr>
          <w:p w14:paraId="746D2BD4" w14:textId="77777777" w:rsidR="00C15F2E" w:rsidRPr="00D96063" w:rsidRDefault="00C15F2E" w:rsidP="00053198">
            <w:pPr>
              <w:jc w:val="right"/>
              <w:rPr>
                <w:rFonts w:cs="Calibri"/>
                <w:sz w:val="16"/>
                <w:szCs w:val="16"/>
              </w:rPr>
            </w:pPr>
            <w:r w:rsidRPr="00D96063">
              <w:rPr>
                <w:rFonts w:cs="Calibri"/>
                <w:sz w:val="16"/>
                <w:szCs w:val="16"/>
              </w:rPr>
              <w:t>18.5</w:t>
            </w:r>
          </w:p>
        </w:tc>
        <w:tc>
          <w:tcPr>
            <w:tcW w:w="492" w:type="pct"/>
            <w:noWrap/>
            <w:hideMark/>
          </w:tcPr>
          <w:p w14:paraId="1B3753E3" w14:textId="77777777" w:rsidR="00C15F2E" w:rsidRPr="00D96063" w:rsidRDefault="00C15F2E" w:rsidP="00053198">
            <w:pPr>
              <w:jc w:val="right"/>
              <w:rPr>
                <w:rFonts w:cs="Calibri"/>
                <w:sz w:val="16"/>
                <w:szCs w:val="16"/>
              </w:rPr>
            </w:pPr>
            <w:r w:rsidRPr="00D96063">
              <w:rPr>
                <w:rFonts w:cs="Calibri"/>
                <w:sz w:val="16"/>
                <w:szCs w:val="16"/>
              </w:rPr>
              <w:t>18.7</w:t>
            </w:r>
          </w:p>
        </w:tc>
        <w:tc>
          <w:tcPr>
            <w:tcW w:w="493" w:type="pct"/>
            <w:noWrap/>
            <w:hideMark/>
          </w:tcPr>
          <w:p w14:paraId="3499E649" w14:textId="77777777" w:rsidR="00C15F2E" w:rsidRPr="00D96063" w:rsidRDefault="00C15F2E" w:rsidP="00053198">
            <w:pPr>
              <w:jc w:val="right"/>
              <w:rPr>
                <w:rFonts w:cs="Calibri"/>
                <w:sz w:val="16"/>
                <w:szCs w:val="16"/>
              </w:rPr>
            </w:pPr>
            <w:r w:rsidRPr="00D96063">
              <w:rPr>
                <w:rFonts w:cs="Calibri"/>
                <w:sz w:val="16"/>
                <w:szCs w:val="16"/>
              </w:rPr>
              <w:t>20.6</w:t>
            </w:r>
          </w:p>
        </w:tc>
        <w:tc>
          <w:tcPr>
            <w:tcW w:w="493" w:type="pct"/>
            <w:noWrap/>
            <w:hideMark/>
          </w:tcPr>
          <w:p w14:paraId="0F24488D" w14:textId="77777777" w:rsidR="00C15F2E" w:rsidRPr="00D96063" w:rsidRDefault="00C15F2E" w:rsidP="00053198">
            <w:pPr>
              <w:jc w:val="right"/>
              <w:rPr>
                <w:rFonts w:cs="Calibri"/>
                <w:sz w:val="16"/>
                <w:szCs w:val="16"/>
              </w:rPr>
            </w:pPr>
            <w:r w:rsidRPr="00D96063">
              <w:rPr>
                <w:rFonts w:cs="Calibri"/>
                <w:sz w:val="16"/>
                <w:szCs w:val="16"/>
              </w:rPr>
              <w:t>17.6</w:t>
            </w:r>
          </w:p>
        </w:tc>
      </w:tr>
      <w:tr w:rsidR="00C15F2E" w:rsidRPr="00D96063" w14:paraId="07D20B3D"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145" w:type="pct"/>
            <w:tcBorders>
              <w:top w:val="nil"/>
              <w:bottom w:val="nil"/>
              <w:right w:val="nil"/>
            </w:tcBorders>
            <w:noWrap/>
            <w:hideMark/>
          </w:tcPr>
          <w:p w14:paraId="6334922D" w14:textId="77777777" w:rsidR="00C15F2E" w:rsidRPr="00D96063" w:rsidRDefault="00C15F2E" w:rsidP="0009597E">
            <w:pPr>
              <w:jc w:val="left"/>
              <w:rPr>
                <w:rFonts w:cs="Calibri"/>
                <w:sz w:val="16"/>
                <w:szCs w:val="16"/>
              </w:rPr>
            </w:pPr>
            <w:r w:rsidRPr="00D96063">
              <w:rPr>
                <w:rFonts w:cs="Calibri"/>
                <w:sz w:val="16"/>
                <w:szCs w:val="16"/>
              </w:rPr>
              <w:t> </w:t>
            </w:r>
          </w:p>
        </w:tc>
        <w:tc>
          <w:tcPr>
            <w:tcW w:w="1899" w:type="pct"/>
            <w:gridSpan w:val="2"/>
            <w:tcBorders>
              <w:left w:val="nil"/>
            </w:tcBorders>
            <w:noWrap/>
            <w:hideMark/>
          </w:tcPr>
          <w:p w14:paraId="72D8BAC3" w14:textId="77777777" w:rsidR="00C15F2E" w:rsidRPr="00D96063" w:rsidRDefault="00C15F2E" w:rsidP="0009597E">
            <w:pPr>
              <w:jc w:val="left"/>
              <w:rPr>
                <w:rFonts w:cs="Calibri"/>
                <w:sz w:val="16"/>
                <w:szCs w:val="16"/>
              </w:rPr>
            </w:pPr>
            <w:r w:rsidRPr="00D96063">
              <w:rPr>
                <w:rFonts w:cs="Calibri"/>
                <w:sz w:val="16"/>
                <w:szCs w:val="16"/>
              </w:rPr>
              <w:t>18 Cocoa and cocoa preparations</w:t>
            </w:r>
          </w:p>
        </w:tc>
        <w:tc>
          <w:tcPr>
            <w:tcW w:w="492" w:type="pct"/>
            <w:noWrap/>
            <w:hideMark/>
          </w:tcPr>
          <w:p w14:paraId="7F81B2B0" w14:textId="77777777" w:rsidR="00C15F2E" w:rsidRPr="00D96063" w:rsidRDefault="00C15F2E" w:rsidP="00053198">
            <w:pPr>
              <w:jc w:val="right"/>
              <w:rPr>
                <w:rFonts w:cs="Calibri"/>
                <w:sz w:val="16"/>
                <w:szCs w:val="16"/>
              </w:rPr>
            </w:pPr>
            <w:r w:rsidRPr="00D96063">
              <w:rPr>
                <w:rFonts w:cs="Calibri"/>
                <w:sz w:val="16"/>
                <w:szCs w:val="16"/>
              </w:rPr>
              <w:t>18.1</w:t>
            </w:r>
          </w:p>
        </w:tc>
        <w:tc>
          <w:tcPr>
            <w:tcW w:w="493" w:type="pct"/>
            <w:noWrap/>
            <w:hideMark/>
          </w:tcPr>
          <w:p w14:paraId="2DB100DA" w14:textId="77777777" w:rsidR="00C15F2E" w:rsidRPr="00D96063" w:rsidRDefault="00C15F2E" w:rsidP="00053198">
            <w:pPr>
              <w:jc w:val="right"/>
              <w:rPr>
                <w:rFonts w:cs="Calibri"/>
                <w:sz w:val="16"/>
                <w:szCs w:val="16"/>
              </w:rPr>
            </w:pPr>
            <w:r w:rsidRPr="00D96063">
              <w:rPr>
                <w:rFonts w:cs="Calibri"/>
                <w:sz w:val="16"/>
                <w:szCs w:val="16"/>
              </w:rPr>
              <w:t>25.6</w:t>
            </w:r>
          </w:p>
        </w:tc>
        <w:tc>
          <w:tcPr>
            <w:tcW w:w="493" w:type="pct"/>
            <w:noWrap/>
            <w:hideMark/>
          </w:tcPr>
          <w:p w14:paraId="7A7A68DC" w14:textId="77777777" w:rsidR="00C15F2E" w:rsidRPr="00D96063" w:rsidRDefault="00C15F2E" w:rsidP="00053198">
            <w:pPr>
              <w:jc w:val="right"/>
              <w:rPr>
                <w:rFonts w:cs="Calibri"/>
                <w:sz w:val="16"/>
                <w:szCs w:val="16"/>
              </w:rPr>
            </w:pPr>
            <w:r w:rsidRPr="00D96063">
              <w:rPr>
                <w:rFonts w:cs="Calibri"/>
                <w:sz w:val="16"/>
                <w:szCs w:val="16"/>
              </w:rPr>
              <w:t>17.8</w:t>
            </w:r>
          </w:p>
        </w:tc>
        <w:tc>
          <w:tcPr>
            <w:tcW w:w="492" w:type="pct"/>
            <w:noWrap/>
            <w:hideMark/>
          </w:tcPr>
          <w:p w14:paraId="4515AC91" w14:textId="77777777" w:rsidR="00C15F2E" w:rsidRPr="00D96063" w:rsidRDefault="00C15F2E" w:rsidP="00053198">
            <w:pPr>
              <w:jc w:val="right"/>
              <w:rPr>
                <w:rFonts w:cs="Calibri"/>
                <w:sz w:val="16"/>
                <w:szCs w:val="16"/>
              </w:rPr>
            </w:pPr>
            <w:r w:rsidRPr="00D96063">
              <w:rPr>
                <w:rFonts w:cs="Calibri"/>
                <w:sz w:val="16"/>
                <w:szCs w:val="16"/>
              </w:rPr>
              <w:t>16.9</w:t>
            </w:r>
          </w:p>
        </w:tc>
        <w:tc>
          <w:tcPr>
            <w:tcW w:w="493" w:type="pct"/>
            <w:noWrap/>
            <w:hideMark/>
          </w:tcPr>
          <w:p w14:paraId="6B8A1F33" w14:textId="77777777" w:rsidR="00C15F2E" w:rsidRPr="00D96063" w:rsidRDefault="00C15F2E" w:rsidP="00053198">
            <w:pPr>
              <w:jc w:val="right"/>
              <w:rPr>
                <w:rFonts w:cs="Calibri"/>
                <w:sz w:val="16"/>
                <w:szCs w:val="16"/>
              </w:rPr>
            </w:pPr>
            <w:r w:rsidRPr="00D96063">
              <w:rPr>
                <w:rFonts w:cs="Calibri"/>
                <w:sz w:val="16"/>
                <w:szCs w:val="16"/>
              </w:rPr>
              <w:t>19.0</w:t>
            </w:r>
          </w:p>
        </w:tc>
        <w:tc>
          <w:tcPr>
            <w:tcW w:w="493" w:type="pct"/>
            <w:noWrap/>
            <w:hideMark/>
          </w:tcPr>
          <w:p w14:paraId="2CDBD047" w14:textId="77777777" w:rsidR="00C15F2E" w:rsidRPr="00D96063" w:rsidRDefault="00C15F2E" w:rsidP="00053198">
            <w:pPr>
              <w:jc w:val="right"/>
              <w:rPr>
                <w:rFonts w:cs="Calibri"/>
                <w:sz w:val="16"/>
                <w:szCs w:val="16"/>
              </w:rPr>
            </w:pPr>
            <w:r w:rsidRPr="00D96063">
              <w:rPr>
                <w:rFonts w:cs="Calibri"/>
                <w:sz w:val="16"/>
                <w:szCs w:val="16"/>
              </w:rPr>
              <w:t>16.2</w:t>
            </w:r>
          </w:p>
        </w:tc>
      </w:tr>
      <w:tr w:rsidR="00C15F2E" w:rsidRPr="00D96063" w14:paraId="1247CBD1" w14:textId="77777777" w:rsidTr="0009597E">
        <w:trPr>
          <w:trHeight w:val="240"/>
        </w:trPr>
        <w:tc>
          <w:tcPr>
            <w:tcW w:w="145" w:type="pct"/>
            <w:tcBorders>
              <w:top w:val="nil"/>
              <w:bottom w:val="nil"/>
              <w:right w:val="nil"/>
            </w:tcBorders>
            <w:noWrap/>
            <w:hideMark/>
          </w:tcPr>
          <w:p w14:paraId="2005D5AA" w14:textId="77777777" w:rsidR="00C15F2E" w:rsidRPr="00D96063" w:rsidRDefault="00C15F2E" w:rsidP="0009597E">
            <w:pPr>
              <w:jc w:val="left"/>
              <w:rPr>
                <w:rFonts w:cs="Calibri"/>
                <w:sz w:val="16"/>
                <w:szCs w:val="16"/>
              </w:rPr>
            </w:pPr>
            <w:r w:rsidRPr="00D96063">
              <w:rPr>
                <w:rFonts w:cs="Calibri"/>
                <w:sz w:val="16"/>
                <w:szCs w:val="16"/>
              </w:rPr>
              <w:t> </w:t>
            </w:r>
          </w:p>
        </w:tc>
        <w:tc>
          <w:tcPr>
            <w:tcW w:w="1899" w:type="pct"/>
            <w:gridSpan w:val="2"/>
            <w:tcBorders>
              <w:left w:val="nil"/>
            </w:tcBorders>
            <w:noWrap/>
            <w:hideMark/>
          </w:tcPr>
          <w:p w14:paraId="1AE29E92" w14:textId="77777777" w:rsidR="00C15F2E" w:rsidRPr="00D96063" w:rsidRDefault="00C15F2E" w:rsidP="0009597E">
            <w:pPr>
              <w:ind w:left="284" w:hanging="284"/>
              <w:jc w:val="left"/>
              <w:rPr>
                <w:rFonts w:cs="Calibri"/>
                <w:sz w:val="16"/>
                <w:szCs w:val="16"/>
              </w:rPr>
            </w:pPr>
            <w:r w:rsidRPr="00D96063">
              <w:rPr>
                <w:rFonts w:cs="Calibri"/>
                <w:sz w:val="16"/>
                <w:szCs w:val="16"/>
              </w:rPr>
              <w:tab/>
              <w:t>1801 Cocoa beans, whole or broken, raw or roasted</w:t>
            </w:r>
          </w:p>
        </w:tc>
        <w:tc>
          <w:tcPr>
            <w:tcW w:w="492" w:type="pct"/>
            <w:noWrap/>
            <w:hideMark/>
          </w:tcPr>
          <w:p w14:paraId="02EA0948" w14:textId="77777777" w:rsidR="00C15F2E" w:rsidRPr="00D96063" w:rsidRDefault="00C15F2E" w:rsidP="00053198">
            <w:pPr>
              <w:jc w:val="right"/>
              <w:rPr>
                <w:rFonts w:cs="Calibri"/>
                <w:sz w:val="16"/>
                <w:szCs w:val="16"/>
              </w:rPr>
            </w:pPr>
            <w:r w:rsidRPr="00D96063">
              <w:rPr>
                <w:rFonts w:cs="Calibri"/>
                <w:sz w:val="16"/>
                <w:szCs w:val="16"/>
              </w:rPr>
              <w:t>13.0</w:t>
            </w:r>
          </w:p>
        </w:tc>
        <w:tc>
          <w:tcPr>
            <w:tcW w:w="493" w:type="pct"/>
            <w:noWrap/>
            <w:hideMark/>
          </w:tcPr>
          <w:p w14:paraId="6772B225" w14:textId="77777777" w:rsidR="00C15F2E" w:rsidRPr="00D96063" w:rsidRDefault="00C15F2E" w:rsidP="00053198">
            <w:pPr>
              <w:jc w:val="right"/>
              <w:rPr>
                <w:rFonts w:cs="Calibri"/>
                <w:sz w:val="16"/>
                <w:szCs w:val="16"/>
              </w:rPr>
            </w:pPr>
            <w:r w:rsidRPr="00D96063">
              <w:rPr>
                <w:rFonts w:cs="Calibri"/>
                <w:sz w:val="16"/>
                <w:szCs w:val="16"/>
              </w:rPr>
              <w:t>19.8</w:t>
            </w:r>
          </w:p>
        </w:tc>
        <w:tc>
          <w:tcPr>
            <w:tcW w:w="493" w:type="pct"/>
            <w:noWrap/>
            <w:hideMark/>
          </w:tcPr>
          <w:p w14:paraId="36292EFA" w14:textId="77777777" w:rsidR="00C15F2E" w:rsidRPr="00D96063" w:rsidRDefault="00C15F2E" w:rsidP="00053198">
            <w:pPr>
              <w:jc w:val="right"/>
              <w:rPr>
                <w:rFonts w:cs="Calibri"/>
                <w:sz w:val="16"/>
                <w:szCs w:val="16"/>
              </w:rPr>
            </w:pPr>
            <w:r w:rsidRPr="00D96063">
              <w:rPr>
                <w:rFonts w:cs="Calibri"/>
                <w:sz w:val="16"/>
                <w:szCs w:val="16"/>
              </w:rPr>
              <w:t>17.7</w:t>
            </w:r>
          </w:p>
        </w:tc>
        <w:tc>
          <w:tcPr>
            <w:tcW w:w="492" w:type="pct"/>
            <w:noWrap/>
            <w:hideMark/>
          </w:tcPr>
          <w:p w14:paraId="64FC0F20" w14:textId="77777777" w:rsidR="00C15F2E" w:rsidRPr="00D96063" w:rsidRDefault="00C15F2E" w:rsidP="00053198">
            <w:pPr>
              <w:jc w:val="right"/>
              <w:rPr>
                <w:rFonts w:cs="Calibri"/>
                <w:sz w:val="16"/>
                <w:szCs w:val="16"/>
              </w:rPr>
            </w:pPr>
            <w:r w:rsidRPr="00D96063">
              <w:rPr>
                <w:rFonts w:cs="Calibri"/>
                <w:sz w:val="16"/>
                <w:szCs w:val="16"/>
              </w:rPr>
              <w:t>11.4</w:t>
            </w:r>
          </w:p>
        </w:tc>
        <w:tc>
          <w:tcPr>
            <w:tcW w:w="493" w:type="pct"/>
            <w:noWrap/>
            <w:hideMark/>
          </w:tcPr>
          <w:p w14:paraId="34DD2474" w14:textId="77777777" w:rsidR="00C15F2E" w:rsidRPr="00D96063" w:rsidRDefault="00C15F2E" w:rsidP="00053198">
            <w:pPr>
              <w:jc w:val="right"/>
              <w:rPr>
                <w:rFonts w:cs="Calibri"/>
                <w:sz w:val="16"/>
                <w:szCs w:val="16"/>
              </w:rPr>
            </w:pPr>
            <w:r w:rsidRPr="00D96063">
              <w:rPr>
                <w:rFonts w:cs="Calibri"/>
                <w:sz w:val="16"/>
                <w:szCs w:val="16"/>
              </w:rPr>
              <w:t>14.3</w:t>
            </w:r>
          </w:p>
        </w:tc>
        <w:tc>
          <w:tcPr>
            <w:tcW w:w="493" w:type="pct"/>
            <w:noWrap/>
            <w:hideMark/>
          </w:tcPr>
          <w:p w14:paraId="22CC4A36" w14:textId="77777777" w:rsidR="00C15F2E" w:rsidRPr="00D96063" w:rsidRDefault="00C15F2E" w:rsidP="00053198">
            <w:pPr>
              <w:jc w:val="right"/>
              <w:rPr>
                <w:rFonts w:cs="Calibri"/>
                <w:sz w:val="16"/>
                <w:szCs w:val="16"/>
              </w:rPr>
            </w:pPr>
            <w:r w:rsidRPr="00D96063">
              <w:rPr>
                <w:rFonts w:cs="Calibri"/>
                <w:sz w:val="16"/>
                <w:szCs w:val="16"/>
              </w:rPr>
              <w:t>11.0</w:t>
            </w:r>
          </w:p>
        </w:tc>
      </w:tr>
      <w:tr w:rsidR="00C15F2E" w:rsidRPr="00D96063" w14:paraId="31F19450"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145" w:type="pct"/>
            <w:tcBorders>
              <w:top w:val="nil"/>
              <w:bottom w:val="nil"/>
              <w:right w:val="nil"/>
            </w:tcBorders>
            <w:noWrap/>
            <w:hideMark/>
          </w:tcPr>
          <w:p w14:paraId="6762CE5D" w14:textId="77777777" w:rsidR="00C15F2E" w:rsidRPr="00D96063" w:rsidRDefault="00C15F2E" w:rsidP="0009597E">
            <w:pPr>
              <w:jc w:val="left"/>
              <w:rPr>
                <w:rFonts w:cs="Calibri"/>
                <w:sz w:val="16"/>
                <w:szCs w:val="16"/>
              </w:rPr>
            </w:pPr>
            <w:r w:rsidRPr="00D96063">
              <w:rPr>
                <w:rFonts w:cs="Calibri"/>
                <w:sz w:val="16"/>
                <w:szCs w:val="16"/>
              </w:rPr>
              <w:t> </w:t>
            </w:r>
          </w:p>
        </w:tc>
        <w:tc>
          <w:tcPr>
            <w:tcW w:w="1899" w:type="pct"/>
            <w:gridSpan w:val="2"/>
            <w:tcBorders>
              <w:left w:val="nil"/>
            </w:tcBorders>
            <w:noWrap/>
            <w:hideMark/>
          </w:tcPr>
          <w:p w14:paraId="5493C3E3" w14:textId="77777777" w:rsidR="00C15F2E" w:rsidRPr="00D96063" w:rsidRDefault="00C15F2E" w:rsidP="0009597E">
            <w:pPr>
              <w:ind w:left="284" w:hanging="284"/>
              <w:jc w:val="left"/>
              <w:rPr>
                <w:rFonts w:cs="Calibri"/>
                <w:sz w:val="16"/>
                <w:szCs w:val="16"/>
              </w:rPr>
            </w:pPr>
            <w:r w:rsidRPr="00D96063">
              <w:rPr>
                <w:rFonts w:cs="Calibri"/>
                <w:sz w:val="16"/>
                <w:szCs w:val="16"/>
              </w:rPr>
              <w:tab/>
              <w:t>1803 Cocoa paste, whether or not defatted</w:t>
            </w:r>
          </w:p>
        </w:tc>
        <w:tc>
          <w:tcPr>
            <w:tcW w:w="492" w:type="pct"/>
            <w:noWrap/>
            <w:hideMark/>
          </w:tcPr>
          <w:p w14:paraId="43CED034" w14:textId="77777777" w:rsidR="00C15F2E" w:rsidRPr="00D96063" w:rsidRDefault="00C15F2E" w:rsidP="00053198">
            <w:pPr>
              <w:jc w:val="right"/>
              <w:rPr>
                <w:rFonts w:cs="Calibri"/>
                <w:sz w:val="16"/>
                <w:szCs w:val="16"/>
              </w:rPr>
            </w:pPr>
            <w:r w:rsidRPr="00D96063">
              <w:rPr>
                <w:rFonts w:cs="Calibri"/>
                <w:sz w:val="16"/>
                <w:szCs w:val="16"/>
              </w:rPr>
              <w:t>3.1</w:t>
            </w:r>
          </w:p>
        </w:tc>
        <w:tc>
          <w:tcPr>
            <w:tcW w:w="493" w:type="pct"/>
            <w:noWrap/>
            <w:hideMark/>
          </w:tcPr>
          <w:p w14:paraId="70163494" w14:textId="77777777" w:rsidR="00C15F2E" w:rsidRPr="00D96063" w:rsidRDefault="00C15F2E" w:rsidP="00053198">
            <w:pPr>
              <w:jc w:val="right"/>
              <w:rPr>
                <w:rFonts w:cs="Calibri"/>
                <w:sz w:val="16"/>
                <w:szCs w:val="16"/>
              </w:rPr>
            </w:pPr>
            <w:r w:rsidRPr="00D96063">
              <w:rPr>
                <w:rFonts w:cs="Calibri"/>
                <w:sz w:val="16"/>
                <w:szCs w:val="16"/>
              </w:rPr>
              <w:t>3.4</w:t>
            </w:r>
          </w:p>
        </w:tc>
        <w:tc>
          <w:tcPr>
            <w:tcW w:w="493" w:type="pct"/>
            <w:noWrap/>
            <w:hideMark/>
          </w:tcPr>
          <w:p w14:paraId="1EEBFBDE" w14:textId="77777777" w:rsidR="00C15F2E" w:rsidRPr="00D96063" w:rsidRDefault="00C15F2E" w:rsidP="00053198">
            <w:pPr>
              <w:jc w:val="right"/>
              <w:rPr>
                <w:rFonts w:cs="Calibri"/>
                <w:sz w:val="16"/>
                <w:szCs w:val="16"/>
              </w:rPr>
            </w:pPr>
            <w:r w:rsidRPr="00D96063">
              <w:rPr>
                <w:rFonts w:cs="Calibri"/>
                <w:sz w:val="16"/>
                <w:szCs w:val="16"/>
              </w:rPr>
              <w:t>0.0</w:t>
            </w:r>
          </w:p>
        </w:tc>
        <w:tc>
          <w:tcPr>
            <w:tcW w:w="492" w:type="pct"/>
            <w:noWrap/>
            <w:hideMark/>
          </w:tcPr>
          <w:p w14:paraId="5E2A2EEA" w14:textId="77777777" w:rsidR="00C15F2E" w:rsidRPr="00D96063" w:rsidRDefault="00C15F2E" w:rsidP="00053198">
            <w:pPr>
              <w:jc w:val="right"/>
              <w:rPr>
                <w:rFonts w:cs="Calibri"/>
                <w:sz w:val="16"/>
                <w:szCs w:val="16"/>
              </w:rPr>
            </w:pPr>
            <w:r w:rsidRPr="00D96063">
              <w:rPr>
                <w:rFonts w:cs="Calibri"/>
                <w:sz w:val="16"/>
                <w:szCs w:val="16"/>
              </w:rPr>
              <w:t>2.8</w:t>
            </w:r>
          </w:p>
        </w:tc>
        <w:tc>
          <w:tcPr>
            <w:tcW w:w="493" w:type="pct"/>
            <w:noWrap/>
            <w:hideMark/>
          </w:tcPr>
          <w:p w14:paraId="1356BADA" w14:textId="77777777" w:rsidR="00C15F2E" w:rsidRPr="00D96063" w:rsidRDefault="00C15F2E" w:rsidP="00053198">
            <w:pPr>
              <w:jc w:val="right"/>
              <w:rPr>
                <w:rFonts w:cs="Calibri"/>
                <w:sz w:val="16"/>
                <w:szCs w:val="16"/>
              </w:rPr>
            </w:pPr>
            <w:r w:rsidRPr="00D96063">
              <w:rPr>
                <w:rFonts w:cs="Calibri"/>
                <w:sz w:val="16"/>
                <w:szCs w:val="16"/>
              </w:rPr>
              <w:t>2.3</w:t>
            </w:r>
          </w:p>
        </w:tc>
        <w:tc>
          <w:tcPr>
            <w:tcW w:w="493" w:type="pct"/>
            <w:noWrap/>
            <w:hideMark/>
          </w:tcPr>
          <w:p w14:paraId="014AE9A2" w14:textId="77777777" w:rsidR="00C15F2E" w:rsidRPr="00D96063" w:rsidRDefault="00C15F2E" w:rsidP="00053198">
            <w:pPr>
              <w:jc w:val="right"/>
              <w:rPr>
                <w:rFonts w:cs="Calibri"/>
                <w:sz w:val="16"/>
                <w:szCs w:val="16"/>
              </w:rPr>
            </w:pPr>
            <w:r w:rsidRPr="00D96063">
              <w:rPr>
                <w:rFonts w:cs="Calibri"/>
                <w:sz w:val="16"/>
                <w:szCs w:val="16"/>
              </w:rPr>
              <w:t>2.4</w:t>
            </w:r>
          </w:p>
        </w:tc>
      </w:tr>
      <w:tr w:rsidR="00C15F2E" w:rsidRPr="00D96063" w14:paraId="414F3230" w14:textId="77777777" w:rsidTr="0009597E">
        <w:trPr>
          <w:trHeight w:val="240"/>
        </w:trPr>
        <w:tc>
          <w:tcPr>
            <w:tcW w:w="145" w:type="pct"/>
            <w:tcBorders>
              <w:top w:val="nil"/>
              <w:bottom w:val="nil"/>
              <w:right w:val="nil"/>
            </w:tcBorders>
            <w:noWrap/>
            <w:hideMark/>
          </w:tcPr>
          <w:p w14:paraId="1BD39E34" w14:textId="77777777" w:rsidR="00C15F2E" w:rsidRPr="00D96063" w:rsidRDefault="00C15F2E" w:rsidP="0009597E">
            <w:pPr>
              <w:jc w:val="left"/>
              <w:rPr>
                <w:rFonts w:cs="Calibri"/>
                <w:sz w:val="16"/>
                <w:szCs w:val="16"/>
              </w:rPr>
            </w:pPr>
            <w:r w:rsidRPr="00D96063">
              <w:rPr>
                <w:rFonts w:cs="Calibri"/>
                <w:sz w:val="16"/>
                <w:szCs w:val="16"/>
              </w:rPr>
              <w:t> </w:t>
            </w:r>
          </w:p>
        </w:tc>
        <w:tc>
          <w:tcPr>
            <w:tcW w:w="1899" w:type="pct"/>
            <w:gridSpan w:val="2"/>
            <w:tcBorders>
              <w:left w:val="nil"/>
            </w:tcBorders>
            <w:noWrap/>
            <w:hideMark/>
          </w:tcPr>
          <w:p w14:paraId="2068E767" w14:textId="77777777" w:rsidR="00C15F2E" w:rsidRPr="00D96063" w:rsidRDefault="00C15F2E" w:rsidP="0009597E">
            <w:pPr>
              <w:ind w:left="284" w:hanging="284"/>
              <w:jc w:val="left"/>
              <w:rPr>
                <w:rFonts w:cs="Calibri"/>
                <w:sz w:val="16"/>
                <w:szCs w:val="16"/>
              </w:rPr>
            </w:pPr>
            <w:r w:rsidRPr="00D96063">
              <w:rPr>
                <w:rFonts w:cs="Calibri"/>
                <w:sz w:val="16"/>
                <w:szCs w:val="16"/>
              </w:rPr>
              <w:tab/>
              <w:t>1804 Cocoa butter, fat and oil</w:t>
            </w:r>
          </w:p>
        </w:tc>
        <w:tc>
          <w:tcPr>
            <w:tcW w:w="492" w:type="pct"/>
            <w:noWrap/>
            <w:hideMark/>
          </w:tcPr>
          <w:p w14:paraId="73822694" w14:textId="77777777" w:rsidR="00C15F2E" w:rsidRPr="00D96063" w:rsidRDefault="00C15F2E" w:rsidP="00053198">
            <w:pPr>
              <w:jc w:val="right"/>
              <w:rPr>
                <w:rFonts w:cs="Calibri"/>
                <w:sz w:val="16"/>
                <w:szCs w:val="16"/>
              </w:rPr>
            </w:pPr>
            <w:r w:rsidRPr="00D96063">
              <w:rPr>
                <w:rFonts w:cs="Calibri"/>
                <w:sz w:val="16"/>
                <w:szCs w:val="16"/>
              </w:rPr>
              <w:t>1.4</w:t>
            </w:r>
          </w:p>
        </w:tc>
        <w:tc>
          <w:tcPr>
            <w:tcW w:w="493" w:type="pct"/>
            <w:noWrap/>
            <w:hideMark/>
          </w:tcPr>
          <w:p w14:paraId="630F0140" w14:textId="77777777" w:rsidR="00C15F2E" w:rsidRPr="00D96063" w:rsidRDefault="00C15F2E" w:rsidP="00053198">
            <w:pPr>
              <w:jc w:val="right"/>
              <w:rPr>
                <w:rFonts w:cs="Calibri"/>
                <w:sz w:val="16"/>
                <w:szCs w:val="16"/>
              </w:rPr>
            </w:pPr>
            <w:r w:rsidRPr="00D96063">
              <w:rPr>
                <w:rFonts w:cs="Calibri"/>
                <w:sz w:val="16"/>
                <w:szCs w:val="16"/>
              </w:rPr>
              <w:t>1.6</w:t>
            </w:r>
          </w:p>
        </w:tc>
        <w:tc>
          <w:tcPr>
            <w:tcW w:w="493" w:type="pct"/>
            <w:noWrap/>
            <w:hideMark/>
          </w:tcPr>
          <w:p w14:paraId="51AFD1AF" w14:textId="77777777" w:rsidR="00C15F2E" w:rsidRPr="00D96063" w:rsidRDefault="00C15F2E" w:rsidP="00053198">
            <w:pPr>
              <w:jc w:val="right"/>
              <w:rPr>
                <w:rFonts w:cs="Calibri"/>
                <w:sz w:val="16"/>
                <w:szCs w:val="16"/>
              </w:rPr>
            </w:pPr>
            <w:r w:rsidRPr="00D96063">
              <w:rPr>
                <w:rFonts w:cs="Calibri"/>
                <w:sz w:val="16"/>
                <w:szCs w:val="16"/>
              </w:rPr>
              <w:t>0.0</w:t>
            </w:r>
          </w:p>
        </w:tc>
        <w:tc>
          <w:tcPr>
            <w:tcW w:w="492" w:type="pct"/>
            <w:noWrap/>
            <w:hideMark/>
          </w:tcPr>
          <w:p w14:paraId="610C13D1" w14:textId="77777777" w:rsidR="00C15F2E" w:rsidRPr="00D96063" w:rsidRDefault="00C15F2E" w:rsidP="00053198">
            <w:pPr>
              <w:jc w:val="right"/>
              <w:rPr>
                <w:rFonts w:cs="Calibri"/>
                <w:sz w:val="16"/>
                <w:szCs w:val="16"/>
              </w:rPr>
            </w:pPr>
            <w:r w:rsidRPr="00D96063">
              <w:rPr>
                <w:rFonts w:cs="Calibri"/>
                <w:sz w:val="16"/>
                <w:szCs w:val="16"/>
              </w:rPr>
              <w:t>1.9</w:t>
            </w:r>
          </w:p>
        </w:tc>
        <w:tc>
          <w:tcPr>
            <w:tcW w:w="493" w:type="pct"/>
            <w:noWrap/>
            <w:hideMark/>
          </w:tcPr>
          <w:p w14:paraId="276132B0" w14:textId="77777777" w:rsidR="00C15F2E" w:rsidRPr="00D96063" w:rsidRDefault="00C15F2E" w:rsidP="00053198">
            <w:pPr>
              <w:jc w:val="right"/>
              <w:rPr>
                <w:rFonts w:cs="Calibri"/>
                <w:sz w:val="16"/>
                <w:szCs w:val="16"/>
              </w:rPr>
            </w:pPr>
            <w:r w:rsidRPr="00D96063">
              <w:rPr>
                <w:rFonts w:cs="Calibri"/>
                <w:sz w:val="16"/>
                <w:szCs w:val="16"/>
              </w:rPr>
              <w:t>1.7</w:t>
            </w:r>
          </w:p>
        </w:tc>
        <w:tc>
          <w:tcPr>
            <w:tcW w:w="493" w:type="pct"/>
            <w:noWrap/>
            <w:hideMark/>
          </w:tcPr>
          <w:p w14:paraId="56E243C8" w14:textId="77777777" w:rsidR="00C15F2E" w:rsidRPr="00D96063" w:rsidRDefault="00C15F2E" w:rsidP="00053198">
            <w:pPr>
              <w:jc w:val="right"/>
              <w:rPr>
                <w:rFonts w:cs="Calibri"/>
                <w:sz w:val="16"/>
                <w:szCs w:val="16"/>
              </w:rPr>
            </w:pPr>
            <w:r w:rsidRPr="00D96063">
              <w:rPr>
                <w:rFonts w:cs="Calibri"/>
                <w:sz w:val="16"/>
                <w:szCs w:val="16"/>
              </w:rPr>
              <w:t>2.0</w:t>
            </w:r>
          </w:p>
        </w:tc>
      </w:tr>
      <w:tr w:rsidR="00C15F2E" w:rsidRPr="00D96063" w14:paraId="241625D8"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16452FCF" w14:textId="77777777" w:rsidR="00C15F2E" w:rsidRPr="00D96063" w:rsidRDefault="00C15F2E" w:rsidP="0009597E">
            <w:pPr>
              <w:jc w:val="left"/>
              <w:rPr>
                <w:rFonts w:cs="Calibri"/>
                <w:sz w:val="16"/>
                <w:szCs w:val="16"/>
              </w:rPr>
            </w:pPr>
            <w:r w:rsidRPr="00D96063">
              <w:rPr>
                <w:rFonts w:cs="Calibri"/>
                <w:sz w:val="16"/>
                <w:szCs w:val="16"/>
              </w:rPr>
              <w:t>05 Mineral products</w:t>
            </w:r>
          </w:p>
        </w:tc>
        <w:tc>
          <w:tcPr>
            <w:tcW w:w="492" w:type="pct"/>
            <w:noWrap/>
            <w:hideMark/>
          </w:tcPr>
          <w:p w14:paraId="7747DFE7" w14:textId="77777777" w:rsidR="00C15F2E" w:rsidRPr="00D96063" w:rsidRDefault="00C15F2E" w:rsidP="00053198">
            <w:pPr>
              <w:jc w:val="right"/>
              <w:rPr>
                <w:rFonts w:cs="Calibri"/>
                <w:sz w:val="16"/>
                <w:szCs w:val="16"/>
              </w:rPr>
            </w:pPr>
            <w:r w:rsidRPr="00D96063">
              <w:rPr>
                <w:rFonts w:cs="Calibri"/>
                <w:sz w:val="16"/>
                <w:szCs w:val="16"/>
              </w:rPr>
              <w:t>31.0</w:t>
            </w:r>
          </w:p>
        </w:tc>
        <w:tc>
          <w:tcPr>
            <w:tcW w:w="493" w:type="pct"/>
            <w:noWrap/>
            <w:hideMark/>
          </w:tcPr>
          <w:p w14:paraId="1B659A9B" w14:textId="77777777" w:rsidR="00C15F2E" w:rsidRPr="00D96063" w:rsidRDefault="00C15F2E" w:rsidP="00053198">
            <w:pPr>
              <w:jc w:val="right"/>
              <w:rPr>
                <w:rFonts w:cs="Calibri"/>
                <w:sz w:val="16"/>
                <w:szCs w:val="16"/>
              </w:rPr>
            </w:pPr>
            <w:r w:rsidRPr="00D96063">
              <w:rPr>
                <w:rFonts w:cs="Calibri"/>
                <w:sz w:val="16"/>
                <w:szCs w:val="16"/>
              </w:rPr>
              <w:t>23.0</w:t>
            </w:r>
          </w:p>
        </w:tc>
        <w:tc>
          <w:tcPr>
            <w:tcW w:w="493" w:type="pct"/>
            <w:noWrap/>
            <w:hideMark/>
          </w:tcPr>
          <w:p w14:paraId="23E8DF30" w14:textId="77777777" w:rsidR="00C15F2E" w:rsidRPr="00D96063" w:rsidRDefault="00C15F2E" w:rsidP="00053198">
            <w:pPr>
              <w:jc w:val="right"/>
              <w:rPr>
                <w:rFonts w:cs="Calibri"/>
                <w:sz w:val="16"/>
                <w:szCs w:val="16"/>
              </w:rPr>
            </w:pPr>
            <w:r w:rsidRPr="00D96063">
              <w:rPr>
                <w:rFonts w:cs="Calibri"/>
                <w:sz w:val="16"/>
                <w:szCs w:val="16"/>
              </w:rPr>
              <w:t>14.6</w:t>
            </w:r>
          </w:p>
        </w:tc>
        <w:tc>
          <w:tcPr>
            <w:tcW w:w="492" w:type="pct"/>
            <w:noWrap/>
            <w:hideMark/>
          </w:tcPr>
          <w:p w14:paraId="37C6F4BA" w14:textId="77777777" w:rsidR="00C15F2E" w:rsidRPr="00D96063" w:rsidRDefault="00C15F2E" w:rsidP="00053198">
            <w:pPr>
              <w:jc w:val="right"/>
              <w:rPr>
                <w:rFonts w:cs="Calibri"/>
                <w:sz w:val="16"/>
                <w:szCs w:val="16"/>
              </w:rPr>
            </w:pPr>
            <w:r w:rsidRPr="00D96063">
              <w:rPr>
                <w:rFonts w:cs="Calibri"/>
                <w:sz w:val="16"/>
                <w:szCs w:val="16"/>
              </w:rPr>
              <w:t>27.3</w:t>
            </w:r>
          </w:p>
        </w:tc>
        <w:tc>
          <w:tcPr>
            <w:tcW w:w="493" w:type="pct"/>
            <w:noWrap/>
            <w:hideMark/>
          </w:tcPr>
          <w:p w14:paraId="66A75790" w14:textId="77777777" w:rsidR="00C15F2E" w:rsidRPr="00D96063" w:rsidRDefault="00C15F2E" w:rsidP="00053198">
            <w:pPr>
              <w:jc w:val="right"/>
              <w:rPr>
                <w:rFonts w:cs="Calibri"/>
                <w:sz w:val="16"/>
                <w:szCs w:val="16"/>
              </w:rPr>
            </w:pPr>
            <w:r w:rsidRPr="00D96063">
              <w:rPr>
                <w:rFonts w:cs="Calibri"/>
                <w:sz w:val="16"/>
                <w:szCs w:val="16"/>
              </w:rPr>
              <w:t>32.8</w:t>
            </w:r>
          </w:p>
        </w:tc>
        <w:tc>
          <w:tcPr>
            <w:tcW w:w="493" w:type="pct"/>
            <w:noWrap/>
            <w:hideMark/>
          </w:tcPr>
          <w:p w14:paraId="3CD720E8" w14:textId="77777777" w:rsidR="00C15F2E" w:rsidRPr="00D96063" w:rsidRDefault="00C15F2E" w:rsidP="00053198">
            <w:pPr>
              <w:jc w:val="right"/>
              <w:rPr>
                <w:rFonts w:cs="Calibri"/>
                <w:sz w:val="16"/>
                <w:szCs w:val="16"/>
              </w:rPr>
            </w:pPr>
            <w:r w:rsidRPr="00D96063">
              <w:rPr>
                <w:rFonts w:cs="Calibri"/>
                <w:sz w:val="16"/>
                <w:szCs w:val="16"/>
              </w:rPr>
              <w:t>34.2</w:t>
            </w:r>
          </w:p>
        </w:tc>
      </w:tr>
      <w:tr w:rsidR="00C15F2E" w:rsidRPr="00D96063" w14:paraId="56C7875F" w14:textId="77777777" w:rsidTr="0009597E">
        <w:trPr>
          <w:trHeight w:val="240"/>
        </w:trPr>
        <w:tc>
          <w:tcPr>
            <w:tcW w:w="145" w:type="pct"/>
            <w:tcBorders>
              <w:top w:val="nil"/>
              <w:bottom w:val="nil"/>
              <w:right w:val="nil"/>
            </w:tcBorders>
            <w:noWrap/>
            <w:hideMark/>
          </w:tcPr>
          <w:p w14:paraId="00B6A6D7" w14:textId="77777777" w:rsidR="00C15F2E" w:rsidRPr="00D96063" w:rsidRDefault="00C15F2E" w:rsidP="0009597E">
            <w:pPr>
              <w:jc w:val="left"/>
              <w:rPr>
                <w:rFonts w:cs="Calibri"/>
                <w:sz w:val="16"/>
                <w:szCs w:val="16"/>
              </w:rPr>
            </w:pPr>
            <w:r w:rsidRPr="00D96063">
              <w:rPr>
                <w:rFonts w:cs="Calibri"/>
                <w:sz w:val="16"/>
                <w:szCs w:val="16"/>
              </w:rPr>
              <w:t> </w:t>
            </w:r>
          </w:p>
        </w:tc>
        <w:tc>
          <w:tcPr>
            <w:tcW w:w="1899" w:type="pct"/>
            <w:gridSpan w:val="2"/>
            <w:tcBorders>
              <w:left w:val="nil"/>
            </w:tcBorders>
            <w:noWrap/>
            <w:hideMark/>
          </w:tcPr>
          <w:p w14:paraId="7A2B31A3" w14:textId="77777777" w:rsidR="00C15F2E" w:rsidRPr="00D96063" w:rsidRDefault="00C15F2E" w:rsidP="0009597E">
            <w:pPr>
              <w:jc w:val="left"/>
              <w:rPr>
                <w:rFonts w:cs="Calibri"/>
                <w:sz w:val="16"/>
                <w:szCs w:val="16"/>
              </w:rPr>
            </w:pPr>
            <w:r w:rsidRPr="00D96063">
              <w:rPr>
                <w:rFonts w:cs="Calibri"/>
                <w:sz w:val="16"/>
                <w:szCs w:val="16"/>
              </w:rPr>
              <w:t>27 Mineral fuels</w:t>
            </w:r>
          </w:p>
        </w:tc>
        <w:tc>
          <w:tcPr>
            <w:tcW w:w="492" w:type="pct"/>
            <w:noWrap/>
            <w:hideMark/>
          </w:tcPr>
          <w:p w14:paraId="661C2882" w14:textId="77777777" w:rsidR="00C15F2E" w:rsidRPr="00D96063" w:rsidRDefault="00C15F2E" w:rsidP="00053198">
            <w:pPr>
              <w:jc w:val="right"/>
              <w:rPr>
                <w:rFonts w:cs="Calibri"/>
                <w:sz w:val="16"/>
                <w:szCs w:val="16"/>
              </w:rPr>
            </w:pPr>
            <w:r w:rsidRPr="00D96063">
              <w:rPr>
                <w:rFonts w:cs="Calibri"/>
                <w:sz w:val="16"/>
                <w:szCs w:val="16"/>
              </w:rPr>
              <w:t>29.7</w:t>
            </w:r>
          </w:p>
        </w:tc>
        <w:tc>
          <w:tcPr>
            <w:tcW w:w="493" w:type="pct"/>
            <w:noWrap/>
            <w:hideMark/>
          </w:tcPr>
          <w:p w14:paraId="614AF6FD" w14:textId="77777777" w:rsidR="00C15F2E" w:rsidRPr="00D96063" w:rsidRDefault="00C15F2E" w:rsidP="00053198">
            <w:pPr>
              <w:jc w:val="right"/>
              <w:rPr>
                <w:rFonts w:cs="Calibri"/>
                <w:sz w:val="16"/>
                <w:szCs w:val="16"/>
              </w:rPr>
            </w:pPr>
            <w:r w:rsidRPr="00D96063">
              <w:rPr>
                <w:rFonts w:cs="Calibri"/>
                <w:sz w:val="16"/>
                <w:szCs w:val="16"/>
              </w:rPr>
              <w:t>21.7</w:t>
            </w:r>
          </w:p>
        </w:tc>
        <w:tc>
          <w:tcPr>
            <w:tcW w:w="493" w:type="pct"/>
            <w:noWrap/>
            <w:hideMark/>
          </w:tcPr>
          <w:p w14:paraId="13F23A1B" w14:textId="77777777" w:rsidR="00C15F2E" w:rsidRPr="00D96063" w:rsidRDefault="00C15F2E" w:rsidP="00053198">
            <w:pPr>
              <w:jc w:val="right"/>
              <w:rPr>
                <w:rFonts w:cs="Calibri"/>
                <w:sz w:val="16"/>
                <w:szCs w:val="16"/>
              </w:rPr>
            </w:pPr>
            <w:r w:rsidRPr="00D96063">
              <w:rPr>
                <w:rFonts w:cs="Calibri"/>
                <w:sz w:val="16"/>
                <w:szCs w:val="16"/>
              </w:rPr>
              <w:t>13.0</w:t>
            </w:r>
          </w:p>
        </w:tc>
        <w:tc>
          <w:tcPr>
            <w:tcW w:w="492" w:type="pct"/>
            <w:noWrap/>
            <w:hideMark/>
          </w:tcPr>
          <w:p w14:paraId="4EABCA64" w14:textId="77777777" w:rsidR="00C15F2E" w:rsidRPr="00D96063" w:rsidRDefault="00C15F2E" w:rsidP="00053198">
            <w:pPr>
              <w:jc w:val="right"/>
              <w:rPr>
                <w:rFonts w:cs="Calibri"/>
                <w:sz w:val="16"/>
                <w:szCs w:val="16"/>
              </w:rPr>
            </w:pPr>
            <w:r w:rsidRPr="00D96063">
              <w:rPr>
                <w:rFonts w:cs="Calibri"/>
                <w:sz w:val="16"/>
                <w:szCs w:val="16"/>
              </w:rPr>
              <w:t>25.3</w:t>
            </w:r>
          </w:p>
        </w:tc>
        <w:tc>
          <w:tcPr>
            <w:tcW w:w="493" w:type="pct"/>
            <w:noWrap/>
            <w:hideMark/>
          </w:tcPr>
          <w:p w14:paraId="2F803B17" w14:textId="77777777" w:rsidR="00C15F2E" w:rsidRPr="00D96063" w:rsidRDefault="00C15F2E" w:rsidP="00053198">
            <w:pPr>
              <w:jc w:val="right"/>
              <w:rPr>
                <w:rFonts w:cs="Calibri"/>
                <w:sz w:val="16"/>
                <w:szCs w:val="16"/>
              </w:rPr>
            </w:pPr>
            <w:r w:rsidRPr="00D96063">
              <w:rPr>
                <w:rFonts w:cs="Calibri"/>
                <w:sz w:val="16"/>
                <w:szCs w:val="16"/>
              </w:rPr>
              <w:t>30.6</w:t>
            </w:r>
          </w:p>
        </w:tc>
        <w:tc>
          <w:tcPr>
            <w:tcW w:w="493" w:type="pct"/>
            <w:noWrap/>
            <w:hideMark/>
          </w:tcPr>
          <w:p w14:paraId="6567B63F" w14:textId="77777777" w:rsidR="00C15F2E" w:rsidRPr="00D96063" w:rsidRDefault="00C15F2E" w:rsidP="00053198">
            <w:pPr>
              <w:jc w:val="right"/>
              <w:rPr>
                <w:rFonts w:cs="Calibri"/>
                <w:sz w:val="16"/>
                <w:szCs w:val="16"/>
              </w:rPr>
            </w:pPr>
            <w:r w:rsidRPr="00D96063">
              <w:rPr>
                <w:rFonts w:cs="Calibri"/>
                <w:sz w:val="16"/>
                <w:szCs w:val="16"/>
              </w:rPr>
              <w:t>31.7</w:t>
            </w:r>
          </w:p>
        </w:tc>
      </w:tr>
      <w:tr w:rsidR="00C15F2E" w:rsidRPr="00D96063" w14:paraId="335575D0"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145" w:type="pct"/>
            <w:tcBorders>
              <w:top w:val="nil"/>
              <w:bottom w:val="nil"/>
              <w:right w:val="nil"/>
            </w:tcBorders>
            <w:noWrap/>
            <w:hideMark/>
          </w:tcPr>
          <w:p w14:paraId="3FA12459" w14:textId="77777777" w:rsidR="00C15F2E" w:rsidRPr="00D96063" w:rsidRDefault="00C15F2E" w:rsidP="0009597E">
            <w:pPr>
              <w:jc w:val="left"/>
              <w:rPr>
                <w:rFonts w:cs="Calibri"/>
                <w:sz w:val="16"/>
                <w:szCs w:val="16"/>
              </w:rPr>
            </w:pPr>
            <w:r w:rsidRPr="00D96063">
              <w:rPr>
                <w:rFonts w:cs="Calibri"/>
                <w:sz w:val="16"/>
                <w:szCs w:val="16"/>
              </w:rPr>
              <w:t> </w:t>
            </w:r>
          </w:p>
        </w:tc>
        <w:tc>
          <w:tcPr>
            <w:tcW w:w="1899" w:type="pct"/>
            <w:gridSpan w:val="2"/>
            <w:tcBorders>
              <w:left w:val="nil"/>
            </w:tcBorders>
            <w:noWrap/>
            <w:hideMark/>
          </w:tcPr>
          <w:p w14:paraId="23FC4632" w14:textId="77777777" w:rsidR="00C15F2E" w:rsidRPr="00D96063" w:rsidRDefault="00C15F2E" w:rsidP="0009597E">
            <w:pPr>
              <w:ind w:left="284" w:hanging="284"/>
              <w:jc w:val="left"/>
              <w:rPr>
                <w:rFonts w:cs="Calibri"/>
                <w:sz w:val="16"/>
                <w:szCs w:val="16"/>
              </w:rPr>
            </w:pPr>
            <w:r w:rsidRPr="00D96063">
              <w:rPr>
                <w:rFonts w:cs="Calibri"/>
                <w:sz w:val="16"/>
                <w:szCs w:val="16"/>
              </w:rPr>
              <w:tab/>
              <w:t>2709 Petroleum oils and oils obtained from bituminous minerals, crude</w:t>
            </w:r>
          </w:p>
        </w:tc>
        <w:tc>
          <w:tcPr>
            <w:tcW w:w="492" w:type="pct"/>
            <w:noWrap/>
            <w:hideMark/>
          </w:tcPr>
          <w:p w14:paraId="201DBA2B" w14:textId="77777777" w:rsidR="00C15F2E" w:rsidRPr="00D96063" w:rsidRDefault="00C15F2E" w:rsidP="00053198">
            <w:pPr>
              <w:jc w:val="right"/>
              <w:rPr>
                <w:rFonts w:cs="Calibri"/>
                <w:sz w:val="16"/>
                <w:szCs w:val="16"/>
              </w:rPr>
            </w:pPr>
            <w:r w:rsidRPr="00D96063">
              <w:rPr>
                <w:rFonts w:cs="Calibri"/>
                <w:sz w:val="16"/>
                <w:szCs w:val="16"/>
              </w:rPr>
              <w:t>28.4</w:t>
            </w:r>
          </w:p>
        </w:tc>
        <w:tc>
          <w:tcPr>
            <w:tcW w:w="493" w:type="pct"/>
            <w:noWrap/>
            <w:hideMark/>
          </w:tcPr>
          <w:p w14:paraId="2F7BBA78" w14:textId="77777777" w:rsidR="00C15F2E" w:rsidRPr="00D96063" w:rsidRDefault="00C15F2E" w:rsidP="00053198">
            <w:pPr>
              <w:jc w:val="right"/>
              <w:rPr>
                <w:rFonts w:cs="Calibri"/>
                <w:sz w:val="16"/>
                <w:szCs w:val="16"/>
              </w:rPr>
            </w:pPr>
            <w:r w:rsidRPr="00D96063">
              <w:rPr>
                <w:rFonts w:cs="Calibri"/>
                <w:sz w:val="16"/>
                <w:szCs w:val="16"/>
              </w:rPr>
              <w:t>19.1</w:t>
            </w:r>
          </w:p>
        </w:tc>
        <w:tc>
          <w:tcPr>
            <w:tcW w:w="493" w:type="pct"/>
            <w:noWrap/>
            <w:hideMark/>
          </w:tcPr>
          <w:p w14:paraId="38AD65EF" w14:textId="77777777" w:rsidR="00C15F2E" w:rsidRPr="00D96063" w:rsidRDefault="00C15F2E" w:rsidP="00053198">
            <w:pPr>
              <w:jc w:val="right"/>
              <w:rPr>
                <w:rFonts w:cs="Calibri"/>
                <w:sz w:val="16"/>
                <w:szCs w:val="16"/>
              </w:rPr>
            </w:pPr>
            <w:r w:rsidRPr="00D96063">
              <w:rPr>
                <w:rFonts w:cs="Calibri"/>
                <w:sz w:val="16"/>
                <w:szCs w:val="16"/>
              </w:rPr>
              <w:t>10.1</w:t>
            </w:r>
          </w:p>
        </w:tc>
        <w:tc>
          <w:tcPr>
            <w:tcW w:w="492" w:type="pct"/>
            <w:noWrap/>
            <w:hideMark/>
          </w:tcPr>
          <w:p w14:paraId="6F2C6194" w14:textId="77777777" w:rsidR="00C15F2E" w:rsidRPr="00D96063" w:rsidRDefault="00C15F2E" w:rsidP="00053198">
            <w:pPr>
              <w:jc w:val="right"/>
              <w:rPr>
                <w:rFonts w:cs="Calibri"/>
                <w:sz w:val="16"/>
                <w:szCs w:val="16"/>
              </w:rPr>
            </w:pPr>
            <w:r w:rsidRPr="00D96063">
              <w:rPr>
                <w:rFonts w:cs="Calibri"/>
                <w:sz w:val="16"/>
                <w:szCs w:val="16"/>
              </w:rPr>
              <w:t>25.2</w:t>
            </w:r>
          </w:p>
        </w:tc>
        <w:tc>
          <w:tcPr>
            <w:tcW w:w="493" w:type="pct"/>
            <w:noWrap/>
            <w:hideMark/>
          </w:tcPr>
          <w:p w14:paraId="14A87037" w14:textId="77777777" w:rsidR="00C15F2E" w:rsidRPr="00D96063" w:rsidRDefault="00C15F2E" w:rsidP="00053198">
            <w:pPr>
              <w:jc w:val="right"/>
              <w:rPr>
                <w:rFonts w:cs="Calibri"/>
                <w:sz w:val="16"/>
                <w:szCs w:val="16"/>
              </w:rPr>
            </w:pPr>
            <w:r w:rsidRPr="00D96063">
              <w:rPr>
                <w:rFonts w:cs="Calibri"/>
                <w:sz w:val="16"/>
                <w:szCs w:val="16"/>
              </w:rPr>
              <w:t>30.4</w:t>
            </w:r>
          </w:p>
        </w:tc>
        <w:tc>
          <w:tcPr>
            <w:tcW w:w="493" w:type="pct"/>
            <w:noWrap/>
            <w:hideMark/>
          </w:tcPr>
          <w:p w14:paraId="1CE5B4CA" w14:textId="77777777" w:rsidR="00C15F2E" w:rsidRPr="00D96063" w:rsidRDefault="00C15F2E" w:rsidP="00053198">
            <w:pPr>
              <w:jc w:val="right"/>
              <w:rPr>
                <w:rFonts w:cs="Calibri"/>
                <w:sz w:val="16"/>
                <w:szCs w:val="16"/>
              </w:rPr>
            </w:pPr>
            <w:r w:rsidRPr="00D96063">
              <w:rPr>
                <w:rFonts w:cs="Calibri"/>
                <w:sz w:val="16"/>
                <w:szCs w:val="16"/>
              </w:rPr>
              <w:t>31.3</w:t>
            </w:r>
          </w:p>
        </w:tc>
      </w:tr>
      <w:tr w:rsidR="00C15F2E" w:rsidRPr="00D96063" w14:paraId="6B333B45" w14:textId="77777777" w:rsidTr="00053198">
        <w:trPr>
          <w:trHeight w:val="240"/>
        </w:trPr>
        <w:tc>
          <w:tcPr>
            <w:tcW w:w="2044" w:type="pct"/>
            <w:gridSpan w:val="3"/>
            <w:noWrap/>
            <w:hideMark/>
          </w:tcPr>
          <w:p w14:paraId="70956A87" w14:textId="77777777" w:rsidR="00C15F2E" w:rsidRPr="00D96063" w:rsidRDefault="00C15F2E" w:rsidP="0009597E">
            <w:pPr>
              <w:jc w:val="left"/>
              <w:rPr>
                <w:rFonts w:cs="Calibri"/>
                <w:sz w:val="16"/>
                <w:szCs w:val="16"/>
              </w:rPr>
            </w:pPr>
            <w:r w:rsidRPr="00D96063">
              <w:rPr>
                <w:rFonts w:cs="Calibri"/>
                <w:sz w:val="16"/>
                <w:szCs w:val="16"/>
              </w:rPr>
              <w:t>06 Chemicals and products thereof</w:t>
            </w:r>
          </w:p>
        </w:tc>
        <w:tc>
          <w:tcPr>
            <w:tcW w:w="492" w:type="pct"/>
            <w:noWrap/>
            <w:hideMark/>
          </w:tcPr>
          <w:p w14:paraId="2F249F33" w14:textId="77777777" w:rsidR="00C15F2E" w:rsidRPr="00D96063" w:rsidRDefault="00C15F2E" w:rsidP="00053198">
            <w:pPr>
              <w:jc w:val="right"/>
              <w:rPr>
                <w:rFonts w:cs="Calibri"/>
                <w:sz w:val="16"/>
                <w:szCs w:val="16"/>
              </w:rPr>
            </w:pPr>
            <w:r w:rsidRPr="00D96063">
              <w:rPr>
                <w:rFonts w:cs="Calibri"/>
                <w:sz w:val="16"/>
                <w:szCs w:val="16"/>
              </w:rPr>
              <w:t>1.2</w:t>
            </w:r>
          </w:p>
        </w:tc>
        <w:tc>
          <w:tcPr>
            <w:tcW w:w="493" w:type="pct"/>
            <w:noWrap/>
            <w:hideMark/>
          </w:tcPr>
          <w:p w14:paraId="2AFC3F92" w14:textId="77777777" w:rsidR="00C15F2E" w:rsidRPr="00D96063" w:rsidRDefault="00C15F2E" w:rsidP="00053198">
            <w:pPr>
              <w:jc w:val="right"/>
              <w:rPr>
                <w:rFonts w:cs="Calibri"/>
                <w:sz w:val="16"/>
                <w:szCs w:val="16"/>
              </w:rPr>
            </w:pPr>
            <w:r w:rsidRPr="00D96063">
              <w:rPr>
                <w:rFonts w:cs="Calibri"/>
                <w:sz w:val="16"/>
                <w:szCs w:val="16"/>
              </w:rPr>
              <w:t>1.1</w:t>
            </w:r>
          </w:p>
        </w:tc>
        <w:tc>
          <w:tcPr>
            <w:tcW w:w="493" w:type="pct"/>
            <w:noWrap/>
            <w:hideMark/>
          </w:tcPr>
          <w:p w14:paraId="2A1F87ED" w14:textId="77777777" w:rsidR="00C15F2E" w:rsidRPr="00D96063" w:rsidRDefault="00C15F2E" w:rsidP="00053198">
            <w:pPr>
              <w:jc w:val="right"/>
              <w:rPr>
                <w:rFonts w:cs="Calibri"/>
                <w:sz w:val="16"/>
                <w:szCs w:val="16"/>
              </w:rPr>
            </w:pPr>
            <w:r w:rsidRPr="00D96063">
              <w:rPr>
                <w:rFonts w:cs="Calibri"/>
                <w:sz w:val="16"/>
                <w:szCs w:val="16"/>
              </w:rPr>
              <w:t>3.5</w:t>
            </w:r>
          </w:p>
        </w:tc>
        <w:tc>
          <w:tcPr>
            <w:tcW w:w="492" w:type="pct"/>
            <w:noWrap/>
            <w:hideMark/>
          </w:tcPr>
          <w:p w14:paraId="16AE584E" w14:textId="77777777" w:rsidR="00C15F2E" w:rsidRPr="00D96063" w:rsidRDefault="00C15F2E" w:rsidP="00053198">
            <w:pPr>
              <w:jc w:val="right"/>
              <w:rPr>
                <w:rFonts w:cs="Calibri"/>
                <w:sz w:val="16"/>
                <w:szCs w:val="16"/>
              </w:rPr>
            </w:pPr>
            <w:r w:rsidRPr="00D96063">
              <w:rPr>
                <w:rFonts w:cs="Calibri"/>
                <w:sz w:val="16"/>
                <w:szCs w:val="16"/>
              </w:rPr>
              <w:t>1.1</w:t>
            </w:r>
          </w:p>
        </w:tc>
        <w:tc>
          <w:tcPr>
            <w:tcW w:w="493" w:type="pct"/>
            <w:noWrap/>
            <w:hideMark/>
          </w:tcPr>
          <w:p w14:paraId="397E6D92" w14:textId="77777777" w:rsidR="00C15F2E" w:rsidRPr="00D96063" w:rsidRDefault="00C15F2E" w:rsidP="00053198">
            <w:pPr>
              <w:jc w:val="right"/>
              <w:rPr>
                <w:rFonts w:cs="Calibri"/>
                <w:sz w:val="16"/>
                <w:szCs w:val="16"/>
              </w:rPr>
            </w:pPr>
            <w:r w:rsidRPr="00D96063">
              <w:rPr>
                <w:rFonts w:cs="Calibri"/>
                <w:sz w:val="16"/>
                <w:szCs w:val="16"/>
              </w:rPr>
              <w:t>0.4</w:t>
            </w:r>
          </w:p>
        </w:tc>
        <w:tc>
          <w:tcPr>
            <w:tcW w:w="493" w:type="pct"/>
            <w:noWrap/>
            <w:hideMark/>
          </w:tcPr>
          <w:p w14:paraId="423E4D96" w14:textId="77777777" w:rsidR="00C15F2E" w:rsidRPr="00D96063" w:rsidRDefault="00C15F2E" w:rsidP="00053198">
            <w:pPr>
              <w:jc w:val="right"/>
              <w:rPr>
                <w:rFonts w:cs="Calibri"/>
                <w:sz w:val="16"/>
                <w:szCs w:val="16"/>
              </w:rPr>
            </w:pPr>
            <w:r w:rsidRPr="00D96063">
              <w:rPr>
                <w:rFonts w:cs="Calibri"/>
                <w:sz w:val="16"/>
                <w:szCs w:val="16"/>
              </w:rPr>
              <w:t>1.3</w:t>
            </w:r>
          </w:p>
        </w:tc>
      </w:tr>
      <w:tr w:rsidR="00C15F2E" w:rsidRPr="00D96063" w14:paraId="5BBB89C2"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2775C6B8" w14:textId="77777777" w:rsidR="00C15F2E" w:rsidRPr="00D96063" w:rsidRDefault="00C15F2E" w:rsidP="0009597E">
            <w:pPr>
              <w:jc w:val="left"/>
              <w:rPr>
                <w:rFonts w:cs="Calibri"/>
                <w:sz w:val="16"/>
                <w:szCs w:val="16"/>
              </w:rPr>
            </w:pPr>
            <w:r w:rsidRPr="00D96063">
              <w:rPr>
                <w:rFonts w:cs="Calibri"/>
                <w:sz w:val="16"/>
                <w:szCs w:val="16"/>
              </w:rPr>
              <w:t>07 Plastics and rubber</w:t>
            </w:r>
          </w:p>
        </w:tc>
        <w:tc>
          <w:tcPr>
            <w:tcW w:w="492" w:type="pct"/>
            <w:noWrap/>
            <w:hideMark/>
          </w:tcPr>
          <w:p w14:paraId="6C555609" w14:textId="77777777" w:rsidR="00C15F2E" w:rsidRPr="00D96063" w:rsidRDefault="00C15F2E" w:rsidP="00053198">
            <w:pPr>
              <w:jc w:val="right"/>
              <w:rPr>
                <w:rFonts w:cs="Calibri"/>
                <w:sz w:val="16"/>
                <w:szCs w:val="16"/>
              </w:rPr>
            </w:pPr>
            <w:r w:rsidRPr="00D96063">
              <w:rPr>
                <w:rFonts w:cs="Calibri"/>
                <w:sz w:val="16"/>
                <w:szCs w:val="16"/>
              </w:rPr>
              <w:t>2.2</w:t>
            </w:r>
          </w:p>
        </w:tc>
        <w:tc>
          <w:tcPr>
            <w:tcW w:w="493" w:type="pct"/>
            <w:noWrap/>
            <w:hideMark/>
          </w:tcPr>
          <w:p w14:paraId="20D28544" w14:textId="77777777" w:rsidR="00C15F2E" w:rsidRPr="00D96063" w:rsidRDefault="00C15F2E" w:rsidP="00053198">
            <w:pPr>
              <w:jc w:val="right"/>
              <w:rPr>
                <w:rFonts w:cs="Calibri"/>
                <w:sz w:val="16"/>
                <w:szCs w:val="16"/>
              </w:rPr>
            </w:pPr>
            <w:r w:rsidRPr="00D96063">
              <w:rPr>
                <w:rFonts w:cs="Calibri"/>
                <w:sz w:val="16"/>
                <w:szCs w:val="16"/>
              </w:rPr>
              <w:t>2.2</w:t>
            </w:r>
          </w:p>
        </w:tc>
        <w:tc>
          <w:tcPr>
            <w:tcW w:w="493" w:type="pct"/>
            <w:noWrap/>
            <w:hideMark/>
          </w:tcPr>
          <w:p w14:paraId="474F4E0E" w14:textId="77777777" w:rsidR="00C15F2E" w:rsidRPr="00D96063" w:rsidRDefault="00C15F2E" w:rsidP="00053198">
            <w:pPr>
              <w:jc w:val="right"/>
              <w:rPr>
                <w:rFonts w:cs="Calibri"/>
                <w:sz w:val="16"/>
                <w:szCs w:val="16"/>
              </w:rPr>
            </w:pPr>
            <w:r w:rsidRPr="00D96063">
              <w:rPr>
                <w:rFonts w:cs="Calibri"/>
                <w:sz w:val="16"/>
                <w:szCs w:val="16"/>
              </w:rPr>
              <w:t>3.3</w:t>
            </w:r>
          </w:p>
        </w:tc>
        <w:tc>
          <w:tcPr>
            <w:tcW w:w="492" w:type="pct"/>
            <w:noWrap/>
            <w:hideMark/>
          </w:tcPr>
          <w:p w14:paraId="48724C72" w14:textId="77777777" w:rsidR="00C15F2E" w:rsidRPr="00D96063" w:rsidRDefault="00C15F2E" w:rsidP="00053198">
            <w:pPr>
              <w:jc w:val="right"/>
              <w:rPr>
                <w:rFonts w:cs="Calibri"/>
                <w:sz w:val="16"/>
                <w:szCs w:val="16"/>
              </w:rPr>
            </w:pPr>
            <w:r w:rsidRPr="00D96063">
              <w:rPr>
                <w:rFonts w:cs="Calibri"/>
                <w:sz w:val="16"/>
                <w:szCs w:val="16"/>
              </w:rPr>
              <w:t>3.1</w:t>
            </w:r>
          </w:p>
        </w:tc>
        <w:tc>
          <w:tcPr>
            <w:tcW w:w="493" w:type="pct"/>
            <w:noWrap/>
            <w:hideMark/>
          </w:tcPr>
          <w:p w14:paraId="63EB97B0" w14:textId="77777777" w:rsidR="00C15F2E" w:rsidRPr="00D96063" w:rsidRDefault="00C15F2E" w:rsidP="00053198">
            <w:pPr>
              <w:jc w:val="right"/>
              <w:rPr>
                <w:rFonts w:cs="Calibri"/>
                <w:sz w:val="16"/>
                <w:szCs w:val="16"/>
              </w:rPr>
            </w:pPr>
            <w:r w:rsidRPr="00D96063">
              <w:rPr>
                <w:rFonts w:cs="Calibri"/>
                <w:sz w:val="16"/>
                <w:szCs w:val="16"/>
              </w:rPr>
              <w:t>1.5</w:t>
            </w:r>
          </w:p>
        </w:tc>
        <w:tc>
          <w:tcPr>
            <w:tcW w:w="493" w:type="pct"/>
            <w:noWrap/>
            <w:hideMark/>
          </w:tcPr>
          <w:p w14:paraId="602738D1" w14:textId="77777777" w:rsidR="00C15F2E" w:rsidRPr="00D96063" w:rsidRDefault="00C15F2E" w:rsidP="00053198">
            <w:pPr>
              <w:jc w:val="right"/>
              <w:rPr>
                <w:rFonts w:cs="Calibri"/>
                <w:sz w:val="16"/>
                <w:szCs w:val="16"/>
              </w:rPr>
            </w:pPr>
            <w:r w:rsidRPr="00D96063">
              <w:rPr>
                <w:rFonts w:cs="Calibri"/>
                <w:sz w:val="16"/>
                <w:szCs w:val="16"/>
              </w:rPr>
              <w:t>1.7</w:t>
            </w:r>
          </w:p>
        </w:tc>
      </w:tr>
      <w:tr w:rsidR="00C15F2E" w:rsidRPr="00D96063" w14:paraId="01A3E277" w14:textId="77777777" w:rsidTr="00053198">
        <w:trPr>
          <w:trHeight w:val="240"/>
        </w:trPr>
        <w:tc>
          <w:tcPr>
            <w:tcW w:w="2044" w:type="pct"/>
            <w:gridSpan w:val="3"/>
            <w:noWrap/>
            <w:hideMark/>
          </w:tcPr>
          <w:p w14:paraId="44A0BD87" w14:textId="77777777" w:rsidR="00C15F2E" w:rsidRPr="00D96063" w:rsidRDefault="00C15F2E" w:rsidP="0009597E">
            <w:pPr>
              <w:jc w:val="left"/>
              <w:rPr>
                <w:rFonts w:cs="Calibri"/>
                <w:sz w:val="16"/>
                <w:szCs w:val="16"/>
              </w:rPr>
            </w:pPr>
            <w:r w:rsidRPr="00D96063">
              <w:rPr>
                <w:rFonts w:cs="Calibri"/>
                <w:sz w:val="16"/>
                <w:szCs w:val="16"/>
              </w:rPr>
              <w:t>08 Raw hides and skins; leather, furskins and articles thereof</w:t>
            </w:r>
          </w:p>
        </w:tc>
        <w:tc>
          <w:tcPr>
            <w:tcW w:w="492" w:type="pct"/>
            <w:noWrap/>
            <w:hideMark/>
          </w:tcPr>
          <w:p w14:paraId="6593CD04"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722CFEA6"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43320B3C" w14:textId="77777777" w:rsidR="00C15F2E" w:rsidRPr="00D96063" w:rsidRDefault="00C15F2E" w:rsidP="00053198">
            <w:pPr>
              <w:jc w:val="right"/>
              <w:rPr>
                <w:rFonts w:cs="Calibri"/>
                <w:sz w:val="16"/>
                <w:szCs w:val="16"/>
              </w:rPr>
            </w:pPr>
            <w:r w:rsidRPr="00D96063">
              <w:rPr>
                <w:rFonts w:cs="Calibri"/>
                <w:sz w:val="16"/>
                <w:szCs w:val="16"/>
              </w:rPr>
              <w:t>0.0</w:t>
            </w:r>
          </w:p>
        </w:tc>
        <w:tc>
          <w:tcPr>
            <w:tcW w:w="492" w:type="pct"/>
            <w:noWrap/>
            <w:hideMark/>
          </w:tcPr>
          <w:p w14:paraId="71E5CA0C"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1785129E"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6727EC5F" w14:textId="77777777" w:rsidR="00C15F2E" w:rsidRPr="00D96063" w:rsidRDefault="00C15F2E" w:rsidP="00053198">
            <w:pPr>
              <w:jc w:val="right"/>
              <w:rPr>
                <w:rFonts w:cs="Calibri"/>
                <w:sz w:val="16"/>
                <w:szCs w:val="16"/>
              </w:rPr>
            </w:pPr>
            <w:r w:rsidRPr="00D96063">
              <w:rPr>
                <w:rFonts w:cs="Calibri"/>
                <w:sz w:val="16"/>
                <w:szCs w:val="16"/>
              </w:rPr>
              <w:t>0.0</w:t>
            </w:r>
          </w:p>
        </w:tc>
      </w:tr>
      <w:tr w:rsidR="00C15F2E" w:rsidRPr="00D96063" w14:paraId="197E8763"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07339C91" w14:textId="77777777" w:rsidR="00C15F2E" w:rsidRPr="00D96063" w:rsidRDefault="00C15F2E" w:rsidP="0009597E">
            <w:pPr>
              <w:jc w:val="left"/>
              <w:rPr>
                <w:rFonts w:cs="Calibri"/>
                <w:sz w:val="16"/>
                <w:szCs w:val="16"/>
              </w:rPr>
            </w:pPr>
            <w:r w:rsidRPr="00D96063">
              <w:rPr>
                <w:rFonts w:cs="Calibri"/>
                <w:sz w:val="16"/>
                <w:szCs w:val="16"/>
              </w:rPr>
              <w:t>09 Wood, cork, straw</w:t>
            </w:r>
          </w:p>
        </w:tc>
        <w:tc>
          <w:tcPr>
            <w:tcW w:w="492" w:type="pct"/>
            <w:noWrap/>
            <w:hideMark/>
          </w:tcPr>
          <w:p w14:paraId="620A1608" w14:textId="77777777" w:rsidR="00C15F2E" w:rsidRPr="00D96063" w:rsidRDefault="00C15F2E" w:rsidP="00053198">
            <w:pPr>
              <w:jc w:val="right"/>
              <w:rPr>
                <w:rFonts w:cs="Calibri"/>
                <w:sz w:val="16"/>
                <w:szCs w:val="16"/>
              </w:rPr>
            </w:pPr>
            <w:r w:rsidRPr="00D96063">
              <w:rPr>
                <w:rFonts w:cs="Calibri"/>
                <w:sz w:val="16"/>
                <w:szCs w:val="16"/>
              </w:rPr>
              <w:t>2.1</w:t>
            </w:r>
          </w:p>
        </w:tc>
        <w:tc>
          <w:tcPr>
            <w:tcW w:w="493" w:type="pct"/>
            <w:noWrap/>
            <w:hideMark/>
          </w:tcPr>
          <w:p w14:paraId="37FC0E74" w14:textId="77777777" w:rsidR="00C15F2E" w:rsidRPr="00D96063" w:rsidRDefault="00C15F2E" w:rsidP="00053198">
            <w:pPr>
              <w:jc w:val="right"/>
              <w:rPr>
                <w:rFonts w:cs="Calibri"/>
                <w:sz w:val="16"/>
                <w:szCs w:val="16"/>
              </w:rPr>
            </w:pPr>
            <w:r w:rsidRPr="00D96063">
              <w:rPr>
                <w:rFonts w:cs="Calibri"/>
                <w:sz w:val="16"/>
                <w:szCs w:val="16"/>
              </w:rPr>
              <w:t>2.0</w:t>
            </w:r>
          </w:p>
        </w:tc>
        <w:tc>
          <w:tcPr>
            <w:tcW w:w="493" w:type="pct"/>
            <w:noWrap/>
            <w:hideMark/>
          </w:tcPr>
          <w:p w14:paraId="5BC35CB1" w14:textId="77777777" w:rsidR="00C15F2E" w:rsidRPr="00D96063" w:rsidRDefault="00C15F2E" w:rsidP="00053198">
            <w:pPr>
              <w:jc w:val="right"/>
              <w:rPr>
                <w:rFonts w:cs="Calibri"/>
                <w:sz w:val="16"/>
                <w:szCs w:val="16"/>
              </w:rPr>
            </w:pPr>
            <w:r w:rsidRPr="00D96063">
              <w:rPr>
                <w:rFonts w:cs="Calibri"/>
                <w:sz w:val="16"/>
                <w:szCs w:val="16"/>
              </w:rPr>
              <w:t>4.5</w:t>
            </w:r>
          </w:p>
        </w:tc>
        <w:tc>
          <w:tcPr>
            <w:tcW w:w="492" w:type="pct"/>
            <w:noWrap/>
            <w:hideMark/>
          </w:tcPr>
          <w:p w14:paraId="70C7E95C" w14:textId="77777777" w:rsidR="00C15F2E" w:rsidRPr="00D96063" w:rsidRDefault="00C15F2E" w:rsidP="00053198">
            <w:pPr>
              <w:jc w:val="right"/>
              <w:rPr>
                <w:rFonts w:cs="Calibri"/>
                <w:sz w:val="16"/>
                <w:szCs w:val="16"/>
              </w:rPr>
            </w:pPr>
            <w:r w:rsidRPr="00D96063">
              <w:rPr>
                <w:rFonts w:cs="Calibri"/>
                <w:sz w:val="16"/>
                <w:szCs w:val="16"/>
              </w:rPr>
              <w:t>1.3</w:t>
            </w:r>
          </w:p>
        </w:tc>
        <w:tc>
          <w:tcPr>
            <w:tcW w:w="493" w:type="pct"/>
            <w:noWrap/>
            <w:hideMark/>
          </w:tcPr>
          <w:p w14:paraId="40506050" w14:textId="77777777" w:rsidR="00C15F2E" w:rsidRPr="00D96063" w:rsidRDefault="00C15F2E" w:rsidP="00053198">
            <w:pPr>
              <w:jc w:val="right"/>
              <w:rPr>
                <w:rFonts w:cs="Calibri"/>
                <w:sz w:val="16"/>
                <w:szCs w:val="16"/>
              </w:rPr>
            </w:pPr>
            <w:r w:rsidRPr="00D96063">
              <w:rPr>
                <w:rFonts w:cs="Calibri"/>
                <w:sz w:val="16"/>
                <w:szCs w:val="16"/>
              </w:rPr>
              <w:t>1.1</w:t>
            </w:r>
          </w:p>
        </w:tc>
        <w:tc>
          <w:tcPr>
            <w:tcW w:w="493" w:type="pct"/>
            <w:noWrap/>
            <w:hideMark/>
          </w:tcPr>
          <w:p w14:paraId="668BBA7F" w14:textId="77777777" w:rsidR="00C15F2E" w:rsidRPr="00D96063" w:rsidRDefault="00C15F2E" w:rsidP="00053198">
            <w:pPr>
              <w:jc w:val="right"/>
              <w:rPr>
                <w:rFonts w:cs="Calibri"/>
                <w:sz w:val="16"/>
                <w:szCs w:val="16"/>
              </w:rPr>
            </w:pPr>
            <w:r w:rsidRPr="00D96063">
              <w:rPr>
                <w:rFonts w:cs="Calibri"/>
                <w:sz w:val="16"/>
                <w:szCs w:val="16"/>
              </w:rPr>
              <w:t>0.8</w:t>
            </w:r>
          </w:p>
        </w:tc>
      </w:tr>
      <w:tr w:rsidR="00C15F2E" w:rsidRPr="00D96063" w14:paraId="54998C2E" w14:textId="77777777" w:rsidTr="00053198">
        <w:trPr>
          <w:trHeight w:val="240"/>
        </w:trPr>
        <w:tc>
          <w:tcPr>
            <w:tcW w:w="2044" w:type="pct"/>
            <w:gridSpan w:val="3"/>
            <w:noWrap/>
            <w:hideMark/>
          </w:tcPr>
          <w:p w14:paraId="261C8E00" w14:textId="77777777" w:rsidR="00C15F2E" w:rsidRPr="00D96063" w:rsidRDefault="00C15F2E" w:rsidP="0009597E">
            <w:pPr>
              <w:jc w:val="left"/>
              <w:rPr>
                <w:rFonts w:cs="Calibri"/>
                <w:sz w:val="16"/>
                <w:szCs w:val="16"/>
              </w:rPr>
            </w:pPr>
            <w:r w:rsidRPr="00D96063">
              <w:rPr>
                <w:rFonts w:cs="Calibri"/>
                <w:sz w:val="16"/>
                <w:szCs w:val="16"/>
              </w:rPr>
              <w:t>10 Pulp of wood; paper and paperboard</w:t>
            </w:r>
          </w:p>
        </w:tc>
        <w:tc>
          <w:tcPr>
            <w:tcW w:w="492" w:type="pct"/>
            <w:noWrap/>
            <w:hideMark/>
          </w:tcPr>
          <w:p w14:paraId="30804FD9" w14:textId="77777777" w:rsidR="00C15F2E" w:rsidRPr="00D96063" w:rsidRDefault="00C15F2E" w:rsidP="00053198">
            <w:pPr>
              <w:jc w:val="right"/>
              <w:rPr>
                <w:rFonts w:cs="Calibri"/>
                <w:sz w:val="16"/>
                <w:szCs w:val="16"/>
              </w:rPr>
            </w:pPr>
            <w:r w:rsidRPr="00D96063">
              <w:rPr>
                <w:rFonts w:cs="Calibri"/>
                <w:sz w:val="16"/>
                <w:szCs w:val="16"/>
              </w:rPr>
              <w:t>0.8</w:t>
            </w:r>
          </w:p>
        </w:tc>
        <w:tc>
          <w:tcPr>
            <w:tcW w:w="493" w:type="pct"/>
            <w:noWrap/>
            <w:hideMark/>
          </w:tcPr>
          <w:p w14:paraId="4583F400" w14:textId="77777777" w:rsidR="00C15F2E" w:rsidRPr="00D96063" w:rsidRDefault="00C15F2E" w:rsidP="00053198">
            <w:pPr>
              <w:jc w:val="right"/>
              <w:rPr>
                <w:rFonts w:cs="Calibri"/>
                <w:sz w:val="16"/>
                <w:szCs w:val="16"/>
              </w:rPr>
            </w:pPr>
            <w:r w:rsidRPr="00D96063">
              <w:rPr>
                <w:rFonts w:cs="Calibri"/>
                <w:sz w:val="16"/>
                <w:szCs w:val="16"/>
              </w:rPr>
              <w:t>0.1</w:t>
            </w:r>
          </w:p>
        </w:tc>
        <w:tc>
          <w:tcPr>
            <w:tcW w:w="493" w:type="pct"/>
            <w:noWrap/>
            <w:hideMark/>
          </w:tcPr>
          <w:p w14:paraId="7234785E" w14:textId="77777777" w:rsidR="00C15F2E" w:rsidRPr="00D96063" w:rsidRDefault="00C15F2E" w:rsidP="00053198">
            <w:pPr>
              <w:jc w:val="right"/>
              <w:rPr>
                <w:rFonts w:cs="Calibri"/>
                <w:sz w:val="16"/>
                <w:szCs w:val="16"/>
              </w:rPr>
            </w:pPr>
            <w:r w:rsidRPr="00D96063">
              <w:rPr>
                <w:rFonts w:cs="Calibri"/>
                <w:sz w:val="16"/>
                <w:szCs w:val="16"/>
              </w:rPr>
              <w:t>0.1</w:t>
            </w:r>
          </w:p>
        </w:tc>
        <w:tc>
          <w:tcPr>
            <w:tcW w:w="492" w:type="pct"/>
            <w:noWrap/>
            <w:hideMark/>
          </w:tcPr>
          <w:p w14:paraId="61FA9C37" w14:textId="77777777" w:rsidR="00C15F2E" w:rsidRPr="00D96063" w:rsidRDefault="00C15F2E" w:rsidP="00053198">
            <w:pPr>
              <w:jc w:val="right"/>
              <w:rPr>
                <w:rFonts w:cs="Calibri"/>
                <w:sz w:val="16"/>
                <w:szCs w:val="16"/>
              </w:rPr>
            </w:pPr>
            <w:r w:rsidRPr="00D96063">
              <w:rPr>
                <w:rFonts w:cs="Calibri"/>
                <w:sz w:val="16"/>
                <w:szCs w:val="16"/>
              </w:rPr>
              <w:t>0.1</w:t>
            </w:r>
          </w:p>
        </w:tc>
        <w:tc>
          <w:tcPr>
            <w:tcW w:w="493" w:type="pct"/>
            <w:noWrap/>
            <w:hideMark/>
          </w:tcPr>
          <w:p w14:paraId="6647E3BD" w14:textId="77777777" w:rsidR="00C15F2E" w:rsidRPr="00D96063" w:rsidRDefault="00C15F2E" w:rsidP="00053198">
            <w:pPr>
              <w:jc w:val="right"/>
              <w:rPr>
                <w:rFonts w:cs="Calibri"/>
                <w:sz w:val="16"/>
                <w:szCs w:val="16"/>
              </w:rPr>
            </w:pPr>
            <w:r w:rsidRPr="00D96063">
              <w:rPr>
                <w:rFonts w:cs="Calibri"/>
                <w:sz w:val="16"/>
                <w:szCs w:val="16"/>
              </w:rPr>
              <w:t>0.2</w:t>
            </w:r>
          </w:p>
        </w:tc>
        <w:tc>
          <w:tcPr>
            <w:tcW w:w="493" w:type="pct"/>
            <w:noWrap/>
            <w:hideMark/>
          </w:tcPr>
          <w:p w14:paraId="6EF8A9DE" w14:textId="77777777" w:rsidR="00C15F2E" w:rsidRPr="00D96063" w:rsidRDefault="00C15F2E" w:rsidP="00053198">
            <w:pPr>
              <w:jc w:val="right"/>
              <w:rPr>
                <w:rFonts w:cs="Calibri"/>
                <w:sz w:val="16"/>
                <w:szCs w:val="16"/>
              </w:rPr>
            </w:pPr>
            <w:r w:rsidRPr="00D96063">
              <w:rPr>
                <w:rFonts w:cs="Calibri"/>
                <w:sz w:val="16"/>
                <w:szCs w:val="16"/>
              </w:rPr>
              <w:t>0.4</w:t>
            </w:r>
          </w:p>
        </w:tc>
      </w:tr>
      <w:tr w:rsidR="00C15F2E" w:rsidRPr="00D96063" w14:paraId="5824BB82"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21A39528" w14:textId="77777777" w:rsidR="00C15F2E" w:rsidRPr="00D96063" w:rsidRDefault="00C15F2E" w:rsidP="0009597E">
            <w:pPr>
              <w:jc w:val="left"/>
              <w:rPr>
                <w:rFonts w:cs="Calibri"/>
                <w:sz w:val="16"/>
                <w:szCs w:val="16"/>
              </w:rPr>
            </w:pPr>
            <w:r w:rsidRPr="00D96063">
              <w:rPr>
                <w:rFonts w:cs="Calibri"/>
                <w:sz w:val="16"/>
                <w:szCs w:val="16"/>
              </w:rPr>
              <w:t>11 Textiles and textile articles</w:t>
            </w:r>
          </w:p>
        </w:tc>
        <w:tc>
          <w:tcPr>
            <w:tcW w:w="492" w:type="pct"/>
            <w:noWrap/>
            <w:hideMark/>
          </w:tcPr>
          <w:p w14:paraId="1B9DEE35" w14:textId="77777777" w:rsidR="00C15F2E" w:rsidRPr="00D96063" w:rsidRDefault="00C15F2E" w:rsidP="00053198">
            <w:pPr>
              <w:jc w:val="right"/>
              <w:rPr>
                <w:rFonts w:cs="Calibri"/>
                <w:sz w:val="16"/>
                <w:szCs w:val="16"/>
              </w:rPr>
            </w:pPr>
            <w:r w:rsidRPr="00D96063">
              <w:rPr>
                <w:rFonts w:cs="Calibri"/>
                <w:sz w:val="16"/>
                <w:szCs w:val="16"/>
              </w:rPr>
              <w:t>0.5</w:t>
            </w:r>
          </w:p>
        </w:tc>
        <w:tc>
          <w:tcPr>
            <w:tcW w:w="493" w:type="pct"/>
            <w:noWrap/>
            <w:hideMark/>
          </w:tcPr>
          <w:p w14:paraId="14C83675" w14:textId="77777777" w:rsidR="00C15F2E" w:rsidRPr="00D96063" w:rsidRDefault="00C15F2E" w:rsidP="00053198">
            <w:pPr>
              <w:jc w:val="right"/>
              <w:rPr>
                <w:rFonts w:cs="Calibri"/>
                <w:sz w:val="16"/>
                <w:szCs w:val="16"/>
              </w:rPr>
            </w:pPr>
            <w:r w:rsidRPr="00D96063">
              <w:rPr>
                <w:rFonts w:cs="Calibri"/>
                <w:sz w:val="16"/>
                <w:szCs w:val="16"/>
              </w:rPr>
              <w:t>0.3</w:t>
            </w:r>
          </w:p>
        </w:tc>
        <w:tc>
          <w:tcPr>
            <w:tcW w:w="493" w:type="pct"/>
            <w:noWrap/>
            <w:hideMark/>
          </w:tcPr>
          <w:p w14:paraId="5FDDD9C1" w14:textId="77777777" w:rsidR="00C15F2E" w:rsidRPr="00D96063" w:rsidRDefault="00C15F2E" w:rsidP="00053198">
            <w:pPr>
              <w:jc w:val="right"/>
              <w:rPr>
                <w:rFonts w:cs="Calibri"/>
                <w:sz w:val="16"/>
                <w:szCs w:val="16"/>
              </w:rPr>
            </w:pPr>
            <w:r w:rsidRPr="00D96063">
              <w:rPr>
                <w:rFonts w:cs="Calibri"/>
                <w:sz w:val="16"/>
                <w:szCs w:val="16"/>
              </w:rPr>
              <w:t>0.2</w:t>
            </w:r>
          </w:p>
        </w:tc>
        <w:tc>
          <w:tcPr>
            <w:tcW w:w="492" w:type="pct"/>
            <w:noWrap/>
            <w:hideMark/>
          </w:tcPr>
          <w:p w14:paraId="5CF7A43E" w14:textId="77777777" w:rsidR="00C15F2E" w:rsidRPr="00D96063" w:rsidRDefault="00C15F2E" w:rsidP="00053198">
            <w:pPr>
              <w:jc w:val="right"/>
              <w:rPr>
                <w:rFonts w:cs="Calibri"/>
                <w:sz w:val="16"/>
                <w:szCs w:val="16"/>
              </w:rPr>
            </w:pPr>
            <w:r w:rsidRPr="00D96063">
              <w:rPr>
                <w:rFonts w:cs="Calibri"/>
                <w:sz w:val="16"/>
                <w:szCs w:val="16"/>
              </w:rPr>
              <w:t>0.7</w:t>
            </w:r>
          </w:p>
        </w:tc>
        <w:tc>
          <w:tcPr>
            <w:tcW w:w="493" w:type="pct"/>
            <w:noWrap/>
            <w:hideMark/>
          </w:tcPr>
          <w:p w14:paraId="2364C447" w14:textId="77777777" w:rsidR="00C15F2E" w:rsidRPr="00D96063" w:rsidRDefault="00C15F2E" w:rsidP="00053198">
            <w:pPr>
              <w:jc w:val="right"/>
              <w:rPr>
                <w:rFonts w:cs="Calibri"/>
                <w:sz w:val="16"/>
                <w:szCs w:val="16"/>
              </w:rPr>
            </w:pPr>
            <w:r w:rsidRPr="00D96063">
              <w:rPr>
                <w:rFonts w:cs="Calibri"/>
                <w:sz w:val="16"/>
                <w:szCs w:val="16"/>
              </w:rPr>
              <w:t>0.2</w:t>
            </w:r>
          </w:p>
        </w:tc>
        <w:tc>
          <w:tcPr>
            <w:tcW w:w="493" w:type="pct"/>
            <w:noWrap/>
            <w:hideMark/>
          </w:tcPr>
          <w:p w14:paraId="6BCAA4E4" w14:textId="77777777" w:rsidR="00C15F2E" w:rsidRPr="00D96063" w:rsidRDefault="00C15F2E" w:rsidP="00053198">
            <w:pPr>
              <w:jc w:val="right"/>
              <w:rPr>
                <w:rFonts w:cs="Calibri"/>
                <w:sz w:val="16"/>
                <w:szCs w:val="16"/>
              </w:rPr>
            </w:pPr>
            <w:r w:rsidRPr="00D96063">
              <w:rPr>
                <w:rFonts w:cs="Calibri"/>
                <w:sz w:val="16"/>
                <w:szCs w:val="16"/>
              </w:rPr>
              <w:t>0.3</w:t>
            </w:r>
          </w:p>
        </w:tc>
      </w:tr>
      <w:tr w:rsidR="00C15F2E" w:rsidRPr="00D96063" w14:paraId="470F77F5" w14:textId="77777777" w:rsidTr="00053198">
        <w:trPr>
          <w:trHeight w:val="240"/>
        </w:trPr>
        <w:tc>
          <w:tcPr>
            <w:tcW w:w="2044" w:type="pct"/>
            <w:gridSpan w:val="3"/>
            <w:noWrap/>
            <w:hideMark/>
          </w:tcPr>
          <w:p w14:paraId="143A4DA9" w14:textId="77777777" w:rsidR="00C15F2E" w:rsidRPr="00D96063" w:rsidRDefault="00C15F2E" w:rsidP="0009597E">
            <w:pPr>
              <w:jc w:val="left"/>
              <w:rPr>
                <w:rFonts w:cs="Calibri"/>
                <w:sz w:val="16"/>
                <w:szCs w:val="16"/>
              </w:rPr>
            </w:pPr>
            <w:r w:rsidRPr="00D96063">
              <w:rPr>
                <w:rFonts w:cs="Calibri"/>
                <w:sz w:val="16"/>
                <w:szCs w:val="16"/>
              </w:rPr>
              <w:t>12 Footwear, headgear, etc.</w:t>
            </w:r>
          </w:p>
        </w:tc>
        <w:tc>
          <w:tcPr>
            <w:tcW w:w="492" w:type="pct"/>
            <w:noWrap/>
            <w:hideMark/>
          </w:tcPr>
          <w:p w14:paraId="1BC2014C" w14:textId="77777777" w:rsidR="00C15F2E" w:rsidRPr="00D96063" w:rsidRDefault="00C15F2E" w:rsidP="00053198">
            <w:pPr>
              <w:jc w:val="right"/>
              <w:rPr>
                <w:rFonts w:cs="Calibri"/>
                <w:sz w:val="16"/>
                <w:szCs w:val="16"/>
              </w:rPr>
            </w:pPr>
            <w:r w:rsidRPr="00D96063">
              <w:rPr>
                <w:rFonts w:cs="Calibri"/>
                <w:sz w:val="16"/>
                <w:szCs w:val="16"/>
              </w:rPr>
              <w:t>0.8</w:t>
            </w:r>
          </w:p>
        </w:tc>
        <w:tc>
          <w:tcPr>
            <w:tcW w:w="493" w:type="pct"/>
            <w:noWrap/>
            <w:hideMark/>
          </w:tcPr>
          <w:p w14:paraId="7CB87D39" w14:textId="77777777" w:rsidR="00C15F2E" w:rsidRPr="00D96063" w:rsidRDefault="00C15F2E" w:rsidP="00053198">
            <w:pPr>
              <w:jc w:val="right"/>
              <w:rPr>
                <w:rFonts w:cs="Calibri"/>
                <w:sz w:val="16"/>
                <w:szCs w:val="16"/>
              </w:rPr>
            </w:pPr>
            <w:r w:rsidRPr="00D96063">
              <w:rPr>
                <w:rFonts w:cs="Calibri"/>
                <w:sz w:val="16"/>
                <w:szCs w:val="16"/>
              </w:rPr>
              <w:t>0.1</w:t>
            </w:r>
          </w:p>
        </w:tc>
        <w:tc>
          <w:tcPr>
            <w:tcW w:w="493" w:type="pct"/>
            <w:noWrap/>
            <w:hideMark/>
          </w:tcPr>
          <w:p w14:paraId="4CA8F1E3" w14:textId="77777777" w:rsidR="00C15F2E" w:rsidRPr="00D96063" w:rsidRDefault="00C15F2E" w:rsidP="00053198">
            <w:pPr>
              <w:jc w:val="right"/>
              <w:rPr>
                <w:rFonts w:cs="Calibri"/>
                <w:sz w:val="16"/>
                <w:szCs w:val="16"/>
              </w:rPr>
            </w:pPr>
            <w:r w:rsidRPr="00D96063">
              <w:rPr>
                <w:rFonts w:cs="Calibri"/>
                <w:sz w:val="16"/>
                <w:szCs w:val="16"/>
              </w:rPr>
              <w:t>0.0</w:t>
            </w:r>
          </w:p>
        </w:tc>
        <w:tc>
          <w:tcPr>
            <w:tcW w:w="492" w:type="pct"/>
            <w:noWrap/>
            <w:hideMark/>
          </w:tcPr>
          <w:p w14:paraId="085466D0"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28F8E8C5"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700691AC" w14:textId="77777777" w:rsidR="00C15F2E" w:rsidRPr="00D96063" w:rsidRDefault="00C15F2E" w:rsidP="00053198">
            <w:pPr>
              <w:jc w:val="right"/>
              <w:rPr>
                <w:rFonts w:cs="Calibri"/>
                <w:sz w:val="16"/>
                <w:szCs w:val="16"/>
              </w:rPr>
            </w:pPr>
            <w:r w:rsidRPr="00D96063">
              <w:rPr>
                <w:rFonts w:cs="Calibri"/>
                <w:sz w:val="16"/>
                <w:szCs w:val="16"/>
              </w:rPr>
              <w:t>0.6</w:t>
            </w:r>
          </w:p>
        </w:tc>
      </w:tr>
      <w:tr w:rsidR="00C15F2E" w:rsidRPr="00D96063" w14:paraId="1D43F068"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3779D13D" w14:textId="77777777" w:rsidR="00C15F2E" w:rsidRPr="00D96063" w:rsidRDefault="00C15F2E" w:rsidP="0009597E">
            <w:pPr>
              <w:jc w:val="left"/>
              <w:rPr>
                <w:rFonts w:cs="Calibri"/>
                <w:sz w:val="16"/>
                <w:szCs w:val="16"/>
              </w:rPr>
            </w:pPr>
            <w:r w:rsidRPr="00D96063">
              <w:rPr>
                <w:rFonts w:cs="Calibri"/>
                <w:sz w:val="16"/>
                <w:szCs w:val="16"/>
              </w:rPr>
              <w:t>13 Articles of stone, plaster, cement</w:t>
            </w:r>
          </w:p>
        </w:tc>
        <w:tc>
          <w:tcPr>
            <w:tcW w:w="492" w:type="pct"/>
            <w:noWrap/>
            <w:hideMark/>
          </w:tcPr>
          <w:p w14:paraId="575CE5D4" w14:textId="77777777" w:rsidR="00C15F2E" w:rsidRPr="00D96063" w:rsidRDefault="00C15F2E" w:rsidP="00053198">
            <w:pPr>
              <w:jc w:val="right"/>
              <w:rPr>
                <w:rFonts w:cs="Calibri"/>
                <w:sz w:val="16"/>
                <w:szCs w:val="16"/>
              </w:rPr>
            </w:pPr>
            <w:r w:rsidRPr="00D96063">
              <w:rPr>
                <w:rFonts w:cs="Calibri"/>
                <w:sz w:val="16"/>
                <w:szCs w:val="16"/>
              </w:rPr>
              <w:t>0.1</w:t>
            </w:r>
          </w:p>
        </w:tc>
        <w:tc>
          <w:tcPr>
            <w:tcW w:w="493" w:type="pct"/>
            <w:noWrap/>
            <w:hideMark/>
          </w:tcPr>
          <w:p w14:paraId="21E9D999"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234D856C" w14:textId="77777777" w:rsidR="00C15F2E" w:rsidRPr="00D96063" w:rsidRDefault="00C15F2E" w:rsidP="00053198">
            <w:pPr>
              <w:jc w:val="right"/>
              <w:rPr>
                <w:rFonts w:cs="Calibri"/>
                <w:sz w:val="16"/>
                <w:szCs w:val="16"/>
              </w:rPr>
            </w:pPr>
            <w:r w:rsidRPr="00D96063">
              <w:rPr>
                <w:rFonts w:cs="Calibri"/>
                <w:sz w:val="16"/>
                <w:szCs w:val="16"/>
              </w:rPr>
              <w:t>0.0</w:t>
            </w:r>
          </w:p>
        </w:tc>
        <w:tc>
          <w:tcPr>
            <w:tcW w:w="492" w:type="pct"/>
            <w:noWrap/>
            <w:hideMark/>
          </w:tcPr>
          <w:p w14:paraId="7004349B" w14:textId="77777777" w:rsidR="00C15F2E" w:rsidRPr="00D96063" w:rsidRDefault="00C15F2E" w:rsidP="00053198">
            <w:pPr>
              <w:jc w:val="right"/>
              <w:rPr>
                <w:rFonts w:cs="Calibri"/>
                <w:sz w:val="16"/>
                <w:szCs w:val="16"/>
              </w:rPr>
            </w:pPr>
            <w:r w:rsidRPr="00D96063">
              <w:rPr>
                <w:rFonts w:cs="Calibri"/>
                <w:sz w:val="16"/>
                <w:szCs w:val="16"/>
              </w:rPr>
              <w:t>0.1</w:t>
            </w:r>
          </w:p>
        </w:tc>
        <w:tc>
          <w:tcPr>
            <w:tcW w:w="493" w:type="pct"/>
            <w:noWrap/>
            <w:hideMark/>
          </w:tcPr>
          <w:p w14:paraId="6C631D3C" w14:textId="77777777" w:rsidR="00C15F2E" w:rsidRPr="00D96063" w:rsidRDefault="00C15F2E" w:rsidP="00053198">
            <w:pPr>
              <w:jc w:val="right"/>
              <w:rPr>
                <w:rFonts w:cs="Calibri"/>
                <w:sz w:val="16"/>
                <w:szCs w:val="16"/>
              </w:rPr>
            </w:pPr>
            <w:r w:rsidRPr="00D96063">
              <w:rPr>
                <w:rFonts w:cs="Calibri"/>
                <w:sz w:val="16"/>
                <w:szCs w:val="16"/>
              </w:rPr>
              <w:t>0.1</w:t>
            </w:r>
          </w:p>
        </w:tc>
        <w:tc>
          <w:tcPr>
            <w:tcW w:w="493" w:type="pct"/>
            <w:noWrap/>
            <w:hideMark/>
          </w:tcPr>
          <w:p w14:paraId="31657B9C" w14:textId="77777777" w:rsidR="00C15F2E" w:rsidRPr="00D96063" w:rsidRDefault="00C15F2E" w:rsidP="00053198">
            <w:pPr>
              <w:jc w:val="right"/>
              <w:rPr>
                <w:rFonts w:cs="Calibri"/>
                <w:sz w:val="16"/>
                <w:szCs w:val="16"/>
              </w:rPr>
            </w:pPr>
            <w:r w:rsidRPr="00D96063">
              <w:rPr>
                <w:rFonts w:cs="Calibri"/>
                <w:sz w:val="16"/>
                <w:szCs w:val="16"/>
              </w:rPr>
              <w:t>0.1</w:t>
            </w:r>
          </w:p>
        </w:tc>
      </w:tr>
      <w:tr w:rsidR="00C15F2E" w:rsidRPr="00D96063" w14:paraId="4C4190FE" w14:textId="77777777" w:rsidTr="00053198">
        <w:trPr>
          <w:trHeight w:val="240"/>
        </w:trPr>
        <w:tc>
          <w:tcPr>
            <w:tcW w:w="2044" w:type="pct"/>
            <w:gridSpan w:val="3"/>
            <w:noWrap/>
            <w:hideMark/>
          </w:tcPr>
          <w:p w14:paraId="526A8C5D" w14:textId="77777777" w:rsidR="00C15F2E" w:rsidRPr="00D96063" w:rsidRDefault="00C15F2E" w:rsidP="0009597E">
            <w:pPr>
              <w:jc w:val="left"/>
              <w:rPr>
                <w:rFonts w:cs="Calibri"/>
                <w:sz w:val="16"/>
                <w:szCs w:val="16"/>
              </w:rPr>
            </w:pPr>
            <w:r w:rsidRPr="00D96063">
              <w:rPr>
                <w:rFonts w:cs="Calibri"/>
                <w:sz w:val="16"/>
                <w:szCs w:val="16"/>
              </w:rPr>
              <w:t>14 Precious stones and metals</w:t>
            </w:r>
          </w:p>
        </w:tc>
        <w:tc>
          <w:tcPr>
            <w:tcW w:w="492" w:type="pct"/>
            <w:noWrap/>
            <w:hideMark/>
          </w:tcPr>
          <w:p w14:paraId="5C97A9AB" w14:textId="77777777" w:rsidR="00C15F2E" w:rsidRPr="00D96063" w:rsidRDefault="00C15F2E" w:rsidP="00053198">
            <w:pPr>
              <w:jc w:val="right"/>
              <w:rPr>
                <w:rFonts w:cs="Calibri"/>
                <w:sz w:val="16"/>
                <w:szCs w:val="16"/>
              </w:rPr>
            </w:pPr>
            <w:r w:rsidRPr="00D96063">
              <w:rPr>
                <w:rFonts w:cs="Calibri"/>
                <w:sz w:val="16"/>
                <w:szCs w:val="16"/>
              </w:rPr>
              <w:t>30.6</w:t>
            </w:r>
          </w:p>
        </w:tc>
        <w:tc>
          <w:tcPr>
            <w:tcW w:w="493" w:type="pct"/>
            <w:noWrap/>
            <w:hideMark/>
          </w:tcPr>
          <w:p w14:paraId="4154F5D0" w14:textId="77777777" w:rsidR="00C15F2E" w:rsidRPr="00D96063" w:rsidRDefault="00C15F2E" w:rsidP="00053198">
            <w:pPr>
              <w:jc w:val="right"/>
              <w:rPr>
                <w:rFonts w:cs="Calibri"/>
                <w:sz w:val="16"/>
                <w:szCs w:val="16"/>
              </w:rPr>
            </w:pPr>
            <w:r w:rsidRPr="00D96063">
              <w:rPr>
                <w:rFonts w:cs="Calibri"/>
                <w:sz w:val="16"/>
                <w:szCs w:val="16"/>
              </w:rPr>
              <w:t>31.8</w:t>
            </w:r>
          </w:p>
        </w:tc>
        <w:tc>
          <w:tcPr>
            <w:tcW w:w="493" w:type="pct"/>
            <w:noWrap/>
            <w:hideMark/>
          </w:tcPr>
          <w:p w14:paraId="73670D98" w14:textId="77777777" w:rsidR="00C15F2E" w:rsidRPr="00D96063" w:rsidRDefault="00C15F2E" w:rsidP="00053198">
            <w:pPr>
              <w:jc w:val="right"/>
              <w:rPr>
                <w:rFonts w:cs="Calibri"/>
                <w:sz w:val="16"/>
                <w:szCs w:val="16"/>
              </w:rPr>
            </w:pPr>
            <w:r w:rsidRPr="00D96063">
              <w:rPr>
                <w:rFonts w:cs="Calibri"/>
                <w:sz w:val="16"/>
                <w:szCs w:val="16"/>
              </w:rPr>
              <w:t>41.6</w:t>
            </w:r>
          </w:p>
        </w:tc>
        <w:tc>
          <w:tcPr>
            <w:tcW w:w="492" w:type="pct"/>
            <w:noWrap/>
            <w:hideMark/>
          </w:tcPr>
          <w:p w14:paraId="538162AC" w14:textId="77777777" w:rsidR="00C15F2E" w:rsidRPr="00D96063" w:rsidRDefault="00C15F2E" w:rsidP="00053198">
            <w:pPr>
              <w:jc w:val="right"/>
              <w:rPr>
                <w:rFonts w:cs="Calibri"/>
                <w:sz w:val="16"/>
                <w:szCs w:val="16"/>
              </w:rPr>
            </w:pPr>
            <w:r w:rsidRPr="00D96063">
              <w:rPr>
                <w:rFonts w:cs="Calibri"/>
                <w:sz w:val="16"/>
                <w:szCs w:val="16"/>
              </w:rPr>
              <w:t>40.8</w:t>
            </w:r>
          </w:p>
        </w:tc>
        <w:tc>
          <w:tcPr>
            <w:tcW w:w="493" w:type="pct"/>
            <w:noWrap/>
            <w:hideMark/>
          </w:tcPr>
          <w:p w14:paraId="25B35466" w14:textId="77777777" w:rsidR="00C15F2E" w:rsidRPr="00D96063" w:rsidRDefault="00C15F2E" w:rsidP="00053198">
            <w:pPr>
              <w:jc w:val="right"/>
              <w:rPr>
                <w:rFonts w:cs="Calibri"/>
                <w:sz w:val="16"/>
                <w:szCs w:val="16"/>
              </w:rPr>
            </w:pPr>
            <w:r w:rsidRPr="00D96063">
              <w:rPr>
                <w:rFonts w:cs="Calibri"/>
                <w:sz w:val="16"/>
                <w:szCs w:val="16"/>
              </w:rPr>
              <w:t>35.6</w:t>
            </w:r>
          </w:p>
        </w:tc>
        <w:tc>
          <w:tcPr>
            <w:tcW w:w="493" w:type="pct"/>
            <w:noWrap/>
            <w:hideMark/>
          </w:tcPr>
          <w:p w14:paraId="6BB9A6D1" w14:textId="77777777" w:rsidR="00C15F2E" w:rsidRPr="00D96063" w:rsidRDefault="00C15F2E" w:rsidP="00053198">
            <w:pPr>
              <w:jc w:val="right"/>
              <w:rPr>
                <w:rFonts w:cs="Calibri"/>
                <w:sz w:val="16"/>
                <w:szCs w:val="16"/>
              </w:rPr>
            </w:pPr>
            <w:r w:rsidRPr="00D96063">
              <w:rPr>
                <w:rFonts w:cs="Calibri"/>
                <w:sz w:val="16"/>
                <w:szCs w:val="16"/>
              </w:rPr>
              <w:t>37.0</w:t>
            </w:r>
          </w:p>
        </w:tc>
      </w:tr>
      <w:tr w:rsidR="00C15F2E" w:rsidRPr="00D96063" w14:paraId="0E97594C"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145" w:type="pct"/>
            <w:tcBorders>
              <w:top w:val="nil"/>
              <w:bottom w:val="nil"/>
              <w:right w:val="nil"/>
            </w:tcBorders>
            <w:noWrap/>
            <w:hideMark/>
          </w:tcPr>
          <w:p w14:paraId="0A643DDD" w14:textId="77777777" w:rsidR="00C15F2E" w:rsidRPr="00D96063" w:rsidRDefault="00C15F2E" w:rsidP="0009597E">
            <w:pPr>
              <w:jc w:val="left"/>
              <w:rPr>
                <w:rFonts w:cs="Calibri"/>
                <w:sz w:val="16"/>
                <w:szCs w:val="16"/>
              </w:rPr>
            </w:pPr>
            <w:r w:rsidRPr="00D96063">
              <w:rPr>
                <w:rFonts w:cs="Calibri"/>
                <w:sz w:val="16"/>
                <w:szCs w:val="16"/>
              </w:rPr>
              <w:t> </w:t>
            </w:r>
          </w:p>
        </w:tc>
        <w:tc>
          <w:tcPr>
            <w:tcW w:w="1899" w:type="pct"/>
            <w:gridSpan w:val="2"/>
            <w:tcBorders>
              <w:left w:val="nil"/>
            </w:tcBorders>
            <w:noWrap/>
            <w:hideMark/>
          </w:tcPr>
          <w:p w14:paraId="42A5F5BE" w14:textId="77777777" w:rsidR="00C15F2E" w:rsidRPr="00D96063" w:rsidRDefault="00C15F2E" w:rsidP="0009597E">
            <w:pPr>
              <w:jc w:val="left"/>
              <w:rPr>
                <w:rFonts w:cs="Calibri"/>
                <w:sz w:val="16"/>
                <w:szCs w:val="16"/>
              </w:rPr>
            </w:pPr>
            <w:r w:rsidRPr="00D96063">
              <w:rPr>
                <w:rFonts w:cs="Calibri"/>
                <w:sz w:val="16"/>
                <w:szCs w:val="16"/>
              </w:rPr>
              <w:t>71 Natural or cultured pearls, precious or semi- precious stones, precious metals</w:t>
            </w:r>
          </w:p>
        </w:tc>
        <w:tc>
          <w:tcPr>
            <w:tcW w:w="492" w:type="pct"/>
            <w:noWrap/>
            <w:hideMark/>
          </w:tcPr>
          <w:p w14:paraId="73D1452C" w14:textId="77777777" w:rsidR="00C15F2E" w:rsidRPr="00D96063" w:rsidRDefault="00C15F2E" w:rsidP="00053198">
            <w:pPr>
              <w:jc w:val="right"/>
              <w:rPr>
                <w:rFonts w:cs="Calibri"/>
                <w:sz w:val="16"/>
                <w:szCs w:val="16"/>
              </w:rPr>
            </w:pPr>
            <w:r w:rsidRPr="00D96063">
              <w:rPr>
                <w:rFonts w:cs="Calibri"/>
                <w:sz w:val="16"/>
                <w:szCs w:val="16"/>
              </w:rPr>
              <w:t>30.6</w:t>
            </w:r>
          </w:p>
        </w:tc>
        <w:tc>
          <w:tcPr>
            <w:tcW w:w="493" w:type="pct"/>
            <w:noWrap/>
            <w:hideMark/>
          </w:tcPr>
          <w:p w14:paraId="3E57B04E" w14:textId="77777777" w:rsidR="00C15F2E" w:rsidRPr="00D96063" w:rsidRDefault="00C15F2E" w:rsidP="00053198">
            <w:pPr>
              <w:jc w:val="right"/>
              <w:rPr>
                <w:rFonts w:cs="Calibri"/>
                <w:sz w:val="16"/>
                <w:szCs w:val="16"/>
              </w:rPr>
            </w:pPr>
            <w:r w:rsidRPr="00D96063">
              <w:rPr>
                <w:rFonts w:cs="Calibri"/>
                <w:sz w:val="16"/>
                <w:szCs w:val="16"/>
              </w:rPr>
              <w:t>31.8</w:t>
            </w:r>
          </w:p>
        </w:tc>
        <w:tc>
          <w:tcPr>
            <w:tcW w:w="493" w:type="pct"/>
            <w:noWrap/>
            <w:hideMark/>
          </w:tcPr>
          <w:p w14:paraId="45137BF9" w14:textId="77777777" w:rsidR="00C15F2E" w:rsidRPr="00D96063" w:rsidRDefault="00C15F2E" w:rsidP="00053198">
            <w:pPr>
              <w:jc w:val="right"/>
              <w:rPr>
                <w:rFonts w:cs="Calibri"/>
                <w:sz w:val="16"/>
                <w:szCs w:val="16"/>
              </w:rPr>
            </w:pPr>
            <w:r w:rsidRPr="00D96063">
              <w:rPr>
                <w:rFonts w:cs="Calibri"/>
                <w:sz w:val="16"/>
                <w:szCs w:val="16"/>
              </w:rPr>
              <w:t>41.6</w:t>
            </w:r>
          </w:p>
        </w:tc>
        <w:tc>
          <w:tcPr>
            <w:tcW w:w="492" w:type="pct"/>
            <w:noWrap/>
            <w:hideMark/>
          </w:tcPr>
          <w:p w14:paraId="1787DEEB" w14:textId="77777777" w:rsidR="00C15F2E" w:rsidRPr="00D96063" w:rsidRDefault="00C15F2E" w:rsidP="00053198">
            <w:pPr>
              <w:jc w:val="right"/>
              <w:rPr>
                <w:rFonts w:cs="Calibri"/>
                <w:sz w:val="16"/>
                <w:szCs w:val="16"/>
              </w:rPr>
            </w:pPr>
            <w:r w:rsidRPr="00D96063">
              <w:rPr>
                <w:rFonts w:cs="Calibri"/>
                <w:sz w:val="16"/>
                <w:szCs w:val="16"/>
              </w:rPr>
              <w:t>40.8</w:t>
            </w:r>
          </w:p>
        </w:tc>
        <w:tc>
          <w:tcPr>
            <w:tcW w:w="493" w:type="pct"/>
            <w:noWrap/>
            <w:hideMark/>
          </w:tcPr>
          <w:p w14:paraId="527FA095" w14:textId="77777777" w:rsidR="00C15F2E" w:rsidRPr="00D96063" w:rsidRDefault="00C15F2E" w:rsidP="00053198">
            <w:pPr>
              <w:jc w:val="right"/>
              <w:rPr>
                <w:rFonts w:cs="Calibri"/>
                <w:sz w:val="16"/>
                <w:szCs w:val="16"/>
              </w:rPr>
            </w:pPr>
            <w:r w:rsidRPr="00D96063">
              <w:rPr>
                <w:rFonts w:cs="Calibri"/>
                <w:sz w:val="16"/>
                <w:szCs w:val="16"/>
              </w:rPr>
              <w:t>35.6</w:t>
            </w:r>
          </w:p>
        </w:tc>
        <w:tc>
          <w:tcPr>
            <w:tcW w:w="493" w:type="pct"/>
            <w:noWrap/>
            <w:hideMark/>
          </w:tcPr>
          <w:p w14:paraId="05404B59" w14:textId="77777777" w:rsidR="00C15F2E" w:rsidRPr="00D96063" w:rsidRDefault="00C15F2E" w:rsidP="00053198">
            <w:pPr>
              <w:jc w:val="right"/>
              <w:rPr>
                <w:rFonts w:cs="Calibri"/>
                <w:sz w:val="16"/>
                <w:szCs w:val="16"/>
              </w:rPr>
            </w:pPr>
            <w:r w:rsidRPr="00D96063">
              <w:rPr>
                <w:rFonts w:cs="Calibri"/>
                <w:sz w:val="16"/>
                <w:szCs w:val="16"/>
              </w:rPr>
              <w:t>37.0</w:t>
            </w:r>
          </w:p>
        </w:tc>
      </w:tr>
      <w:tr w:rsidR="00C15F2E" w:rsidRPr="00D96063" w14:paraId="45408257" w14:textId="77777777" w:rsidTr="0009597E">
        <w:trPr>
          <w:trHeight w:val="240"/>
        </w:trPr>
        <w:tc>
          <w:tcPr>
            <w:tcW w:w="145" w:type="pct"/>
            <w:tcBorders>
              <w:top w:val="nil"/>
              <w:bottom w:val="nil"/>
              <w:right w:val="nil"/>
            </w:tcBorders>
            <w:noWrap/>
            <w:hideMark/>
          </w:tcPr>
          <w:p w14:paraId="5F49626B" w14:textId="77777777" w:rsidR="00C15F2E" w:rsidRPr="00D96063" w:rsidRDefault="00C15F2E" w:rsidP="0009597E">
            <w:pPr>
              <w:jc w:val="left"/>
              <w:rPr>
                <w:rFonts w:cs="Calibri"/>
                <w:sz w:val="16"/>
                <w:szCs w:val="16"/>
              </w:rPr>
            </w:pPr>
            <w:r w:rsidRPr="00D96063">
              <w:rPr>
                <w:rFonts w:cs="Calibri"/>
                <w:sz w:val="16"/>
                <w:szCs w:val="16"/>
              </w:rPr>
              <w:t> </w:t>
            </w:r>
          </w:p>
        </w:tc>
        <w:tc>
          <w:tcPr>
            <w:tcW w:w="1899" w:type="pct"/>
            <w:gridSpan w:val="2"/>
            <w:tcBorders>
              <w:left w:val="nil"/>
            </w:tcBorders>
            <w:noWrap/>
            <w:hideMark/>
          </w:tcPr>
          <w:p w14:paraId="1D518A59" w14:textId="77777777" w:rsidR="00C15F2E" w:rsidRPr="00D96063" w:rsidRDefault="00C15F2E" w:rsidP="0009597E">
            <w:pPr>
              <w:ind w:left="284" w:hanging="284"/>
              <w:jc w:val="left"/>
              <w:rPr>
                <w:rFonts w:cs="Calibri"/>
                <w:sz w:val="16"/>
                <w:szCs w:val="16"/>
              </w:rPr>
            </w:pPr>
            <w:r w:rsidRPr="00D96063">
              <w:rPr>
                <w:rFonts w:cs="Calibri"/>
                <w:sz w:val="16"/>
                <w:szCs w:val="16"/>
              </w:rPr>
              <w:tab/>
              <w:t>7108 Gold (including gold plated with platinum) unwrought or in semi-manufactured forms, or in powder form</w:t>
            </w:r>
          </w:p>
        </w:tc>
        <w:tc>
          <w:tcPr>
            <w:tcW w:w="492" w:type="pct"/>
            <w:noWrap/>
            <w:hideMark/>
          </w:tcPr>
          <w:p w14:paraId="5C354C40" w14:textId="77777777" w:rsidR="00C15F2E" w:rsidRPr="00D96063" w:rsidRDefault="00C15F2E" w:rsidP="00053198">
            <w:pPr>
              <w:jc w:val="right"/>
              <w:rPr>
                <w:rFonts w:cs="Calibri"/>
                <w:sz w:val="16"/>
                <w:szCs w:val="16"/>
              </w:rPr>
            </w:pPr>
            <w:r w:rsidRPr="00D96063">
              <w:rPr>
                <w:rFonts w:cs="Calibri"/>
                <w:sz w:val="16"/>
                <w:szCs w:val="16"/>
              </w:rPr>
              <w:t>30.2</w:t>
            </w:r>
          </w:p>
        </w:tc>
        <w:tc>
          <w:tcPr>
            <w:tcW w:w="493" w:type="pct"/>
            <w:noWrap/>
            <w:hideMark/>
          </w:tcPr>
          <w:p w14:paraId="03BB1DE1" w14:textId="77777777" w:rsidR="00C15F2E" w:rsidRPr="00D96063" w:rsidRDefault="00C15F2E" w:rsidP="00053198">
            <w:pPr>
              <w:jc w:val="right"/>
              <w:rPr>
                <w:rFonts w:cs="Calibri"/>
                <w:sz w:val="16"/>
                <w:szCs w:val="16"/>
              </w:rPr>
            </w:pPr>
            <w:r w:rsidRPr="00D96063">
              <w:rPr>
                <w:rFonts w:cs="Calibri"/>
                <w:sz w:val="16"/>
                <w:szCs w:val="16"/>
              </w:rPr>
              <w:t>31.8</w:t>
            </w:r>
          </w:p>
        </w:tc>
        <w:tc>
          <w:tcPr>
            <w:tcW w:w="493" w:type="pct"/>
            <w:noWrap/>
            <w:hideMark/>
          </w:tcPr>
          <w:p w14:paraId="3C75E00F" w14:textId="77777777" w:rsidR="00C15F2E" w:rsidRPr="00D96063" w:rsidRDefault="00C15F2E" w:rsidP="00053198">
            <w:pPr>
              <w:jc w:val="right"/>
              <w:rPr>
                <w:rFonts w:cs="Calibri"/>
                <w:sz w:val="16"/>
                <w:szCs w:val="16"/>
              </w:rPr>
            </w:pPr>
            <w:r w:rsidRPr="00D96063">
              <w:rPr>
                <w:rFonts w:cs="Calibri"/>
                <w:sz w:val="16"/>
                <w:szCs w:val="16"/>
              </w:rPr>
              <w:t>41.6</w:t>
            </w:r>
          </w:p>
        </w:tc>
        <w:tc>
          <w:tcPr>
            <w:tcW w:w="492" w:type="pct"/>
            <w:noWrap/>
            <w:hideMark/>
          </w:tcPr>
          <w:p w14:paraId="11217672" w14:textId="77777777" w:rsidR="00C15F2E" w:rsidRPr="00D96063" w:rsidRDefault="00C15F2E" w:rsidP="00053198">
            <w:pPr>
              <w:jc w:val="right"/>
              <w:rPr>
                <w:rFonts w:cs="Calibri"/>
                <w:sz w:val="16"/>
                <w:szCs w:val="16"/>
              </w:rPr>
            </w:pPr>
            <w:r w:rsidRPr="00D96063">
              <w:rPr>
                <w:rFonts w:cs="Calibri"/>
                <w:sz w:val="16"/>
                <w:szCs w:val="16"/>
              </w:rPr>
              <w:t>40.8</w:t>
            </w:r>
          </w:p>
        </w:tc>
        <w:tc>
          <w:tcPr>
            <w:tcW w:w="493" w:type="pct"/>
            <w:noWrap/>
            <w:hideMark/>
          </w:tcPr>
          <w:p w14:paraId="4BC9A278" w14:textId="77777777" w:rsidR="00C15F2E" w:rsidRPr="00D96063" w:rsidRDefault="00C15F2E" w:rsidP="00053198">
            <w:pPr>
              <w:jc w:val="right"/>
              <w:rPr>
                <w:rFonts w:cs="Calibri"/>
                <w:sz w:val="16"/>
                <w:szCs w:val="16"/>
              </w:rPr>
            </w:pPr>
            <w:r w:rsidRPr="00D96063">
              <w:rPr>
                <w:rFonts w:cs="Calibri"/>
                <w:sz w:val="16"/>
                <w:szCs w:val="16"/>
              </w:rPr>
              <w:t>35.6</w:t>
            </w:r>
          </w:p>
        </w:tc>
        <w:tc>
          <w:tcPr>
            <w:tcW w:w="493" w:type="pct"/>
            <w:noWrap/>
            <w:hideMark/>
          </w:tcPr>
          <w:p w14:paraId="116AB222" w14:textId="77777777" w:rsidR="00C15F2E" w:rsidRPr="00D96063" w:rsidRDefault="00C15F2E" w:rsidP="00053198">
            <w:pPr>
              <w:jc w:val="right"/>
              <w:rPr>
                <w:rFonts w:cs="Calibri"/>
                <w:sz w:val="16"/>
                <w:szCs w:val="16"/>
              </w:rPr>
            </w:pPr>
            <w:r w:rsidRPr="00D96063">
              <w:rPr>
                <w:rFonts w:cs="Calibri"/>
                <w:sz w:val="16"/>
                <w:szCs w:val="16"/>
              </w:rPr>
              <w:t>37.0</w:t>
            </w:r>
          </w:p>
        </w:tc>
      </w:tr>
      <w:tr w:rsidR="00C15F2E" w:rsidRPr="00D96063" w14:paraId="5496F0C0"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56D52217" w14:textId="77777777" w:rsidR="00C15F2E" w:rsidRPr="00D96063" w:rsidRDefault="00C15F2E" w:rsidP="0009597E">
            <w:pPr>
              <w:jc w:val="left"/>
              <w:rPr>
                <w:rFonts w:cs="Calibri"/>
                <w:sz w:val="16"/>
                <w:szCs w:val="16"/>
              </w:rPr>
            </w:pPr>
            <w:r w:rsidRPr="00D96063">
              <w:rPr>
                <w:rFonts w:cs="Calibri"/>
                <w:sz w:val="16"/>
                <w:szCs w:val="16"/>
              </w:rPr>
              <w:t>15 Base metals and articles thereof</w:t>
            </w:r>
          </w:p>
        </w:tc>
        <w:tc>
          <w:tcPr>
            <w:tcW w:w="492" w:type="pct"/>
            <w:noWrap/>
            <w:hideMark/>
          </w:tcPr>
          <w:p w14:paraId="4989A811" w14:textId="77777777" w:rsidR="00C15F2E" w:rsidRPr="00D96063" w:rsidRDefault="00C15F2E" w:rsidP="00053198">
            <w:pPr>
              <w:jc w:val="right"/>
              <w:rPr>
                <w:rFonts w:cs="Calibri"/>
                <w:sz w:val="16"/>
                <w:szCs w:val="16"/>
              </w:rPr>
            </w:pPr>
            <w:r w:rsidRPr="00D96063">
              <w:rPr>
                <w:rFonts w:cs="Calibri"/>
                <w:sz w:val="16"/>
                <w:szCs w:val="16"/>
              </w:rPr>
              <w:t>1.2</w:t>
            </w:r>
          </w:p>
        </w:tc>
        <w:tc>
          <w:tcPr>
            <w:tcW w:w="493" w:type="pct"/>
            <w:noWrap/>
            <w:hideMark/>
          </w:tcPr>
          <w:p w14:paraId="41017A9A" w14:textId="77777777" w:rsidR="00C15F2E" w:rsidRPr="00D96063" w:rsidRDefault="00C15F2E" w:rsidP="00053198">
            <w:pPr>
              <w:jc w:val="right"/>
              <w:rPr>
                <w:rFonts w:cs="Calibri"/>
                <w:sz w:val="16"/>
                <w:szCs w:val="16"/>
              </w:rPr>
            </w:pPr>
            <w:r w:rsidRPr="00D96063">
              <w:rPr>
                <w:rFonts w:cs="Calibri"/>
                <w:sz w:val="16"/>
                <w:szCs w:val="16"/>
              </w:rPr>
              <w:t>1.1</w:t>
            </w:r>
          </w:p>
        </w:tc>
        <w:tc>
          <w:tcPr>
            <w:tcW w:w="493" w:type="pct"/>
            <w:noWrap/>
            <w:hideMark/>
          </w:tcPr>
          <w:p w14:paraId="70C94B65" w14:textId="77777777" w:rsidR="00C15F2E" w:rsidRPr="00D96063" w:rsidRDefault="00C15F2E" w:rsidP="00053198">
            <w:pPr>
              <w:jc w:val="right"/>
              <w:rPr>
                <w:rFonts w:cs="Calibri"/>
                <w:sz w:val="16"/>
                <w:szCs w:val="16"/>
              </w:rPr>
            </w:pPr>
            <w:r w:rsidRPr="00D96063">
              <w:rPr>
                <w:rFonts w:cs="Calibri"/>
                <w:sz w:val="16"/>
                <w:szCs w:val="16"/>
              </w:rPr>
              <w:t>1.1</w:t>
            </w:r>
          </w:p>
        </w:tc>
        <w:tc>
          <w:tcPr>
            <w:tcW w:w="492" w:type="pct"/>
            <w:noWrap/>
            <w:hideMark/>
          </w:tcPr>
          <w:p w14:paraId="755E5FA5" w14:textId="77777777" w:rsidR="00C15F2E" w:rsidRPr="00D96063" w:rsidRDefault="00C15F2E" w:rsidP="00053198">
            <w:pPr>
              <w:jc w:val="right"/>
              <w:rPr>
                <w:rFonts w:cs="Calibri"/>
                <w:sz w:val="16"/>
                <w:szCs w:val="16"/>
              </w:rPr>
            </w:pPr>
            <w:r w:rsidRPr="00D96063">
              <w:rPr>
                <w:rFonts w:cs="Calibri"/>
                <w:sz w:val="16"/>
                <w:szCs w:val="16"/>
              </w:rPr>
              <w:t>1.1</w:t>
            </w:r>
          </w:p>
        </w:tc>
        <w:tc>
          <w:tcPr>
            <w:tcW w:w="493" w:type="pct"/>
            <w:noWrap/>
            <w:hideMark/>
          </w:tcPr>
          <w:p w14:paraId="408823D1" w14:textId="77777777" w:rsidR="00C15F2E" w:rsidRPr="00D96063" w:rsidRDefault="00C15F2E" w:rsidP="00053198">
            <w:pPr>
              <w:jc w:val="right"/>
              <w:rPr>
                <w:rFonts w:cs="Calibri"/>
                <w:sz w:val="16"/>
                <w:szCs w:val="16"/>
              </w:rPr>
            </w:pPr>
            <w:r w:rsidRPr="00D96063">
              <w:rPr>
                <w:rFonts w:cs="Calibri"/>
                <w:sz w:val="16"/>
                <w:szCs w:val="16"/>
              </w:rPr>
              <w:t>1.1</w:t>
            </w:r>
          </w:p>
        </w:tc>
        <w:tc>
          <w:tcPr>
            <w:tcW w:w="493" w:type="pct"/>
            <w:noWrap/>
            <w:hideMark/>
          </w:tcPr>
          <w:p w14:paraId="41D2F1E7" w14:textId="77777777" w:rsidR="00C15F2E" w:rsidRPr="00D96063" w:rsidRDefault="00C15F2E" w:rsidP="00053198">
            <w:pPr>
              <w:jc w:val="right"/>
              <w:rPr>
                <w:rFonts w:cs="Calibri"/>
                <w:sz w:val="16"/>
                <w:szCs w:val="16"/>
              </w:rPr>
            </w:pPr>
            <w:r w:rsidRPr="00D96063">
              <w:rPr>
                <w:rFonts w:cs="Calibri"/>
                <w:sz w:val="16"/>
                <w:szCs w:val="16"/>
              </w:rPr>
              <w:t>1.2</w:t>
            </w:r>
          </w:p>
        </w:tc>
      </w:tr>
      <w:tr w:rsidR="00C15F2E" w:rsidRPr="00D96063" w14:paraId="4996C669" w14:textId="77777777" w:rsidTr="00053198">
        <w:trPr>
          <w:trHeight w:val="240"/>
        </w:trPr>
        <w:tc>
          <w:tcPr>
            <w:tcW w:w="2044" w:type="pct"/>
            <w:gridSpan w:val="3"/>
            <w:noWrap/>
            <w:hideMark/>
          </w:tcPr>
          <w:p w14:paraId="3D9EDAAE" w14:textId="77777777" w:rsidR="00C15F2E" w:rsidRPr="00D96063" w:rsidRDefault="00C15F2E" w:rsidP="0009597E">
            <w:pPr>
              <w:jc w:val="left"/>
              <w:rPr>
                <w:rFonts w:cs="Calibri"/>
                <w:sz w:val="16"/>
                <w:szCs w:val="16"/>
              </w:rPr>
            </w:pPr>
            <w:r w:rsidRPr="00D96063">
              <w:rPr>
                <w:rFonts w:cs="Calibri"/>
                <w:sz w:val="16"/>
                <w:szCs w:val="16"/>
              </w:rPr>
              <w:t>16 Machinery, electrical equipment</w:t>
            </w:r>
          </w:p>
        </w:tc>
        <w:tc>
          <w:tcPr>
            <w:tcW w:w="492" w:type="pct"/>
            <w:noWrap/>
            <w:hideMark/>
          </w:tcPr>
          <w:p w14:paraId="12381264" w14:textId="77777777" w:rsidR="00C15F2E" w:rsidRPr="00D96063" w:rsidRDefault="00C15F2E" w:rsidP="00053198">
            <w:pPr>
              <w:jc w:val="right"/>
              <w:rPr>
                <w:rFonts w:cs="Calibri"/>
                <w:sz w:val="16"/>
                <w:szCs w:val="16"/>
              </w:rPr>
            </w:pPr>
            <w:r w:rsidRPr="00D96063">
              <w:rPr>
                <w:rFonts w:cs="Calibri"/>
                <w:sz w:val="16"/>
                <w:szCs w:val="16"/>
              </w:rPr>
              <w:t>1.4</w:t>
            </w:r>
          </w:p>
        </w:tc>
        <w:tc>
          <w:tcPr>
            <w:tcW w:w="493" w:type="pct"/>
            <w:noWrap/>
            <w:hideMark/>
          </w:tcPr>
          <w:p w14:paraId="0C263D41" w14:textId="77777777" w:rsidR="00C15F2E" w:rsidRPr="00D96063" w:rsidRDefault="00C15F2E" w:rsidP="00053198">
            <w:pPr>
              <w:jc w:val="right"/>
              <w:rPr>
                <w:rFonts w:cs="Calibri"/>
                <w:sz w:val="16"/>
                <w:szCs w:val="16"/>
              </w:rPr>
            </w:pPr>
            <w:r w:rsidRPr="00D96063">
              <w:rPr>
                <w:rFonts w:cs="Calibri"/>
                <w:sz w:val="16"/>
                <w:szCs w:val="16"/>
              </w:rPr>
              <w:t>1.3</w:t>
            </w:r>
          </w:p>
        </w:tc>
        <w:tc>
          <w:tcPr>
            <w:tcW w:w="493" w:type="pct"/>
            <w:noWrap/>
            <w:hideMark/>
          </w:tcPr>
          <w:p w14:paraId="32089F8F" w14:textId="77777777" w:rsidR="00C15F2E" w:rsidRPr="00D96063" w:rsidRDefault="00C15F2E" w:rsidP="00053198">
            <w:pPr>
              <w:jc w:val="right"/>
              <w:rPr>
                <w:rFonts w:cs="Calibri"/>
                <w:sz w:val="16"/>
                <w:szCs w:val="16"/>
              </w:rPr>
            </w:pPr>
            <w:r w:rsidRPr="00D96063">
              <w:rPr>
                <w:rFonts w:cs="Calibri"/>
                <w:sz w:val="16"/>
                <w:szCs w:val="16"/>
              </w:rPr>
              <w:t>0.8</w:t>
            </w:r>
          </w:p>
        </w:tc>
        <w:tc>
          <w:tcPr>
            <w:tcW w:w="492" w:type="pct"/>
            <w:noWrap/>
            <w:hideMark/>
          </w:tcPr>
          <w:p w14:paraId="0FDE0C97" w14:textId="77777777" w:rsidR="00C15F2E" w:rsidRPr="00D96063" w:rsidRDefault="00C15F2E" w:rsidP="00053198">
            <w:pPr>
              <w:jc w:val="right"/>
              <w:rPr>
                <w:rFonts w:cs="Calibri"/>
                <w:sz w:val="16"/>
                <w:szCs w:val="16"/>
              </w:rPr>
            </w:pPr>
            <w:r w:rsidRPr="00D96063">
              <w:rPr>
                <w:rFonts w:cs="Calibri"/>
                <w:sz w:val="16"/>
                <w:szCs w:val="16"/>
              </w:rPr>
              <w:t>0.2</w:t>
            </w:r>
          </w:p>
        </w:tc>
        <w:tc>
          <w:tcPr>
            <w:tcW w:w="493" w:type="pct"/>
            <w:noWrap/>
            <w:hideMark/>
          </w:tcPr>
          <w:p w14:paraId="5495B5F3" w14:textId="77777777" w:rsidR="00C15F2E" w:rsidRPr="00D96063" w:rsidRDefault="00C15F2E" w:rsidP="00053198">
            <w:pPr>
              <w:jc w:val="right"/>
              <w:rPr>
                <w:rFonts w:cs="Calibri"/>
                <w:sz w:val="16"/>
                <w:szCs w:val="16"/>
              </w:rPr>
            </w:pPr>
            <w:r w:rsidRPr="00D96063">
              <w:rPr>
                <w:rFonts w:cs="Calibri"/>
                <w:sz w:val="16"/>
                <w:szCs w:val="16"/>
              </w:rPr>
              <w:t>0.7</w:t>
            </w:r>
          </w:p>
        </w:tc>
        <w:tc>
          <w:tcPr>
            <w:tcW w:w="493" w:type="pct"/>
            <w:noWrap/>
            <w:hideMark/>
          </w:tcPr>
          <w:p w14:paraId="0E7214DB" w14:textId="77777777" w:rsidR="00C15F2E" w:rsidRPr="00D96063" w:rsidRDefault="00C15F2E" w:rsidP="00053198">
            <w:pPr>
              <w:jc w:val="right"/>
              <w:rPr>
                <w:rFonts w:cs="Calibri"/>
                <w:sz w:val="16"/>
                <w:szCs w:val="16"/>
              </w:rPr>
            </w:pPr>
            <w:r w:rsidRPr="00D96063">
              <w:rPr>
                <w:rFonts w:cs="Calibri"/>
                <w:sz w:val="16"/>
                <w:szCs w:val="16"/>
              </w:rPr>
              <w:t>0.2</w:t>
            </w:r>
          </w:p>
        </w:tc>
      </w:tr>
      <w:tr w:rsidR="00C15F2E" w:rsidRPr="00D96063" w14:paraId="0432CA0E"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38469478" w14:textId="77777777" w:rsidR="00C15F2E" w:rsidRPr="00D96063" w:rsidRDefault="00C15F2E" w:rsidP="0009597E">
            <w:pPr>
              <w:jc w:val="left"/>
              <w:rPr>
                <w:rFonts w:cs="Calibri"/>
                <w:sz w:val="16"/>
                <w:szCs w:val="16"/>
              </w:rPr>
            </w:pPr>
            <w:r w:rsidRPr="00D96063">
              <w:rPr>
                <w:rFonts w:cs="Calibri"/>
                <w:sz w:val="16"/>
                <w:szCs w:val="16"/>
              </w:rPr>
              <w:t>17 Transport equipment</w:t>
            </w:r>
          </w:p>
        </w:tc>
        <w:tc>
          <w:tcPr>
            <w:tcW w:w="492" w:type="pct"/>
            <w:noWrap/>
            <w:hideMark/>
          </w:tcPr>
          <w:p w14:paraId="06BA8FC5" w14:textId="77777777" w:rsidR="00C15F2E" w:rsidRPr="00D96063" w:rsidRDefault="00C15F2E" w:rsidP="00053198">
            <w:pPr>
              <w:jc w:val="right"/>
              <w:rPr>
                <w:rFonts w:cs="Calibri"/>
                <w:sz w:val="16"/>
                <w:szCs w:val="16"/>
              </w:rPr>
            </w:pPr>
            <w:r w:rsidRPr="00D96063">
              <w:rPr>
                <w:rFonts w:cs="Calibri"/>
                <w:sz w:val="16"/>
                <w:szCs w:val="16"/>
              </w:rPr>
              <w:t>0.2</w:t>
            </w:r>
          </w:p>
        </w:tc>
        <w:tc>
          <w:tcPr>
            <w:tcW w:w="493" w:type="pct"/>
            <w:noWrap/>
            <w:hideMark/>
          </w:tcPr>
          <w:p w14:paraId="3E2A39AE" w14:textId="77777777" w:rsidR="00C15F2E" w:rsidRPr="00D96063" w:rsidRDefault="00C15F2E" w:rsidP="00053198">
            <w:pPr>
              <w:jc w:val="right"/>
              <w:rPr>
                <w:rFonts w:cs="Calibri"/>
                <w:sz w:val="16"/>
                <w:szCs w:val="16"/>
              </w:rPr>
            </w:pPr>
            <w:r w:rsidRPr="00D96063">
              <w:rPr>
                <w:rFonts w:cs="Calibri"/>
                <w:sz w:val="16"/>
                <w:szCs w:val="16"/>
              </w:rPr>
              <w:t>1.6</w:t>
            </w:r>
          </w:p>
        </w:tc>
        <w:tc>
          <w:tcPr>
            <w:tcW w:w="493" w:type="pct"/>
            <w:noWrap/>
            <w:hideMark/>
          </w:tcPr>
          <w:p w14:paraId="74F39C21" w14:textId="77777777" w:rsidR="00C15F2E" w:rsidRPr="00D96063" w:rsidRDefault="00C15F2E" w:rsidP="00053198">
            <w:pPr>
              <w:jc w:val="right"/>
              <w:rPr>
                <w:rFonts w:cs="Calibri"/>
                <w:sz w:val="16"/>
                <w:szCs w:val="16"/>
              </w:rPr>
            </w:pPr>
            <w:r w:rsidRPr="00D96063">
              <w:rPr>
                <w:rFonts w:cs="Calibri"/>
                <w:sz w:val="16"/>
                <w:szCs w:val="16"/>
              </w:rPr>
              <w:t>0.1</w:t>
            </w:r>
          </w:p>
        </w:tc>
        <w:tc>
          <w:tcPr>
            <w:tcW w:w="492" w:type="pct"/>
            <w:noWrap/>
            <w:hideMark/>
          </w:tcPr>
          <w:p w14:paraId="40B9889D"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28BAB4CC"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1DB6ADB5" w14:textId="77777777" w:rsidR="00C15F2E" w:rsidRPr="00D96063" w:rsidRDefault="00C15F2E" w:rsidP="00053198">
            <w:pPr>
              <w:jc w:val="right"/>
              <w:rPr>
                <w:rFonts w:cs="Calibri"/>
                <w:sz w:val="16"/>
                <w:szCs w:val="16"/>
              </w:rPr>
            </w:pPr>
            <w:r w:rsidRPr="00D96063">
              <w:rPr>
                <w:rFonts w:cs="Calibri"/>
                <w:sz w:val="16"/>
                <w:szCs w:val="16"/>
              </w:rPr>
              <w:t>0.0</w:t>
            </w:r>
          </w:p>
        </w:tc>
      </w:tr>
      <w:tr w:rsidR="00C15F2E" w:rsidRPr="00D96063" w14:paraId="392B2111" w14:textId="77777777" w:rsidTr="00053198">
        <w:trPr>
          <w:trHeight w:val="240"/>
        </w:trPr>
        <w:tc>
          <w:tcPr>
            <w:tcW w:w="2044" w:type="pct"/>
            <w:gridSpan w:val="3"/>
            <w:noWrap/>
            <w:hideMark/>
          </w:tcPr>
          <w:p w14:paraId="2B7E31A3" w14:textId="77777777" w:rsidR="00C15F2E" w:rsidRPr="00D96063" w:rsidRDefault="00C15F2E" w:rsidP="0009597E">
            <w:pPr>
              <w:jc w:val="left"/>
              <w:rPr>
                <w:rFonts w:cs="Calibri"/>
                <w:sz w:val="16"/>
                <w:szCs w:val="16"/>
              </w:rPr>
            </w:pPr>
            <w:r w:rsidRPr="00D96063">
              <w:rPr>
                <w:rFonts w:cs="Calibri"/>
                <w:sz w:val="16"/>
                <w:szCs w:val="16"/>
              </w:rPr>
              <w:t>18 Precision equipment</w:t>
            </w:r>
          </w:p>
        </w:tc>
        <w:tc>
          <w:tcPr>
            <w:tcW w:w="492" w:type="pct"/>
            <w:noWrap/>
            <w:hideMark/>
          </w:tcPr>
          <w:p w14:paraId="2342F6AF" w14:textId="77777777" w:rsidR="00C15F2E" w:rsidRPr="00D96063" w:rsidRDefault="00C15F2E" w:rsidP="00053198">
            <w:pPr>
              <w:jc w:val="right"/>
              <w:rPr>
                <w:rFonts w:cs="Calibri"/>
                <w:sz w:val="16"/>
                <w:szCs w:val="16"/>
              </w:rPr>
            </w:pPr>
            <w:r w:rsidRPr="00D96063">
              <w:rPr>
                <w:rFonts w:cs="Calibri"/>
                <w:sz w:val="16"/>
                <w:szCs w:val="16"/>
              </w:rPr>
              <w:t>0.2</w:t>
            </w:r>
          </w:p>
        </w:tc>
        <w:tc>
          <w:tcPr>
            <w:tcW w:w="493" w:type="pct"/>
            <w:noWrap/>
            <w:hideMark/>
          </w:tcPr>
          <w:p w14:paraId="5AFE6174" w14:textId="77777777" w:rsidR="00C15F2E" w:rsidRPr="00D96063" w:rsidRDefault="00C15F2E" w:rsidP="00053198">
            <w:pPr>
              <w:jc w:val="right"/>
              <w:rPr>
                <w:rFonts w:cs="Calibri"/>
                <w:sz w:val="16"/>
                <w:szCs w:val="16"/>
              </w:rPr>
            </w:pPr>
            <w:r w:rsidRPr="00D96063">
              <w:rPr>
                <w:rFonts w:cs="Calibri"/>
                <w:sz w:val="16"/>
                <w:szCs w:val="16"/>
              </w:rPr>
              <w:t>0.2</w:t>
            </w:r>
          </w:p>
        </w:tc>
        <w:tc>
          <w:tcPr>
            <w:tcW w:w="493" w:type="pct"/>
            <w:noWrap/>
            <w:hideMark/>
          </w:tcPr>
          <w:p w14:paraId="6BED7CB9" w14:textId="77777777" w:rsidR="00C15F2E" w:rsidRPr="00D96063" w:rsidRDefault="00C15F2E" w:rsidP="00053198">
            <w:pPr>
              <w:jc w:val="right"/>
              <w:rPr>
                <w:rFonts w:cs="Calibri"/>
                <w:sz w:val="16"/>
                <w:szCs w:val="16"/>
              </w:rPr>
            </w:pPr>
            <w:r w:rsidRPr="00D96063">
              <w:rPr>
                <w:rFonts w:cs="Calibri"/>
                <w:sz w:val="16"/>
                <w:szCs w:val="16"/>
              </w:rPr>
              <w:t>0.1</w:t>
            </w:r>
          </w:p>
        </w:tc>
        <w:tc>
          <w:tcPr>
            <w:tcW w:w="492" w:type="pct"/>
            <w:noWrap/>
            <w:hideMark/>
          </w:tcPr>
          <w:p w14:paraId="10D6C064"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199F877C"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181D5AA5" w14:textId="77777777" w:rsidR="00C15F2E" w:rsidRPr="00D96063" w:rsidRDefault="00C15F2E" w:rsidP="00053198">
            <w:pPr>
              <w:jc w:val="right"/>
              <w:rPr>
                <w:rFonts w:cs="Calibri"/>
                <w:sz w:val="16"/>
                <w:szCs w:val="16"/>
              </w:rPr>
            </w:pPr>
            <w:r w:rsidRPr="00D96063">
              <w:rPr>
                <w:rFonts w:cs="Calibri"/>
                <w:sz w:val="16"/>
                <w:szCs w:val="16"/>
              </w:rPr>
              <w:t>0.0</w:t>
            </w:r>
          </w:p>
        </w:tc>
      </w:tr>
      <w:tr w:rsidR="00C15F2E" w:rsidRPr="00D96063" w14:paraId="3DDA8E6B"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46A05AB3" w14:textId="77777777" w:rsidR="00C15F2E" w:rsidRPr="00D96063" w:rsidRDefault="00C15F2E" w:rsidP="0009597E">
            <w:pPr>
              <w:jc w:val="left"/>
              <w:rPr>
                <w:rFonts w:cs="Calibri"/>
                <w:sz w:val="16"/>
                <w:szCs w:val="16"/>
              </w:rPr>
            </w:pPr>
            <w:r w:rsidRPr="00D96063">
              <w:rPr>
                <w:rFonts w:cs="Calibri"/>
                <w:sz w:val="16"/>
                <w:szCs w:val="16"/>
              </w:rPr>
              <w:t>19 Arms and ammunition</w:t>
            </w:r>
          </w:p>
        </w:tc>
        <w:tc>
          <w:tcPr>
            <w:tcW w:w="492" w:type="pct"/>
            <w:noWrap/>
            <w:hideMark/>
          </w:tcPr>
          <w:p w14:paraId="10C4507C"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56505526" w14:textId="77777777" w:rsidR="00C15F2E" w:rsidRPr="00D96063" w:rsidRDefault="00C15F2E" w:rsidP="00053198">
            <w:pPr>
              <w:jc w:val="right"/>
              <w:rPr>
                <w:rFonts w:cs="Calibri"/>
                <w:sz w:val="16"/>
                <w:szCs w:val="16"/>
              </w:rPr>
            </w:pPr>
            <w:r w:rsidRPr="00D96063">
              <w:rPr>
                <w:rFonts w:cs="Calibri"/>
                <w:sz w:val="16"/>
                <w:szCs w:val="16"/>
              </w:rPr>
              <w:t>0.1</w:t>
            </w:r>
          </w:p>
        </w:tc>
        <w:tc>
          <w:tcPr>
            <w:tcW w:w="493" w:type="pct"/>
            <w:noWrap/>
            <w:hideMark/>
          </w:tcPr>
          <w:p w14:paraId="62DF842B" w14:textId="77777777" w:rsidR="00C15F2E" w:rsidRPr="00D96063" w:rsidRDefault="00C15F2E" w:rsidP="00053198">
            <w:pPr>
              <w:jc w:val="right"/>
              <w:rPr>
                <w:rFonts w:cs="Calibri"/>
                <w:sz w:val="16"/>
                <w:szCs w:val="16"/>
              </w:rPr>
            </w:pPr>
            <w:r w:rsidRPr="00D96063">
              <w:rPr>
                <w:rFonts w:cs="Calibri"/>
                <w:sz w:val="16"/>
                <w:szCs w:val="16"/>
              </w:rPr>
              <w:t>0.0</w:t>
            </w:r>
          </w:p>
        </w:tc>
        <w:tc>
          <w:tcPr>
            <w:tcW w:w="492" w:type="pct"/>
            <w:noWrap/>
            <w:hideMark/>
          </w:tcPr>
          <w:p w14:paraId="33DE5F02"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74EF8D17"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2504A27E" w14:textId="77777777" w:rsidR="00C15F2E" w:rsidRPr="00D96063" w:rsidRDefault="00C15F2E" w:rsidP="00053198">
            <w:pPr>
              <w:jc w:val="right"/>
              <w:rPr>
                <w:rFonts w:cs="Calibri"/>
                <w:sz w:val="16"/>
                <w:szCs w:val="16"/>
              </w:rPr>
            </w:pPr>
            <w:r w:rsidRPr="00D96063">
              <w:rPr>
                <w:rFonts w:cs="Calibri"/>
                <w:sz w:val="16"/>
                <w:szCs w:val="16"/>
              </w:rPr>
              <w:t>0.0</w:t>
            </w:r>
          </w:p>
        </w:tc>
      </w:tr>
      <w:tr w:rsidR="00C15F2E" w:rsidRPr="00D96063" w14:paraId="267E2793" w14:textId="77777777" w:rsidTr="00053198">
        <w:trPr>
          <w:trHeight w:val="240"/>
        </w:trPr>
        <w:tc>
          <w:tcPr>
            <w:tcW w:w="2044" w:type="pct"/>
            <w:gridSpan w:val="3"/>
            <w:noWrap/>
            <w:hideMark/>
          </w:tcPr>
          <w:p w14:paraId="04968620" w14:textId="77777777" w:rsidR="00C15F2E" w:rsidRPr="00D96063" w:rsidRDefault="00C15F2E" w:rsidP="0009597E">
            <w:pPr>
              <w:jc w:val="left"/>
              <w:rPr>
                <w:rFonts w:cs="Calibri"/>
                <w:sz w:val="16"/>
                <w:szCs w:val="16"/>
              </w:rPr>
            </w:pPr>
            <w:r w:rsidRPr="00D96063">
              <w:rPr>
                <w:rFonts w:cs="Calibri"/>
                <w:sz w:val="16"/>
                <w:szCs w:val="16"/>
              </w:rPr>
              <w:t>20 Miscellaneous manufactured articles</w:t>
            </w:r>
          </w:p>
        </w:tc>
        <w:tc>
          <w:tcPr>
            <w:tcW w:w="492" w:type="pct"/>
            <w:noWrap/>
            <w:hideMark/>
          </w:tcPr>
          <w:p w14:paraId="1DA438A4" w14:textId="77777777" w:rsidR="00C15F2E" w:rsidRPr="00D96063" w:rsidRDefault="00C15F2E" w:rsidP="00053198">
            <w:pPr>
              <w:jc w:val="right"/>
              <w:rPr>
                <w:rFonts w:cs="Calibri"/>
                <w:sz w:val="16"/>
                <w:szCs w:val="16"/>
              </w:rPr>
            </w:pPr>
            <w:r w:rsidRPr="00D96063">
              <w:rPr>
                <w:rFonts w:cs="Calibri"/>
                <w:sz w:val="16"/>
                <w:szCs w:val="16"/>
              </w:rPr>
              <w:t>0.7</w:t>
            </w:r>
          </w:p>
        </w:tc>
        <w:tc>
          <w:tcPr>
            <w:tcW w:w="493" w:type="pct"/>
            <w:noWrap/>
            <w:hideMark/>
          </w:tcPr>
          <w:p w14:paraId="401DBC34" w14:textId="77777777" w:rsidR="00C15F2E" w:rsidRPr="00D96063" w:rsidRDefault="00C15F2E" w:rsidP="00053198">
            <w:pPr>
              <w:jc w:val="right"/>
              <w:rPr>
                <w:rFonts w:cs="Calibri"/>
                <w:sz w:val="16"/>
                <w:szCs w:val="16"/>
              </w:rPr>
            </w:pPr>
            <w:r w:rsidRPr="00D96063">
              <w:rPr>
                <w:rFonts w:cs="Calibri"/>
                <w:sz w:val="16"/>
                <w:szCs w:val="16"/>
              </w:rPr>
              <w:t>0.1</w:t>
            </w:r>
          </w:p>
        </w:tc>
        <w:tc>
          <w:tcPr>
            <w:tcW w:w="493" w:type="pct"/>
            <w:noWrap/>
            <w:hideMark/>
          </w:tcPr>
          <w:p w14:paraId="4FC9DB73" w14:textId="77777777" w:rsidR="00C15F2E" w:rsidRPr="00D96063" w:rsidRDefault="00C15F2E" w:rsidP="00053198">
            <w:pPr>
              <w:jc w:val="right"/>
              <w:rPr>
                <w:rFonts w:cs="Calibri"/>
                <w:sz w:val="16"/>
                <w:szCs w:val="16"/>
              </w:rPr>
            </w:pPr>
            <w:r w:rsidRPr="00D96063">
              <w:rPr>
                <w:rFonts w:cs="Calibri"/>
                <w:sz w:val="16"/>
                <w:szCs w:val="16"/>
              </w:rPr>
              <w:t>0.1</w:t>
            </w:r>
          </w:p>
        </w:tc>
        <w:tc>
          <w:tcPr>
            <w:tcW w:w="492" w:type="pct"/>
            <w:noWrap/>
            <w:hideMark/>
          </w:tcPr>
          <w:p w14:paraId="0DF4AC56" w14:textId="77777777" w:rsidR="00C15F2E" w:rsidRPr="00D96063" w:rsidRDefault="00C15F2E" w:rsidP="00053198">
            <w:pPr>
              <w:jc w:val="right"/>
              <w:rPr>
                <w:rFonts w:cs="Calibri"/>
                <w:sz w:val="16"/>
                <w:szCs w:val="16"/>
              </w:rPr>
            </w:pPr>
            <w:r w:rsidRPr="00D96063">
              <w:rPr>
                <w:rFonts w:cs="Calibri"/>
                <w:sz w:val="16"/>
                <w:szCs w:val="16"/>
              </w:rPr>
              <w:t>0.2</w:t>
            </w:r>
          </w:p>
        </w:tc>
        <w:tc>
          <w:tcPr>
            <w:tcW w:w="493" w:type="pct"/>
            <w:noWrap/>
            <w:hideMark/>
          </w:tcPr>
          <w:p w14:paraId="7E8425BF" w14:textId="77777777" w:rsidR="00C15F2E" w:rsidRPr="00D96063" w:rsidRDefault="00C15F2E" w:rsidP="00053198">
            <w:pPr>
              <w:jc w:val="right"/>
              <w:rPr>
                <w:rFonts w:cs="Calibri"/>
                <w:sz w:val="16"/>
                <w:szCs w:val="16"/>
              </w:rPr>
            </w:pPr>
            <w:r w:rsidRPr="00D96063">
              <w:rPr>
                <w:rFonts w:cs="Calibri"/>
                <w:sz w:val="16"/>
                <w:szCs w:val="16"/>
              </w:rPr>
              <w:t>0.1</w:t>
            </w:r>
          </w:p>
        </w:tc>
        <w:tc>
          <w:tcPr>
            <w:tcW w:w="493" w:type="pct"/>
            <w:noWrap/>
            <w:hideMark/>
          </w:tcPr>
          <w:p w14:paraId="2EA90DAB" w14:textId="77777777" w:rsidR="00C15F2E" w:rsidRPr="00D96063" w:rsidRDefault="00C15F2E" w:rsidP="00053198">
            <w:pPr>
              <w:jc w:val="right"/>
              <w:rPr>
                <w:rFonts w:cs="Calibri"/>
                <w:sz w:val="16"/>
                <w:szCs w:val="16"/>
              </w:rPr>
            </w:pPr>
            <w:r w:rsidRPr="00D96063">
              <w:rPr>
                <w:rFonts w:cs="Calibri"/>
                <w:sz w:val="16"/>
                <w:szCs w:val="16"/>
              </w:rPr>
              <w:t>0.1</w:t>
            </w:r>
          </w:p>
        </w:tc>
      </w:tr>
      <w:tr w:rsidR="00C15F2E" w:rsidRPr="00D96063" w14:paraId="28C5EFDE"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2044" w:type="pct"/>
            <w:gridSpan w:val="3"/>
            <w:noWrap/>
            <w:hideMark/>
          </w:tcPr>
          <w:p w14:paraId="50C0ECB2" w14:textId="77777777" w:rsidR="00C15F2E" w:rsidRPr="00D96063" w:rsidRDefault="00C15F2E" w:rsidP="0009597E">
            <w:pPr>
              <w:jc w:val="left"/>
              <w:rPr>
                <w:rFonts w:cs="Calibri"/>
                <w:sz w:val="16"/>
                <w:szCs w:val="16"/>
              </w:rPr>
            </w:pPr>
            <w:r w:rsidRPr="00D96063">
              <w:rPr>
                <w:rFonts w:cs="Calibri"/>
                <w:sz w:val="16"/>
                <w:szCs w:val="16"/>
              </w:rPr>
              <w:t>21 Works of art, etc.</w:t>
            </w:r>
          </w:p>
        </w:tc>
        <w:tc>
          <w:tcPr>
            <w:tcW w:w="492" w:type="pct"/>
            <w:noWrap/>
            <w:hideMark/>
          </w:tcPr>
          <w:p w14:paraId="14454EA5"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41E6CB96"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4E1D0372" w14:textId="77777777" w:rsidR="00C15F2E" w:rsidRPr="00D96063" w:rsidRDefault="00C15F2E" w:rsidP="00053198">
            <w:pPr>
              <w:jc w:val="right"/>
              <w:rPr>
                <w:rFonts w:cs="Calibri"/>
                <w:sz w:val="16"/>
                <w:szCs w:val="16"/>
              </w:rPr>
            </w:pPr>
            <w:r w:rsidRPr="00D96063">
              <w:rPr>
                <w:rFonts w:cs="Calibri"/>
                <w:sz w:val="16"/>
                <w:szCs w:val="16"/>
              </w:rPr>
              <w:t>0.0</w:t>
            </w:r>
          </w:p>
        </w:tc>
        <w:tc>
          <w:tcPr>
            <w:tcW w:w="492" w:type="pct"/>
            <w:noWrap/>
            <w:hideMark/>
          </w:tcPr>
          <w:p w14:paraId="4A1A10F8"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6509CACA"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43B59946" w14:textId="77777777" w:rsidR="00C15F2E" w:rsidRPr="00D96063" w:rsidRDefault="00C15F2E" w:rsidP="00053198">
            <w:pPr>
              <w:jc w:val="right"/>
              <w:rPr>
                <w:rFonts w:cs="Calibri"/>
                <w:sz w:val="16"/>
                <w:szCs w:val="16"/>
              </w:rPr>
            </w:pPr>
            <w:r w:rsidRPr="00D96063">
              <w:rPr>
                <w:rFonts w:cs="Calibri"/>
                <w:sz w:val="16"/>
                <w:szCs w:val="16"/>
              </w:rPr>
              <w:t>0.0</w:t>
            </w:r>
          </w:p>
        </w:tc>
      </w:tr>
      <w:tr w:rsidR="00C15F2E" w:rsidRPr="00D96063" w14:paraId="1291A198" w14:textId="77777777" w:rsidTr="0009597E">
        <w:trPr>
          <w:trHeight w:val="240"/>
        </w:trPr>
        <w:tc>
          <w:tcPr>
            <w:tcW w:w="426" w:type="pct"/>
            <w:gridSpan w:val="2"/>
            <w:tcBorders>
              <w:top w:val="nil"/>
              <w:bottom w:val="single" w:sz="4" w:space="0" w:color="auto"/>
              <w:right w:val="nil"/>
            </w:tcBorders>
            <w:noWrap/>
            <w:hideMark/>
          </w:tcPr>
          <w:p w14:paraId="4C8FDE88" w14:textId="77777777" w:rsidR="00C15F2E" w:rsidRPr="00D96063" w:rsidRDefault="00C15F2E" w:rsidP="0009597E">
            <w:pPr>
              <w:jc w:val="left"/>
              <w:rPr>
                <w:rFonts w:cs="Calibri"/>
                <w:sz w:val="16"/>
                <w:szCs w:val="16"/>
              </w:rPr>
            </w:pPr>
            <w:r w:rsidRPr="00D96063">
              <w:rPr>
                <w:rFonts w:cs="Calibri"/>
                <w:sz w:val="16"/>
                <w:szCs w:val="16"/>
              </w:rPr>
              <w:t>Other</w:t>
            </w:r>
          </w:p>
        </w:tc>
        <w:tc>
          <w:tcPr>
            <w:tcW w:w="1618" w:type="pct"/>
            <w:tcBorders>
              <w:left w:val="nil"/>
            </w:tcBorders>
            <w:noWrap/>
            <w:hideMark/>
          </w:tcPr>
          <w:p w14:paraId="4658DACD" w14:textId="77777777" w:rsidR="00C15F2E" w:rsidRPr="00D96063" w:rsidRDefault="00C15F2E" w:rsidP="0009597E">
            <w:pPr>
              <w:jc w:val="left"/>
              <w:rPr>
                <w:rFonts w:cs="Calibri"/>
                <w:sz w:val="16"/>
                <w:szCs w:val="16"/>
              </w:rPr>
            </w:pPr>
            <w:r w:rsidRPr="00D96063">
              <w:rPr>
                <w:rFonts w:cs="Calibri"/>
                <w:sz w:val="16"/>
                <w:szCs w:val="16"/>
              </w:rPr>
              <w:t> </w:t>
            </w:r>
          </w:p>
        </w:tc>
        <w:tc>
          <w:tcPr>
            <w:tcW w:w="492" w:type="pct"/>
            <w:noWrap/>
            <w:hideMark/>
          </w:tcPr>
          <w:p w14:paraId="59CECAAE"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6D4257BD"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252CE865" w14:textId="77777777" w:rsidR="00C15F2E" w:rsidRPr="00D96063" w:rsidRDefault="00C15F2E" w:rsidP="00053198">
            <w:pPr>
              <w:jc w:val="right"/>
              <w:rPr>
                <w:rFonts w:cs="Calibri"/>
                <w:sz w:val="16"/>
                <w:szCs w:val="16"/>
              </w:rPr>
            </w:pPr>
            <w:r w:rsidRPr="00D96063">
              <w:rPr>
                <w:rFonts w:cs="Calibri"/>
                <w:sz w:val="16"/>
                <w:szCs w:val="16"/>
              </w:rPr>
              <w:t>0.0</w:t>
            </w:r>
          </w:p>
        </w:tc>
        <w:tc>
          <w:tcPr>
            <w:tcW w:w="492" w:type="pct"/>
            <w:noWrap/>
            <w:hideMark/>
          </w:tcPr>
          <w:p w14:paraId="46DC328C"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088C061F" w14:textId="77777777" w:rsidR="00C15F2E" w:rsidRPr="00D96063" w:rsidRDefault="00C15F2E" w:rsidP="00053198">
            <w:pPr>
              <w:jc w:val="right"/>
              <w:rPr>
                <w:rFonts w:cs="Calibri"/>
                <w:sz w:val="16"/>
                <w:szCs w:val="16"/>
              </w:rPr>
            </w:pPr>
            <w:r w:rsidRPr="00D96063">
              <w:rPr>
                <w:rFonts w:cs="Calibri"/>
                <w:sz w:val="16"/>
                <w:szCs w:val="16"/>
              </w:rPr>
              <w:t>0.0</w:t>
            </w:r>
          </w:p>
        </w:tc>
        <w:tc>
          <w:tcPr>
            <w:tcW w:w="493" w:type="pct"/>
            <w:noWrap/>
            <w:hideMark/>
          </w:tcPr>
          <w:p w14:paraId="7ED37DE4" w14:textId="77777777" w:rsidR="00C15F2E" w:rsidRPr="00D96063" w:rsidRDefault="00C15F2E" w:rsidP="00053198">
            <w:pPr>
              <w:jc w:val="right"/>
              <w:rPr>
                <w:rFonts w:cs="Calibri"/>
                <w:sz w:val="16"/>
                <w:szCs w:val="16"/>
              </w:rPr>
            </w:pPr>
            <w:r w:rsidRPr="00D96063">
              <w:rPr>
                <w:rFonts w:cs="Calibri"/>
                <w:sz w:val="16"/>
                <w:szCs w:val="16"/>
              </w:rPr>
              <w:t>0.0</w:t>
            </w:r>
          </w:p>
        </w:tc>
      </w:tr>
    </w:tbl>
    <w:p w14:paraId="77F1112B" w14:textId="77777777" w:rsidR="00C15F2E" w:rsidRPr="00D96063" w:rsidRDefault="00C15F2E" w:rsidP="0038223D">
      <w:pPr>
        <w:pStyle w:val="NoteText"/>
        <w:spacing w:before="120" w:after="240"/>
        <w:ind w:left="850" w:hanging="850"/>
        <w:rPr>
          <w:lang w:eastAsia="en-GB"/>
        </w:rPr>
      </w:pPr>
      <w:r w:rsidRPr="00D96063">
        <w:rPr>
          <w:lang w:eastAsia="en-GB"/>
        </w:rPr>
        <w:t>Source:</w:t>
      </w:r>
      <w:r w:rsidRPr="00D96063">
        <w:rPr>
          <w:lang w:eastAsia="en-GB"/>
        </w:rPr>
        <w:tab/>
        <w:t>WTO Secretariat calculations, based on UN Comtrade.</w:t>
      </w:r>
    </w:p>
    <w:p w14:paraId="762C8D5D" w14:textId="77777777" w:rsidR="00C15F2E" w:rsidRPr="00D96063" w:rsidRDefault="00C15F2E" w:rsidP="0038223D">
      <w:r w:rsidRPr="00D96063">
        <w:br w:type="page"/>
      </w:r>
    </w:p>
    <w:p w14:paraId="2638149C" w14:textId="0C1F1B22" w:rsidR="00C15F2E" w:rsidRPr="00D96063" w:rsidRDefault="00C15F2E" w:rsidP="0038223D">
      <w:pPr>
        <w:pStyle w:val="Caption"/>
      </w:pPr>
      <w:bookmarkStart w:id="280" w:name="_Toc103607998"/>
      <w:r w:rsidRPr="00D96063">
        <w:lastRenderedPageBreak/>
        <w:t>Table A1.</w:t>
      </w:r>
      <w:fldSimple w:instr=" SEQ Table_A1. \* ARABIC ">
        <w:r w:rsidR="004B63B1">
          <w:rPr>
            <w:noProof/>
          </w:rPr>
          <w:t>2</w:t>
        </w:r>
      </w:fldSimple>
      <w:r w:rsidRPr="00D96063">
        <w:t xml:space="preserve"> Merchandise imports by HS section and major chapter subheading, 2014</w:t>
      </w:r>
      <w:r w:rsidRPr="00D96063">
        <w:noBreakHyphen/>
        <w:t>19</w:t>
      </w:r>
      <w:bookmarkEnd w:id="280"/>
    </w:p>
    <w:tbl>
      <w:tblPr>
        <w:tblStyle w:val="WTOTable1"/>
        <w:tblW w:w="9021" w:type="dxa"/>
        <w:tblLayout w:type="fixed"/>
        <w:tblLook w:val="04A0" w:firstRow="1" w:lastRow="0" w:firstColumn="1" w:lastColumn="0" w:noHBand="0" w:noVBand="1"/>
      </w:tblPr>
      <w:tblGrid>
        <w:gridCol w:w="704"/>
        <w:gridCol w:w="2977"/>
        <w:gridCol w:w="890"/>
        <w:gridCol w:w="890"/>
        <w:gridCol w:w="890"/>
        <w:gridCol w:w="890"/>
        <w:gridCol w:w="890"/>
        <w:gridCol w:w="890"/>
      </w:tblGrid>
      <w:tr w:rsidR="00C15F2E" w:rsidRPr="00D96063" w14:paraId="25428787" w14:textId="77777777" w:rsidTr="00053198">
        <w:trPr>
          <w:cnfStyle w:val="100000000000" w:firstRow="1" w:lastRow="0" w:firstColumn="0" w:lastColumn="0" w:oddVBand="0" w:evenVBand="0" w:oddHBand="0" w:evenHBand="0" w:firstRowFirstColumn="0" w:firstRowLastColumn="0" w:lastRowFirstColumn="0" w:lastRowLastColumn="0"/>
          <w:trHeight w:val="240"/>
        </w:trPr>
        <w:tc>
          <w:tcPr>
            <w:tcW w:w="3681" w:type="dxa"/>
            <w:gridSpan w:val="2"/>
            <w:noWrap/>
            <w:hideMark/>
          </w:tcPr>
          <w:p w14:paraId="507B66D5" w14:textId="77777777" w:rsidR="00C15F2E" w:rsidRPr="00D96063" w:rsidRDefault="00C15F2E" w:rsidP="0009597E">
            <w:pPr>
              <w:jc w:val="left"/>
              <w:rPr>
                <w:rFonts w:cs="Calibri"/>
                <w:sz w:val="15"/>
                <w:szCs w:val="15"/>
              </w:rPr>
            </w:pPr>
            <w:r w:rsidRPr="00D96063">
              <w:rPr>
                <w:rFonts w:cs="Calibri"/>
                <w:sz w:val="15"/>
                <w:szCs w:val="15"/>
              </w:rPr>
              <w:t>HS section/chapter/subheading</w:t>
            </w:r>
          </w:p>
        </w:tc>
        <w:tc>
          <w:tcPr>
            <w:tcW w:w="890" w:type="dxa"/>
            <w:noWrap/>
            <w:hideMark/>
          </w:tcPr>
          <w:p w14:paraId="2924E221" w14:textId="77777777" w:rsidR="00C15F2E" w:rsidRPr="00D96063" w:rsidRDefault="00C15F2E" w:rsidP="0009597E">
            <w:pPr>
              <w:jc w:val="right"/>
              <w:rPr>
                <w:rFonts w:cs="Calibri"/>
                <w:sz w:val="15"/>
                <w:szCs w:val="15"/>
              </w:rPr>
            </w:pPr>
            <w:r w:rsidRPr="00D96063">
              <w:rPr>
                <w:rFonts w:cs="Calibri"/>
                <w:sz w:val="15"/>
                <w:szCs w:val="15"/>
              </w:rPr>
              <w:t>2014</w:t>
            </w:r>
          </w:p>
        </w:tc>
        <w:tc>
          <w:tcPr>
            <w:tcW w:w="890" w:type="dxa"/>
            <w:noWrap/>
            <w:hideMark/>
          </w:tcPr>
          <w:p w14:paraId="0703E349" w14:textId="77777777" w:rsidR="00C15F2E" w:rsidRPr="00D96063" w:rsidRDefault="00C15F2E" w:rsidP="0009597E">
            <w:pPr>
              <w:jc w:val="right"/>
              <w:rPr>
                <w:rFonts w:cs="Calibri"/>
                <w:sz w:val="15"/>
                <w:szCs w:val="15"/>
              </w:rPr>
            </w:pPr>
            <w:r w:rsidRPr="00D96063">
              <w:rPr>
                <w:rFonts w:cs="Calibri"/>
                <w:sz w:val="15"/>
                <w:szCs w:val="15"/>
              </w:rPr>
              <w:t>2015</w:t>
            </w:r>
          </w:p>
        </w:tc>
        <w:tc>
          <w:tcPr>
            <w:tcW w:w="890" w:type="dxa"/>
            <w:noWrap/>
            <w:hideMark/>
          </w:tcPr>
          <w:p w14:paraId="3B330C16" w14:textId="77777777" w:rsidR="00C15F2E" w:rsidRPr="00D96063" w:rsidRDefault="00C15F2E" w:rsidP="0009597E">
            <w:pPr>
              <w:jc w:val="right"/>
              <w:rPr>
                <w:rFonts w:cs="Calibri"/>
                <w:sz w:val="15"/>
                <w:szCs w:val="15"/>
              </w:rPr>
            </w:pPr>
            <w:r w:rsidRPr="00D96063">
              <w:rPr>
                <w:rFonts w:cs="Calibri"/>
                <w:sz w:val="15"/>
                <w:szCs w:val="15"/>
              </w:rPr>
              <w:t>2016</w:t>
            </w:r>
          </w:p>
        </w:tc>
        <w:tc>
          <w:tcPr>
            <w:tcW w:w="890" w:type="dxa"/>
            <w:noWrap/>
            <w:hideMark/>
          </w:tcPr>
          <w:p w14:paraId="3063740C" w14:textId="77777777" w:rsidR="00C15F2E" w:rsidRPr="00D96063" w:rsidRDefault="00C15F2E" w:rsidP="0009597E">
            <w:pPr>
              <w:jc w:val="right"/>
              <w:rPr>
                <w:rFonts w:cs="Calibri"/>
                <w:sz w:val="15"/>
                <w:szCs w:val="15"/>
              </w:rPr>
            </w:pPr>
            <w:r w:rsidRPr="00D96063">
              <w:rPr>
                <w:rFonts w:cs="Calibri"/>
                <w:sz w:val="15"/>
                <w:szCs w:val="15"/>
              </w:rPr>
              <w:t>2017</w:t>
            </w:r>
          </w:p>
        </w:tc>
        <w:tc>
          <w:tcPr>
            <w:tcW w:w="890" w:type="dxa"/>
            <w:noWrap/>
            <w:hideMark/>
          </w:tcPr>
          <w:p w14:paraId="7267B1D8" w14:textId="77777777" w:rsidR="00C15F2E" w:rsidRPr="00D96063" w:rsidRDefault="00C15F2E" w:rsidP="0009597E">
            <w:pPr>
              <w:jc w:val="right"/>
              <w:rPr>
                <w:rFonts w:cs="Calibri"/>
                <w:sz w:val="15"/>
                <w:szCs w:val="15"/>
              </w:rPr>
            </w:pPr>
            <w:r w:rsidRPr="00D96063">
              <w:rPr>
                <w:rFonts w:cs="Calibri"/>
                <w:sz w:val="15"/>
                <w:szCs w:val="15"/>
              </w:rPr>
              <w:t>2018</w:t>
            </w:r>
          </w:p>
        </w:tc>
        <w:tc>
          <w:tcPr>
            <w:tcW w:w="890" w:type="dxa"/>
            <w:noWrap/>
            <w:hideMark/>
          </w:tcPr>
          <w:p w14:paraId="0F1EA23C" w14:textId="77777777" w:rsidR="00C15F2E" w:rsidRPr="00D96063" w:rsidRDefault="00C15F2E" w:rsidP="0009597E">
            <w:pPr>
              <w:jc w:val="right"/>
              <w:rPr>
                <w:rFonts w:cs="Calibri"/>
                <w:sz w:val="15"/>
                <w:szCs w:val="15"/>
              </w:rPr>
            </w:pPr>
            <w:r w:rsidRPr="00D96063">
              <w:rPr>
                <w:rFonts w:cs="Calibri"/>
                <w:sz w:val="15"/>
                <w:szCs w:val="15"/>
              </w:rPr>
              <w:t>2019</w:t>
            </w:r>
          </w:p>
        </w:tc>
      </w:tr>
      <w:tr w:rsidR="00C15F2E" w:rsidRPr="00D96063" w14:paraId="3626887F" w14:textId="77777777" w:rsidTr="00053198">
        <w:trPr>
          <w:trHeight w:val="240"/>
        </w:trPr>
        <w:tc>
          <w:tcPr>
            <w:tcW w:w="3681" w:type="dxa"/>
            <w:gridSpan w:val="2"/>
            <w:noWrap/>
            <w:hideMark/>
          </w:tcPr>
          <w:p w14:paraId="04561492" w14:textId="77777777" w:rsidR="00C15F2E" w:rsidRPr="00D96063" w:rsidRDefault="00C15F2E" w:rsidP="0009597E">
            <w:pPr>
              <w:jc w:val="left"/>
              <w:rPr>
                <w:rFonts w:cs="Calibri"/>
                <w:b/>
                <w:bCs/>
                <w:sz w:val="15"/>
                <w:szCs w:val="15"/>
              </w:rPr>
            </w:pPr>
            <w:r w:rsidRPr="00D96063">
              <w:rPr>
                <w:rFonts w:cs="Calibri"/>
                <w:b/>
                <w:bCs/>
                <w:sz w:val="15"/>
                <w:szCs w:val="15"/>
              </w:rPr>
              <w:t>Total imports (USD million)</w:t>
            </w:r>
          </w:p>
        </w:tc>
        <w:tc>
          <w:tcPr>
            <w:tcW w:w="890" w:type="dxa"/>
            <w:noWrap/>
            <w:hideMark/>
          </w:tcPr>
          <w:p w14:paraId="755FE64C" w14:textId="77777777" w:rsidR="00C15F2E" w:rsidRPr="00D96063" w:rsidRDefault="00C15F2E" w:rsidP="00053198">
            <w:pPr>
              <w:ind w:right="-57"/>
              <w:jc w:val="right"/>
              <w:rPr>
                <w:rFonts w:cs="Calibri"/>
                <w:b/>
                <w:bCs/>
                <w:sz w:val="15"/>
                <w:szCs w:val="15"/>
              </w:rPr>
            </w:pPr>
            <w:r w:rsidRPr="00D96063">
              <w:rPr>
                <w:rFonts w:cs="Calibri"/>
                <w:b/>
                <w:bCs/>
                <w:sz w:val="15"/>
                <w:szCs w:val="15"/>
              </w:rPr>
              <w:t xml:space="preserve">16,786 </w:t>
            </w:r>
          </w:p>
        </w:tc>
        <w:tc>
          <w:tcPr>
            <w:tcW w:w="890" w:type="dxa"/>
            <w:noWrap/>
            <w:hideMark/>
          </w:tcPr>
          <w:p w14:paraId="7B12F9D3" w14:textId="77777777" w:rsidR="00C15F2E" w:rsidRPr="00D96063" w:rsidRDefault="00C15F2E" w:rsidP="00053198">
            <w:pPr>
              <w:ind w:right="-57"/>
              <w:jc w:val="right"/>
              <w:rPr>
                <w:rFonts w:cs="Calibri"/>
                <w:b/>
                <w:bCs/>
                <w:sz w:val="15"/>
                <w:szCs w:val="15"/>
              </w:rPr>
            </w:pPr>
            <w:r w:rsidRPr="00D96063">
              <w:rPr>
                <w:rFonts w:cs="Calibri"/>
                <w:b/>
                <w:bCs/>
                <w:sz w:val="15"/>
                <w:szCs w:val="15"/>
              </w:rPr>
              <w:t xml:space="preserve">14,687 </w:t>
            </w:r>
          </w:p>
        </w:tc>
        <w:tc>
          <w:tcPr>
            <w:tcW w:w="890" w:type="dxa"/>
            <w:noWrap/>
            <w:hideMark/>
          </w:tcPr>
          <w:p w14:paraId="22071C8C" w14:textId="77777777" w:rsidR="00C15F2E" w:rsidRPr="00D96063" w:rsidRDefault="00C15F2E" w:rsidP="00053198">
            <w:pPr>
              <w:ind w:right="-57"/>
              <w:jc w:val="right"/>
              <w:rPr>
                <w:rFonts w:cs="Calibri"/>
                <w:b/>
                <w:bCs/>
                <w:sz w:val="15"/>
                <w:szCs w:val="15"/>
              </w:rPr>
            </w:pPr>
            <w:r w:rsidRPr="00D96063">
              <w:rPr>
                <w:rFonts w:cs="Calibri"/>
                <w:b/>
                <w:bCs/>
                <w:sz w:val="15"/>
                <w:szCs w:val="15"/>
              </w:rPr>
              <w:t xml:space="preserve">11,361 </w:t>
            </w:r>
          </w:p>
        </w:tc>
        <w:tc>
          <w:tcPr>
            <w:tcW w:w="890" w:type="dxa"/>
            <w:noWrap/>
            <w:hideMark/>
          </w:tcPr>
          <w:p w14:paraId="05DEFB4F" w14:textId="77777777" w:rsidR="00C15F2E" w:rsidRPr="00D96063" w:rsidRDefault="00C15F2E" w:rsidP="00053198">
            <w:pPr>
              <w:ind w:right="-57"/>
              <w:jc w:val="right"/>
              <w:rPr>
                <w:rFonts w:cs="Calibri"/>
                <w:b/>
                <w:bCs/>
                <w:sz w:val="15"/>
                <w:szCs w:val="15"/>
              </w:rPr>
            </w:pPr>
            <w:r w:rsidRPr="00D96063">
              <w:rPr>
                <w:rFonts w:cs="Calibri"/>
                <w:b/>
                <w:bCs/>
                <w:sz w:val="15"/>
                <w:szCs w:val="15"/>
              </w:rPr>
              <w:t xml:space="preserve">12,718 </w:t>
            </w:r>
          </w:p>
        </w:tc>
        <w:tc>
          <w:tcPr>
            <w:tcW w:w="890" w:type="dxa"/>
            <w:noWrap/>
            <w:hideMark/>
          </w:tcPr>
          <w:p w14:paraId="565BAE02" w14:textId="77777777" w:rsidR="00C15F2E" w:rsidRPr="00D96063" w:rsidRDefault="00C15F2E" w:rsidP="00053198">
            <w:pPr>
              <w:ind w:right="-57"/>
              <w:jc w:val="right"/>
              <w:rPr>
                <w:rFonts w:cs="Calibri"/>
                <w:b/>
                <w:bCs/>
                <w:sz w:val="15"/>
                <w:szCs w:val="15"/>
              </w:rPr>
            </w:pPr>
            <w:r w:rsidRPr="00D96063">
              <w:rPr>
                <w:rFonts w:cs="Calibri"/>
                <w:b/>
                <w:bCs/>
                <w:sz w:val="15"/>
                <w:szCs w:val="15"/>
              </w:rPr>
              <w:t xml:space="preserve">11,880 </w:t>
            </w:r>
          </w:p>
        </w:tc>
        <w:tc>
          <w:tcPr>
            <w:tcW w:w="890" w:type="dxa"/>
            <w:noWrap/>
            <w:hideMark/>
          </w:tcPr>
          <w:p w14:paraId="162F784B" w14:textId="77777777" w:rsidR="00C15F2E" w:rsidRPr="00D96063" w:rsidRDefault="00C15F2E" w:rsidP="00053198">
            <w:pPr>
              <w:ind w:right="-57"/>
              <w:jc w:val="right"/>
              <w:rPr>
                <w:rFonts w:cs="Calibri"/>
                <w:b/>
                <w:bCs/>
                <w:sz w:val="15"/>
                <w:szCs w:val="15"/>
              </w:rPr>
            </w:pPr>
            <w:r w:rsidRPr="00D96063">
              <w:rPr>
                <w:rFonts w:cs="Calibri"/>
                <w:b/>
                <w:bCs/>
                <w:sz w:val="15"/>
                <w:szCs w:val="15"/>
              </w:rPr>
              <w:t xml:space="preserve">10,440 </w:t>
            </w:r>
          </w:p>
        </w:tc>
      </w:tr>
      <w:tr w:rsidR="00C15F2E" w:rsidRPr="00D96063" w14:paraId="52547EC1"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tcPr>
          <w:p w14:paraId="7F4F5343" w14:textId="77777777" w:rsidR="00C15F2E" w:rsidRPr="00D96063" w:rsidRDefault="00C15F2E" w:rsidP="0009597E">
            <w:pPr>
              <w:jc w:val="left"/>
              <w:rPr>
                <w:rFonts w:cs="Calibri"/>
                <w:b/>
                <w:bCs/>
                <w:sz w:val="15"/>
                <w:szCs w:val="15"/>
              </w:rPr>
            </w:pPr>
          </w:p>
        </w:tc>
        <w:tc>
          <w:tcPr>
            <w:tcW w:w="5340" w:type="dxa"/>
            <w:gridSpan w:val="6"/>
            <w:noWrap/>
          </w:tcPr>
          <w:p w14:paraId="213A3D75" w14:textId="77777777" w:rsidR="00C15F2E" w:rsidRPr="00D96063" w:rsidRDefault="00C15F2E" w:rsidP="00053198">
            <w:pPr>
              <w:rPr>
                <w:rFonts w:cs="Calibri"/>
                <w:b/>
                <w:bCs/>
                <w:sz w:val="15"/>
                <w:szCs w:val="15"/>
              </w:rPr>
            </w:pPr>
          </w:p>
        </w:tc>
      </w:tr>
      <w:tr w:rsidR="00C15F2E" w:rsidRPr="00D96063" w14:paraId="2769D8BC" w14:textId="77777777" w:rsidTr="00053198">
        <w:trPr>
          <w:trHeight w:val="240"/>
        </w:trPr>
        <w:tc>
          <w:tcPr>
            <w:tcW w:w="3681" w:type="dxa"/>
            <w:gridSpan w:val="2"/>
            <w:noWrap/>
            <w:hideMark/>
          </w:tcPr>
          <w:p w14:paraId="0E8F965F" w14:textId="77777777" w:rsidR="00C15F2E" w:rsidRPr="00D96063" w:rsidRDefault="00C15F2E" w:rsidP="0009597E">
            <w:pPr>
              <w:jc w:val="left"/>
              <w:rPr>
                <w:rFonts w:cs="Calibri"/>
                <w:sz w:val="15"/>
                <w:szCs w:val="15"/>
              </w:rPr>
            </w:pPr>
            <w:r w:rsidRPr="00D96063">
              <w:rPr>
                <w:rFonts w:cs="Calibri"/>
                <w:sz w:val="15"/>
                <w:szCs w:val="15"/>
              </w:rPr>
              <w:t>01 Live animals and products</w:t>
            </w:r>
          </w:p>
        </w:tc>
        <w:tc>
          <w:tcPr>
            <w:tcW w:w="890" w:type="dxa"/>
            <w:noWrap/>
            <w:hideMark/>
          </w:tcPr>
          <w:p w14:paraId="35886F56" w14:textId="77777777" w:rsidR="00C15F2E" w:rsidRPr="00D96063" w:rsidRDefault="00C15F2E" w:rsidP="00053198">
            <w:pPr>
              <w:jc w:val="right"/>
              <w:rPr>
                <w:rFonts w:cs="Calibri"/>
                <w:sz w:val="15"/>
                <w:szCs w:val="15"/>
              </w:rPr>
            </w:pPr>
            <w:r w:rsidRPr="00D96063">
              <w:rPr>
                <w:rFonts w:cs="Calibri"/>
                <w:sz w:val="15"/>
                <w:szCs w:val="15"/>
              </w:rPr>
              <w:t>3.4</w:t>
            </w:r>
          </w:p>
        </w:tc>
        <w:tc>
          <w:tcPr>
            <w:tcW w:w="890" w:type="dxa"/>
            <w:noWrap/>
            <w:hideMark/>
          </w:tcPr>
          <w:p w14:paraId="4E241241" w14:textId="77777777" w:rsidR="00C15F2E" w:rsidRPr="00D96063" w:rsidRDefault="00C15F2E" w:rsidP="00053198">
            <w:pPr>
              <w:jc w:val="right"/>
              <w:rPr>
                <w:rFonts w:cs="Calibri"/>
                <w:sz w:val="15"/>
                <w:szCs w:val="15"/>
              </w:rPr>
            </w:pPr>
            <w:r w:rsidRPr="00D96063">
              <w:rPr>
                <w:rFonts w:cs="Calibri"/>
                <w:sz w:val="15"/>
                <w:szCs w:val="15"/>
              </w:rPr>
              <w:t>3.3</w:t>
            </w:r>
          </w:p>
        </w:tc>
        <w:tc>
          <w:tcPr>
            <w:tcW w:w="890" w:type="dxa"/>
            <w:noWrap/>
            <w:hideMark/>
          </w:tcPr>
          <w:p w14:paraId="58DD238D" w14:textId="77777777" w:rsidR="00C15F2E" w:rsidRPr="00D96063" w:rsidRDefault="00C15F2E" w:rsidP="00053198">
            <w:pPr>
              <w:jc w:val="right"/>
              <w:rPr>
                <w:rFonts w:cs="Calibri"/>
                <w:sz w:val="15"/>
                <w:szCs w:val="15"/>
              </w:rPr>
            </w:pPr>
            <w:r w:rsidRPr="00D96063">
              <w:rPr>
                <w:rFonts w:cs="Calibri"/>
                <w:sz w:val="15"/>
                <w:szCs w:val="15"/>
              </w:rPr>
              <w:t>4.8</w:t>
            </w:r>
          </w:p>
        </w:tc>
        <w:tc>
          <w:tcPr>
            <w:tcW w:w="890" w:type="dxa"/>
            <w:noWrap/>
            <w:hideMark/>
          </w:tcPr>
          <w:p w14:paraId="36A9AD31" w14:textId="77777777" w:rsidR="00C15F2E" w:rsidRPr="00D96063" w:rsidRDefault="00C15F2E" w:rsidP="00053198">
            <w:pPr>
              <w:jc w:val="right"/>
              <w:rPr>
                <w:rFonts w:cs="Calibri"/>
                <w:sz w:val="15"/>
                <w:szCs w:val="15"/>
              </w:rPr>
            </w:pPr>
            <w:r w:rsidRPr="00D96063">
              <w:rPr>
                <w:rFonts w:cs="Calibri"/>
                <w:sz w:val="15"/>
                <w:szCs w:val="15"/>
              </w:rPr>
              <w:t>4.0</w:t>
            </w:r>
          </w:p>
        </w:tc>
        <w:tc>
          <w:tcPr>
            <w:tcW w:w="890" w:type="dxa"/>
            <w:noWrap/>
            <w:hideMark/>
          </w:tcPr>
          <w:p w14:paraId="266609E4" w14:textId="77777777" w:rsidR="00C15F2E" w:rsidRPr="00D96063" w:rsidRDefault="00C15F2E" w:rsidP="00053198">
            <w:pPr>
              <w:jc w:val="right"/>
              <w:rPr>
                <w:rFonts w:cs="Calibri"/>
                <w:sz w:val="15"/>
                <w:szCs w:val="15"/>
              </w:rPr>
            </w:pPr>
            <w:r w:rsidRPr="00D96063">
              <w:rPr>
                <w:rFonts w:cs="Calibri"/>
                <w:sz w:val="15"/>
                <w:szCs w:val="15"/>
              </w:rPr>
              <w:t>4.3</w:t>
            </w:r>
          </w:p>
        </w:tc>
        <w:tc>
          <w:tcPr>
            <w:tcW w:w="890" w:type="dxa"/>
            <w:noWrap/>
            <w:hideMark/>
          </w:tcPr>
          <w:p w14:paraId="3396488B" w14:textId="77777777" w:rsidR="00C15F2E" w:rsidRPr="00D96063" w:rsidRDefault="00C15F2E" w:rsidP="00053198">
            <w:pPr>
              <w:jc w:val="right"/>
              <w:rPr>
                <w:rFonts w:cs="Calibri"/>
                <w:sz w:val="15"/>
                <w:szCs w:val="15"/>
              </w:rPr>
            </w:pPr>
            <w:r w:rsidRPr="00D96063">
              <w:rPr>
                <w:rFonts w:cs="Calibri"/>
                <w:sz w:val="15"/>
                <w:szCs w:val="15"/>
              </w:rPr>
              <w:t>4.2</w:t>
            </w:r>
          </w:p>
        </w:tc>
      </w:tr>
      <w:tr w:rsidR="00C15F2E" w:rsidRPr="00D96063" w14:paraId="5BBA9BE1"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704" w:type="dxa"/>
            <w:tcBorders>
              <w:top w:val="nil"/>
              <w:bottom w:val="nil"/>
              <w:right w:val="nil"/>
            </w:tcBorders>
            <w:noWrap/>
            <w:hideMark/>
          </w:tcPr>
          <w:p w14:paraId="22AC6EC7"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4C2290E6" w14:textId="77777777" w:rsidR="00C15F2E" w:rsidRPr="00D96063" w:rsidRDefault="00C15F2E" w:rsidP="0009597E">
            <w:pPr>
              <w:jc w:val="left"/>
              <w:rPr>
                <w:rFonts w:cs="Calibri"/>
                <w:sz w:val="15"/>
                <w:szCs w:val="15"/>
              </w:rPr>
            </w:pPr>
            <w:r w:rsidRPr="00D96063">
              <w:rPr>
                <w:rFonts w:cs="Calibri"/>
                <w:sz w:val="15"/>
                <w:szCs w:val="15"/>
              </w:rPr>
              <w:t>03 Fish and crustaceans, molluscs and other aquatic invertebrates</w:t>
            </w:r>
          </w:p>
        </w:tc>
        <w:tc>
          <w:tcPr>
            <w:tcW w:w="890" w:type="dxa"/>
            <w:noWrap/>
            <w:hideMark/>
          </w:tcPr>
          <w:p w14:paraId="651DA1C4" w14:textId="77777777" w:rsidR="00C15F2E" w:rsidRPr="00D96063" w:rsidRDefault="00C15F2E" w:rsidP="00053198">
            <w:pPr>
              <w:jc w:val="right"/>
              <w:rPr>
                <w:rFonts w:cs="Calibri"/>
                <w:sz w:val="15"/>
                <w:szCs w:val="15"/>
              </w:rPr>
            </w:pPr>
            <w:r w:rsidRPr="00D96063">
              <w:rPr>
                <w:rFonts w:cs="Calibri"/>
                <w:sz w:val="15"/>
                <w:szCs w:val="15"/>
              </w:rPr>
              <w:t>1.5</w:t>
            </w:r>
          </w:p>
        </w:tc>
        <w:tc>
          <w:tcPr>
            <w:tcW w:w="890" w:type="dxa"/>
            <w:noWrap/>
            <w:hideMark/>
          </w:tcPr>
          <w:p w14:paraId="3CD3D0B8" w14:textId="77777777" w:rsidR="00C15F2E" w:rsidRPr="00D96063" w:rsidRDefault="00C15F2E" w:rsidP="00053198">
            <w:pPr>
              <w:jc w:val="right"/>
              <w:rPr>
                <w:rFonts w:cs="Calibri"/>
                <w:sz w:val="15"/>
                <w:szCs w:val="15"/>
              </w:rPr>
            </w:pPr>
            <w:r w:rsidRPr="00D96063">
              <w:rPr>
                <w:rFonts w:cs="Calibri"/>
                <w:sz w:val="15"/>
                <w:szCs w:val="15"/>
              </w:rPr>
              <w:t>1.6</w:t>
            </w:r>
          </w:p>
        </w:tc>
        <w:tc>
          <w:tcPr>
            <w:tcW w:w="890" w:type="dxa"/>
            <w:noWrap/>
            <w:hideMark/>
          </w:tcPr>
          <w:p w14:paraId="24FAE7A1" w14:textId="77777777" w:rsidR="00C15F2E" w:rsidRPr="00D96063" w:rsidRDefault="00C15F2E" w:rsidP="00053198">
            <w:pPr>
              <w:jc w:val="right"/>
              <w:rPr>
                <w:rFonts w:cs="Calibri"/>
                <w:sz w:val="15"/>
                <w:szCs w:val="15"/>
              </w:rPr>
            </w:pPr>
            <w:r w:rsidRPr="00D96063">
              <w:rPr>
                <w:rFonts w:cs="Calibri"/>
                <w:sz w:val="15"/>
                <w:szCs w:val="15"/>
              </w:rPr>
              <w:t>2.6</w:t>
            </w:r>
          </w:p>
        </w:tc>
        <w:tc>
          <w:tcPr>
            <w:tcW w:w="890" w:type="dxa"/>
            <w:noWrap/>
            <w:hideMark/>
          </w:tcPr>
          <w:p w14:paraId="4894DB96" w14:textId="77777777" w:rsidR="00C15F2E" w:rsidRPr="00D96063" w:rsidRDefault="00C15F2E" w:rsidP="00053198">
            <w:pPr>
              <w:jc w:val="right"/>
              <w:rPr>
                <w:rFonts w:cs="Calibri"/>
                <w:sz w:val="15"/>
                <w:szCs w:val="15"/>
              </w:rPr>
            </w:pPr>
            <w:r w:rsidRPr="00D96063">
              <w:rPr>
                <w:rFonts w:cs="Calibri"/>
                <w:sz w:val="15"/>
                <w:szCs w:val="15"/>
              </w:rPr>
              <w:t>1.9</w:t>
            </w:r>
          </w:p>
        </w:tc>
        <w:tc>
          <w:tcPr>
            <w:tcW w:w="890" w:type="dxa"/>
            <w:noWrap/>
            <w:hideMark/>
          </w:tcPr>
          <w:p w14:paraId="11B8EA01" w14:textId="77777777" w:rsidR="00C15F2E" w:rsidRPr="00D96063" w:rsidRDefault="00C15F2E" w:rsidP="00053198">
            <w:pPr>
              <w:jc w:val="right"/>
              <w:rPr>
                <w:rFonts w:cs="Calibri"/>
                <w:sz w:val="15"/>
                <w:szCs w:val="15"/>
              </w:rPr>
            </w:pPr>
            <w:r w:rsidRPr="00D96063">
              <w:rPr>
                <w:rFonts w:cs="Calibri"/>
                <w:sz w:val="15"/>
                <w:szCs w:val="15"/>
              </w:rPr>
              <w:t>2.0</w:t>
            </w:r>
          </w:p>
        </w:tc>
        <w:tc>
          <w:tcPr>
            <w:tcW w:w="890" w:type="dxa"/>
            <w:noWrap/>
            <w:hideMark/>
          </w:tcPr>
          <w:p w14:paraId="7DF5DA0A" w14:textId="77777777" w:rsidR="00C15F2E" w:rsidRPr="00D96063" w:rsidRDefault="00C15F2E" w:rsidP="00053198">
            <w:pPr>
              <w:jc w:val="right"/>
              <w:rPr>
                <w:rFonts w:cs="Calibri"/>
                <w:sz w:val="15"/>
                <w:szCs w:val="15"/>
              </w:rPr>
            </w:pPr>
            <w:r w:rsidRPr="00D96063">
              <w:rPr>
                <w:rFonts w:cs="Calibri"/>
                <w:sz w:val="15"/>
                <w:szCs w:val="15"/>
              </w:rPr>
              <w:t>2.0</w:t>
            </w:r>
          </w:p>
        </w:tc>
      </w:tr>
      <w:tr w:rsidR="00C15F2E" w:rsidRPr="00D96063" w14:paraId="15B3832C" w14:textId="77777777" w:rsidTr="00053198">
        <w:trPr>
          <w:trHeight w:val="240"/>
        </w:trPr>
        <w:tc>
          <w:tcPr>
            <w:tcW w:w="3681" w:type="dxa"/>
            <w:gridSpan w:val="2"/>
            <w:noWrap/>
            <w:hideMark/>
          </w:tcPr>
          <w:p w14:paraId="20FAF675" w14:textId="77777777" w:rsidR="00C15F2E" w:rsidRPr="00D96063" w:rsidRDefault="00C15F2E" w:rsidP="0009597E">
            <w:pPr>
              <w:jc w:val="left"/>
              <w:rPr>
                <w:rFonts w:cs="Calibri"/>
                <w:sz w:val="15"/>
                <w:szCs w:val="15"/>
              </w:rPr>
            </w:pPr>
            <w:r w:rsidRPr="00D96063">
              <w:rPr>
                <w:rFonts w:cs="Calibri"/>
                <w:sz w:val="15"/>
                <w:szCs w:val="15"/>
              </w:rPr>
              <w:t>02 Vegetable products</w:t>
            </w:r>
          </w:p>
        </w:tc>
        <w:tc>
          <w:tcPr>
            <w:tcW w:w="890" w:type="dxa"/>
            <w:noWrap/>
            <w:hideMark/>
          </w:tcPr>
          <w:p w14:paraId="56CDB9AC" w14:textId="77777777" w:rsidR="00C15F2E" w:rsidRPr="00D96063" w:rsidRDefault="00C15F2E" w:rsidP="00053198">
            <w:pPr>
              <w:jc w:val="right"/>
              <w:rPr>
                <w:rFonts w:cs="Calibri"/>
                <w:sz w:val="15"/>
                <w:szCs w:val="15"/>
              </w:rPr>
            </w:pPr>
            <w:r w:rsidRPr="00D96063">
              <w:rPr>
                <w:rFonts w:cs="Calibri"/>
                <w:sz w:val="15"/>
                <w:szCs w:val="15"/>
              </w:rPr>
              <w:t>10.2</w:t>
            </w:r>
          </w:p>
        </w:tc>
        <w:tc>
          <w:tcPr>
            <w:tcW w:w="890" w:type="dxa"/>
            <w:noWrap/>
            <w:hideMark/>
          </w:tcPr>
          <w:p w14:paraId="2D58ED27" w14:textId="77777777" w:rsidR="00C15F2E" w:rsidRPr="00D96063" w:rsidRDefault="00C15F2E" w:rsidP="00053198">
            <w:pPr>
              <w:jc w:val="right"/>
              <w:rPr>
                <w:rFonts w:cs="Calibri"/>
                <w:sz w:val="15"/>
                <w:szCs w:val="15"/>
              </w:rPr>
            </w:pPr>
            <w:r w:rsidRPr="00D96063">
              <w:rPr>
                <w:rFonts w:cs="Calibri"/>
                <w:sz w:val="15"/>
                <w:szCs w:val="15"/>
              </w:rPr>
              <w:t>6.3</w:t>
            </w:r>
          </w:p>
        </w:tc>
        <w:tc>
          <w:tcPr>
            <w:tcW w:w="890" w:type="dxa"/>
            <w:noWrap/>
            <w:hideMark/>
          </w:tcPr>
          <w:p w14:paraId="478EB9B3" w14:textId="77777777" w:rsidR="00C15F2E" w:rsidRPr="00D96063" w:rsidRDefault="00C15F2E" w:rsidP="00053198">
            <w:pPr>
              <w:jc w:val="right"/>
              <w:rPr>
                <w:rFonts w:cs="Calibri"/>
                <w:sz w:val="15"/>
                <w:szCs w:val="15"/>
              </w:rPr>
            </w:pPr>
            <w:r w:rsidRPr="00D96063">
              <w:rPr>
                <w:rFonts w:cs="Calibri"/>
                <w:sz w:val="15"/>
                <w:szCs w:val="15"/>
              </w:rPr>
              <w:t>4.7</w:t>
            </w:r>
          </w:p>
        </w:tc>
        <w:tc>
          <w:tcPr>
            <w:tcW w:w="890" w:type="dxa"/>
            <w:noWrap/>
            <w:hideMark/>
          </w:tcPr>
          <w:p w14:paraId="4976DB46" w14:textId="77777777" w:rsidR="00C15F2E" w:rsidRPr="00D96063" w:rsidRDefault="00C15F2E" w:rsidP="00053198">
            <w:pPr>
              <w:jc w:val="right"/>
              <w:rPr>
                <w:rFonts w:cs="Calibri"/>
                <w:sz w:val="15"/>
                <w:szCs w:val="15"/>
              </w:rPr>
            </w:pPr>
            <w:r w:rsidRPr="00D96063">
              <w:rPr>
                <w:rFonts w:cs="Calibri"/>
                <w:sz w:val="15"/>
                <w:szCs w:val="15"/>
              </w:rPr>
              <w:t>6.5</w:t>
            </w:r>
          </w:p>
        </w:tc>
        <w:tc>
          <w:tcPr>
            <w:tcW w:w="890" w:type="dxa"/>
            <w:noWrap/>
            <w:hideMark/>
          </w:tcPr>
          <w:p w14:paraId="6FC6DEB3" w14:textId="77777777" w:rsidR="00C15F2E" w:rsidRPr="00D96063" w:rsidRDefault="00C15F2E" w:rsidP="00053198">
            <w:pPr>
              <w:jc w:val="right"/>
              <w:rPr>
                <w:rFonts w:cs="Calibri"/>
                <w:sz w:val="15"/>
                <w:szCs w:val="15"/>
              </w:rPr>
            </w:pPr>
            <w:r w:rsidRPr="00D96063">
              <w:rPr>
                <w:rFonts w:cs="Calibri"/>
                <w:sz w:val="15"/>
                <w:szCs w:val="15"/>
              </w:rPr>
              <w:t>7.5</w:t>
            </w:r>
          </w:p>
        </w:tc>
        <w:tc>
          <w:tcPr>
            <w:tcW w:w="890" w:type="dxa"/>
            <w:noWrap/>
            <w:hideMark/>
          </w:tcPr>
          <w:p w14:paraId="3B5A63CD" w14:textId="77777777" w:rsidR="00C15F2E" w:rsidRPr="00D96063" w:rsidRDefault="00C15F2E" w:rsidP="00053198">
            <w:pPr>
              <w:jc w:val="right"/>
              <w:rPr>
                <w:rFonts w:cs="Calibri"/>
                <w:sz w:val="15"/>
                <w:szCs w:val="15"/>
              </w:rPr>
            </w:pPr>
            <w:r w:rsidRPr="00D96063">
              <w:rPr>
                <w:rFonts w:cs="Calibri"/>
                <w:sz w:val="15"/>
                <w:szCs w:val="15"/>
              </w:rPr>
              <w:t>6.8</w:t>
            </w:r>
          </w:p>
        </w:tc>
      </w:tr>
      <w:tr w:rsidR="00C15F2E" w:rsidRPr="00D96063" w14:paraId="165861D5"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704" w:type="dxa"/>
            <w:tcBorders>
              <w:top w:val="nil"/>
              <w:bottom w:val="nil"/>
              <w:right w:val="nil"/>
            </w:tcBorders>
            <w:noWrap/>
            <w:hideMark/>
          </w:tcPr>
          <w:p w14:paraId="22BBDE57"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hideMark/>
          </w:tcPr>
          <w:p w14:paraId="1C4D81A8" w14:textId="77777777" w:rsidR="00C15F2E" w:rsidRPr="00D96063" w:rsidRDefault="00C15F2E" w:rsidP="0009597E">
            <w:pPr>
              <w:jc w:val="left"/>
              <w:rPr>
                <w:rFonts w:cs="Calibri"/>
                <w:sz w:val="15"/>
                <w:szCs w:val="15"/>
              </w:rPr>
            </w:pPr>
            <w:r w:rsidRPr="00D96063">
              <w:rPr>
                <w:rFonts w:cs="Calibri"/>
                <w:sz w:val="15"/>
                <w:szCs w:val="15"/>
              </w:rPr>
              <w:t>10 Cereals</w:t>
            </w:r>
          </w:p>
        </w:tc>
        <w:tc>
          <w:tcPr>
            <w:tcW w:w="890" w:type="dxa"/>
            <w:noWrap/>
            <w:hideMark/>
          </w:tcPr>
          <w:p w14:paraId="6473B989" w14:textId="77777777" w:rsidR="00C15F2E" w:rsidRPr="00D96063" w:rsidRDefault="00C15F2E" w:rsidP="00053198">
            <w:pPr>
              <w:jc w:val="right"/>
              <w:rPr>
                <w:rFonts w:cs="Calibri"/>
                <w:sz w:val="15"/>
                <w:szCs w:val="15"/>
              </w:rPr>
            </w:pPr>
            <w:r w:rsidRPr="00D96063">
              <w:rPr>
                <w:rFonts w:cs="Calibri"/>
                <w:sz w:val="15"/>
                <w:szCs w:val="15"/>
              </w:rPr>
              <w:t>9.6</w:t>
            </w:r>
          </w:p>
        </w:tc>
        <w:tc>
          <w:tcPr>
            <w:tcW w:w="890" w:type="dxa"/>
            <w:noWrap/>
            <w:hideMark/>
          </w:tcPr>
          <w:p w14:paraId="46A19CC1" w14:textId="77777777" w:rsidR="00C15F2E" w:rsidRPr="00D96063" w:rsidRDefault="00C15F2E" w:rsidP="00053198">
            <w:pPr>
              <w:jc w:val="right"/>
              <w:rPr>
                <w:rFonts w:cs="Calibri"/>
                <w:sz w:val="15"/>
                <w:szCs w:val="15"/>
              </w:rPr>
            </w:pPr>
            <w:r w:rsidRPr="00D96063">
              <w:rPr>
                <w:rFonts w:cs="Calibri"/>
                <w:sz w:val="15"/>
                <w:szCs w:val="15"/>
              </w:rPr>
              <w:t>5.7</w:t>
            </w:r>
          </w:p>
        </w:tc>
        <w:tc>
          <w:tcPr>
            <w:tcW w:w="890" w:type="dxa"/>
            <w:noWrap/>
            <w:hideMark/>
          </w:tcPr>
          <w:p w14:paraId="410765BD" w14:textId="77777777" w:rsidR="00C15F2E" w:rsidRPr="00D96063" w:rsidRDefault="00C15F2E" w:rsidP="00053198">
            <w:pPr>
              <w:jc w:val="right"/>
              <w:rPr>
                <w:rFonts w:cs="Calibri"/>
                <w:sz w:val="15"/>
                <w:szCs w:val="15"/>
              </w:rPr>
            </w:pPr>
            <w:r w:rsidRPr="00D96063">
              <w:rPr>
                <w:rFonts w:cs="Calibri"/>
                <w:sz w:val="15"/>
                <w:szCs w:val="15"/>
              </w:rPr>
              <w:t>4.1</w:t>
            </w:r>
          </w:p>
        </w:tc>
        <w:tc>
          <w:tcPr>
            <w:tcW w:w="890" w:type="dxa"/>
            <w:noWrap/>
            <w:hideMark/>
          </w:tcPr>
          <w:p w14:paraId="53D6E464" w14:textId="77777777" w:rsidR="00C15F2E" w:rsidRPr="00D96063" w:rsidRDefault="00C15F2E" w:rsidP="00053198">
            <w:pPr>
              <w:jc w:val="right"/>
              <w:rPr>
                <w:rFonts w:cs="Calibri"/>
                <w:sz w:val="15"/>
                <w:szCs w:val="15"/>
              </w:rPr>
            </w:pPr>
            <w:r w:rsidRPr="00D96063">
              <w:rPr>
                <w:rFonts w:cs="Calibri"/>
                <w:sz w:val="15"/>
                <w:szCs w:val="15"/>
              </w:rPr>
              <w:t>5.6</w:t>
            </w:r>
          </w:p>
        </w:tc>
        <w:tc>
          <w:tcPr>
            <w:tcW w:w="890" w:type="dxa"/>
            <w:noWrap/>
            <w:hideMark/>
          </w:tcPr>
          <w:p w14:paraId="7604BD45" w14:textId="77777777" w:rsidR="00C15F2E" w:rsidRPr="00D96063" w:rsidRDefault="00C15F2E" w:rsidP="00053198">
            <w:pPr>
              <w:jc w:val="right"/>
              <w:rPr>
                <w:rFonts w:cs="Calibri"/>
                <w:sz w:val="15"/>
                <w:szCs w:val="15"/>
              </w:rPr>
            </w:pPr>
            <w:r w:rsidRPr="00D96063">
              <w:rPr>
                <w:rFonts w:cs="Calibri"/>
                <w:sz w:val="15"/>
                <w:szCs w:val="15"/>
              </w:rPr>
              <w:t>5.5</w:t>
            </w:r>
          </w:p>
        </w:tc>
        <w:tc>
          <w:tcPr>
            <w:tcW w:w="890" w:type="dxa"/>
            <w:noWrap/>
            <w:hideMark/>
          </w:tcPr>
          <w:p w14:paraId="2EDE0451" w14:textId="77777777" w:rsidR="00C15F2E" w:rsidRPr="00D96063" w:rsidRDefault="00C15F2E" w:rsidP="00053198">
            <w:pPr>
              <w:jc w:val="right"/>
              <w:rPr>
                <w:rFonts w:cs="Calibri"/>
                <w:sz w:val="15"/>
                <w:szCs w:val="15"/>
              </w:rPr>
            </w:pPr>
            <w:r w:rsidRPr="00D96063">
              <w:rPr>
                <w:rFonts w:cs="Calibri"/>
                <w:sz w:val="15"/>
                <w:szCs w:val="15"/>
              </w:rPr>
              <w:t>5.0</w:t>
            </w:r>
          </w:p>
        </w:tc>
      </w:tr>
      <w:tr w:rsidR="00C15F2E" w:rsidRPr="00D96063" w14:paraId="22E1E2D6" w14:textId="77777777" w:rsidTr="0009597E">
        <w:trPr>
          <w:trHeight w:val="240"/>
        </w:trPr>
        <w:tc>
          <w:tcPr>
            <w:tcW w:w="704" w:type="dxa"/>
            <w:tcBorders>
              <w:top w:val="nil"/>
              <w:bottom w:val="nil"/>
              <w:right w:val="nil"/>
            </w:tcBorders>
            <w:noWrap/>
            <w:hideMark/>
          </w:tcPr>
          <w:p w14:paraId="57ADEA04"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hideMark/>
          </w:tcPr>
          <w:p w14:paraId="45F779CA" w14:textId="77777777" w:rsidR="00C15F2E" w:rsidRPr="00D96063" w:rsidRDefault="00C15F2E" w:rsidP="0009597E">
            <w:pPr>
              <w:jc w:val="left"/>
              <w:rPr>
                <w:rFonts w:cs="Calibri"/>
                <w:sz w:val="15"/>
                <w:szCs w:val="15"/>
              </w:rPr>
            </w:pPr>
            <w:r w:rsidRPr="00D96063">
              <w:rPr>
                <w:rFonts w:cs="Calibri"/>
                <w:sz w:val="15"/>
                <w:szCs w:val="15"/>
              </w:rPr>
              <w:t xml:space="preserve">   1006 Rice</w:t>
            </w:r>
          </w:p>
        </w:tc>
        <w:tc>
          <w:tcPr>
            <w:tcW w:w="890" w:type="dxa"/>
            <w:noWrap/>
            <w:hideMark/>
          </w:tcPr>
          <w:p w14:paraId="42080829" w14:textId="77777777" w:rsidR="00C15F2E" w:rsidRPr="00D96063" w:rsidRDefault="00C15F2E" w:rsidP="00053198">
            <w:pPr>
              <w:jc w:val="right"/>
              <w:rPr>
                <w:rFonts w:cs="Calibri"/>
                <w:sz w:val="15"/>
                <w:szCs w:val="15"/>
              </w:rPr>
            </w:pPr>
            <w:r w:rsidRPr="00D96063">
              <w:rPr>
                <w:rFonts w:cs="Calibri"/>
                <w:sz w:val="15"/>
                <w:szCs w:val="15"/>
              </w:rPr>
              <w:t>7.7</w:t>
            </w:r>
          </w:p>
        </w:tc>
        <w:tc>
          <w:tcPr>
            <w:tcW w:w="890" w:type="dxa"/>
            <w:noWrap/>
            <w:hideMark/>
          </w:tcPr>
          <w:p w14:paraId="492DD533" w14:textId="77777777" w:rsidR="00C15F2E" w:rsidRPr="00D96063" w:rsidRDefault="00C15F2E" w:rsidP="00053198">
            <w:pPr>
              <w:jc w:val="right"/>
              <w:rPr>
                <w:rFonts w:cs="Calibri"/>
                <w:sz w:val="15"/>
                <w:szCs w:val="15"/>
              </w:rPr>
            </w:pPr>
            <w:r w:rsidRPr="00D96063">
              <w:rPr>
                <w:rFonts w:cs="Calibri"/>
                <w:sz w:val="15"/>
                <w:szCs w:val="15"/>
              </w:rPr>
              <w:t>3.6</w:t>
            </w:r>
          </w:p>
        </w:tc>
        <w:tc>
          <w:tcPr>
            <w:tcW w:w="890" w:type="dxa"/>
            <w:noWrap/>
            <w:hideMark/>
          </w:tcPr>
          <w:p w14:paraId="7E58EA3A" w14:textId="77777777" w:rsidR="00C15F2E" w:rsidRPr="00D96063" w:rsidRDefault="00C15F2E" w:rsidP="00053198">
            <w:pPr>
              <w:jc w:val="right"/>
              <w:rPr>
                <w:rFonts w:cs="Calibri"/>
                <w:sz w:val="15"/>
                <w:szCs w:val="15"/>
              </w:rPr>
            </w:pPr>
            <w:r w:rsidRPr="00D96063">
              <w:rPr>
                <w:rFonts w:cs="Calibri"/>
                <w:sz w:val="15"/>
                <w:szCs w:val="15"/>
              </w:rPr>
              <w:t>2.5</w:t>
            </w:r>
          </w:p>
        </w:tc>
        <w:tc>
          <w:tcPr>
            <w:tcW w:w="890" w:type="dxa"/>
            <w:noWrap/>
            <w:hideMark/>
          </w:tcPr>
          <w:p w14:paraId="341EB812" w14:textId="77777777" w:rsidR="00C15F2E" w:rsidRPr="00D96063" w:rsidRDefault="00C15F2E" w:rsidP="00053198">
            <w:pPr>
              <w:jc w:val="right"/>
              <w:rPr>
                <w:rFonts w:cs="Calibri"/>
                <w:sz w:val="15"/>
                <w:szCs w:val="15"/>
              </w:rPr>
            </w:pPr>
            <w:r w:rsidRPr="00D96063">
              <w:rPr>
                <w:rFonts w:cs="Calibri"/>
                <w:sz w:val="15"/>
                <w:szCs w:val="15"/>
              </w:rPr>
              <w:t>3.2</w:t>
            </w:r>
          </w:p>
        </w:tc>
        <w:tc>
          <w:tcPr>
            <w:tcW w:w="890" w:type="dxa"/>
            <w:noWrap/>
            <w:hideMark/>
          </w:tcPr>
          <w:p w14:paraId="19884DE7" w14:textId="77777777" w:rsidR="00C15F2E" w:rsidRPr="00D96063" w:rsidRDefault="00C15F2E" w:rsidP="00053198">
            <w:pPr>
              <w:jc w:val="right"/>
              <w:rPr>
                <w:rFonts w:cs="Calibri"/>
                <w:sz w:val="15"/>
                <w:szCs w:val="15"/>
              </w:rPr>
            </w:pPr>
            <w:r w:rsidRPr="00D96063">
              <w:rPr>
                <w:rFonts w:cs="Calibri"/>
                <w:sz w:val="15"/>
                <w:szCs w:val="15"/>
              </w:rPr>
              <w:t>3.8</w:t>
            </w:r>
          </w:p>
        </w:tc>
        <w:tc>
          <w:tcPr>
            <w:tcW w:w="890" w:type="dxa"/>
            <w:noWrap/>
            <w:hideMark/>
          </w:tcPr>
          <w:p w14:paraId="1D2155B6" w14:textId="77777777" w:rsidR="00C15F2E" w:rsidRPr="00D96063" w:rsidRDefault="00C15F2E" w:rsidP="00053198">
            <w:pPr>
              <w:jc w:val="right"/>
              <w:rPr>
                <w:rFonts w:cs="Calibri"/>
                <w:sz w:val="15"/>
                <w:szCs w:val="15"/>
              </w:rPr>
            </w:pPr>
            <w:r w:rsidRPr="00D96063">
              <w:rPr>
                <w:rFonts w:cs="Calibri"/>
                <w:sz w:val="15"/>
                <w:szCs w:val="15"/>
              </w:rPr>
              <w:t>3.6</w:t>
            </w:r>
          </w:p>
        </w:tc>
      </w:tr>
      <w:tr w:rsidR="00C15F2E" w:rsidRPr="00D96063" w14:paraId="4D483BC7"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hideMark/>
          </w:tcPr>
          <w:p w14:paraId="4EC7FCAA" w14:textId="77777777" w:rsidR="00C15F2E" w:rsidRPr="00D96063" w:rsidRDefault="00C15F2E" w:rsidP="0009597E">
            <w:pPr>
              <w:jc w:val="left"/>
              <w:rPr>
                <w:rFonts w:cs="Calibri"/>
                <w:sz w:val="15"/>
                <w:szCs w:val="15"/>
              </w:rPr>
            </w:pPr>
            <w:r w:rsidRPr="00D96063">
              <w:rPr>
                <w:rFonts w:cs="Calibri"/>
                <w:sz w:val="15"/>
                <w:szCs w:val="15"/>
              </w:rPr>
              <w:t>03 Fats and oils</w:t>
            </w:r>
          </w:p>
        </w:tc>
        <w:tc>
          <w:tcPr>
            <w:tcW w:w="890" w:type="dxa"/>
            <w:noWrap/>
            <w:hideMark/>
          </w:tcPr>
          <w:p w14:paraId="6934E630" w14:textId="77777777" w:rsidR="00C15F2E" w:rsidRPr="00D96063" w:rsidRDefault="00C15F2E" w:rsidP="00053198">
            <w:pPr>
              <w:jc w:val="right"/>
              <w:rPr>
                <w:rFonts w:cs="Calibri"/>
                <w:sz w:val="15"/>
                <w:szCs w:val="15"/>
              </w:rPr>
            </w:pPr>
            <w:r w:rsidRPr="00D96063">
              <w:rPr>
                <w:rFonts w:cs="Calibri"/>
                <w:sz w:val="15"/>
                <w:szCs w:val="15"/>
              </w:rPr>
              <w:t>1.6</w:t>
            </w:r>
          </w:p>
        </w:tc>
        <w:tc>
          <w:tcPr>
            <w:tcW w:w="890" w:type="dxa"/>
            <w:noWrap/>
            <w:hideMark/>
          </w:tcPr>
          <w:p w14:paraId="2D6FB6E0" w14:textId="77777777" w:rsidR="00C15F2E" w:rsidRPr="00D96063" w:rsidRDefault="00C15F2E" w:rsidP="00053198">
            <w:pPr>
              <w:jc w:val="right"/>
              <w:rPr>
                <w:rFonts w:cs="Calibri"/>
                <w:sz w:val="15"/>
                <w:szCs w:val="15"/>
              </w:rPr>
            </w:pPr>
            <w:r w:rsidRPr="00D96063">
              <w:rPr>
                <w:rFonts w:cs="Calibri"/>
                <w:sz w:val="15"/>
                <w:szCs w:val="15"/>
              </w:rPr>
              <w:t>1.4</w:t>
            </w:r>
          </w:p>
        </w:tc>
        <w:tc>
          <w:tcPr>
            <w:tcW w:w="890" w:type="dxa"/>
            <w:noWrap/>
            <w:hideMark/>
          </w:tcPr>
          <w:p w14:paraId="31C77762" w14:textId="77777777" w:rsidR="00C15F2E" w:rsidRPr="00D96063" w:rsidRDefault="00C15F2E" w:rsidP="00053198">
            <w:pPr>
              <w:jc w:val="right"/>
              <w:rPr>
                <w:rFonts w:cs="Calibri"/>
                <w:sz w:val="15"/>
                <w:szCs w:val="15"/>
              </w:rPr>
            </w:pPr>
            <w:r w:rsidRPr="00D96063">
              <w:rPr>
                <w:rFonts w:cs="Calibri"/>
                <w:sz w:val="15"/>
                <w:szCs w:val="15"/>
              </w:rPr>
              <w:t>1.4</w:t>
            </w:r>
          </w:p>
        </w:tc>
        <w:tc>
          <w:tcPr>
            <w:tcW w:w="890" w:type="dxa"/>
            <w:noWrap/>
            <w:hideMark/>
          </w:tcPr>
          <w:p w14:paraId="4C3BB36E" w14:textId="77777777" w:rsidR="00C15F2E" w:rsidRPr="00D96063" w:rsidRDefault="00C15F2E" w:rsidP="00053198">
            <w:pPr>
              <w:jc w:val="right"/>
              <w:rPr>
                <w:rFonts w:cs="Calibri"/>
                <w:sz w:val="15"/>
                <w:szCs w:val="15"/>
              </w:rPr>
            </w:pPr>
            <w:r w:rsidRPr="00D96063">
              <w:rPr>
                <w:rFonts w:cs="Calibri"/>
                <w:sz w:val="15"/>
                <w:szCs w:val="15"/>
              </w:rPr>
              <w:t>2.7</w:t>
            </w:r>
          </w:p>
        </w:tc>
        <w:tc>
          <w:tcPr>
            <w:tcW w:w="890" w:type="dxa"/>
            <w:noWrap/>
            <w:hideMark/>
          </w:tcPr>
          <w:p w14:paraId="295F7215" w14:textId="77777777" w:rsidR="00C15F2E" w:rsidRPr="00D96063" w:rsidRDefault="00C15F2E" w:rsidP="00053198">
            <w:pPr>
              <w:jc w:val="right"/>
              <w:rPr>
                <w:rFonts w:cs="Calibri"/>
                <w:sz w:val="15"/>
                <w:szCs w:val="15"/>
              </w:rPr>
            </w:pPr>
            <w:r w:rsidRPr="00D96063">
              <w:rPr>
                <w:rFonts w:cs="Calibri"/>
                <w:sz w:val="15"/>
                <w:szCs w:val="15"/>
              </w:rPr>
              <w:t>2.4</w:t>
            </w:r>
          </w:p>
        </w:tc>
        <w:tc>
          <w:tcPr>
            <w:tcW w:w="890" w:type="dxa"/>
            <w:noWrap/>
            <w:hideMark/>
          </w:tcPr>
          <w:p w14:paraId="4DA8516A" w14:textId="77777777" w:rsidR="00C15F2E" w:rsidRPr="00D96063" w:rsidRDefault="00C15F2E" w:rsidP="00053198">
            <w:pPr>
              <w:jc w:val="right"/>
              <w:rPr>
                <w:rFonts w:cs="Calibri"/>
                <w:sz w:val="15"/>
                <w:szCs w:val="15"/>
              </w:rPr>
            </w:pPr>
            <w:r w:rsidRPr="00D96063">
              <w:rPr>
                <w:rFonts w:cs="Calibri"/>
                <w:sz w:val="15"/>
                <w:szCs w:val="15"/>
              </w:rPr>
              <w:t>1.7</w:t>
            </w:r>
          </w:p>
        </w:tc>
      </w:tr>
      <w:tr w:rsidR="00C15F2E" w:rsidRPr="00D96063" w14:paraId="7B85AFA9" w14:textId="77777777" w:rsidTr="00053198">
        <w:trPr>
          <w:trHeight w:val="240"/>
        </w:trPr>
        <w:tc>
          <w:tcPr>
            <w:tcW w:w="3681" w:type="dxa"/>
            <w:gridSpan w:val="2"/>
            <w:noWrap/>
            <w:hideMark/>
          </w:tcPr>
          <w:p w14:paraId="672A2D30" w14:textId="77777777" w:rsidR="00C15F2E" w:rsidRPr="00D96063" w:rsidRDefault="00C15F2E" w:rsidP="0009597E">
            <w:pPr>
              <w:jc w:val="left"/>
              <w:rPr>
                <w:rFonts w:cs="Calibri"/>
                <w:sz w:val="15"/>
                <w:szCs w:val="15"/>
              </w:rPr>
            </w:pPr>
            <w:r w:rsidRPr="00D96063">
              <w:rPr>
                <w:rFonts w:cs="Calibri"/>
                <w:sz w:val="15"/>
                <w:szCs w:val="15"/>
              </w:rPr>
              <w:t>04 Prepared food, beverages and tobacco</w:t>
            </w:r>
          </w:p>
        </w:tc>
        <w:tc>
          <w:tcPr>
            <w:tcW w:w="890" w:type="dxa"/>
            <w:noWrap/>
            <w:hideMark/>
          </w:tcPr>
          <w:p w14:paraId="581479DB" w14:textId="77777777" w:rsidR="00C15F2E" w:rsidRPr="00D96063" w:rsidRDefault="00C15F2E" w:rsidP="00053198">
            <w:pPr>
              <w:jc w:val="right"/>
              <w:rPr>
                <w:rFonts w:cs="Calibri"/>
                <w:sz w:val="15"/>
                <w:szCs w:val="15"/>
              </w:rPr>
            </w:pPr>
            <w:r w:rsidRPr="00D96063">
              <w:rPr>
                <w:rFonts w:cs="Calibri"/>
                <w:sz w:val="15"/>
                <w:szCs w:val="15"/>
              </w:rPr>
              <w:t>6.0</w:t>
            </w:r>
          </w:p>
        </w:tc>
        <w:tc>
          <w:tcPr>
            <w:tcW w:w="890" w:type="dxa"/>
            <w:noWrap/>
            <w:hideMark/>
          </w:tcPr>
          <w:p w14:paraId="2493A439" w14:textId="77777777" w:rsidR="00C15F2E" w:rsidRPr="00D96063" w:rsidRDefault="00C15F2E" w:rsidP="00053198">
            <w:pPr>
              <w:jc w:val="right"/>
              <w:rPr>
                <w:rFonts w:cs="Calibri"/>
                <w:sz w:val="15"/>
                <w:szCs w:val="15"/>
              </w:rPr>
            </w:pPr>
            <w:r w:rsidRPr="00D96063">
              <w:rPr>
                <w:rFonts w:cs="Calibri"/>
                <w:sz w:val="15"/>
                <w:szCs w:val="15"/>
              </w:rPr>
              <w:t>4.6</w:t>
            </w:r>
          </w:p>
        </w:tc>
        <w:tc>
          <w:tcPr>
            <w:tcW w:w="890" w:type="dxa"/>
            <w:noWrap/>
            <w:hideMark/>
          </w:tcPr>
          <w:p w14:paraId="4F0FD421" w14:textId="77777777" w:rsidR="00C15F2E" w:rsidRPr="00D96063" w:rsidRDefault="00C15F2E" w:rsidP="00053198">
            <w:pPr>
              <w:jc w:val="right"/>
              <w:rPr>
                <w:rFonts w:cs="Calibri"/>
                <w:sz w:val="15"/>
                <w:szCs w:val="15"/>
              </w:rPr>
            </w:pPr>
            <w:r w:rsidRPr="00D96063">
              <w:rPr>
                <w:rFonts w:cs="Calibri"/>
                <w:sz w:val="15"/>
                <w:szCs w:val="15"/>
              </w:rPr>
              <w:t>4.2</w:t>
            </w:r>
          </w:p>
        </w:tc>
        <w:tc>
          <w:tcPr>
            <w:tcW w:w="890" w:type="dxa"/>
            <w:noWrap/>
            <w:hideMark/>
          </w:tcPr>
          <w:p w14:paraId="2D49E363" w14:textId="77777777" w:rsidR="00C15F2E" w:rsidRPr="00D96063" w:rsidRDefault="00C15F2E" w:rsidP="00053198">
            <w:pPr>
              <w:jc w:val="right"/>
              <w:rPr>
                <w:rFonts w:cs="Calibri"/>
                <w:sz w:val="15"/>
                <w:szCs w:val="15"/>
              </w:rPr>
            </w:pPr>
            <w:r w:rsidRPr="00D96063">
              <w:rPr>
                <w:rFonts w:cs="Calibri"/>
                <w:sz w:val="15"/>
                <w:szCs w:val="15"/>
              </w:rPr>
              <w:t>5.6</w:t>
            </w:r>
          </w:p>
        </w:tc>
        <w:tc>
          <w:tcPr>
            <w:tcW w:w="890" w:type="dxa"/>
            <w:noWrap/>
            <w:hideMark/>
          </w:tcPr>
          <w:p w14:paraId="06A507F0" w14:textId="77777777" w:rsidR="00C15F2E" w:rsidRPr="00D96063" w:rsidRDefault="00C15F2E" w:rsidP="00053198">
            <w:pPr>
              <w:jc w:val="right"/>
              <w:rPr>
                <w:rFonts w:cs="Calibri"/>
                <w:sz w:val="15"/>
                <w:szCs w:val="15"/>
              </w:rPr>
            </w:pPr>
            <w:r w:rsidRPr="00D96063">
              <w:rPr>
                <w:rFonts w:cs="Calibri"/>
                <w:sz w:val="15"/>
                <w:szCs w:val="15"/>
              </w:rPr>
              <w:t>6.5</w:t>
            </w:r>
          </w:p>
        </w:tc>
        <w:tc>
          <w:tcPr>
            <w:tcW w:w="890" w:type="dxa"/>
            <w:noWrap/>
            <w:hideMark/>
          </w:tcPr>
          <w:p w14:paraId="042E33CB" w14:textId="77777777" w:rsidR="00C15F2E" w:rsidRPr="00D96063" w:rsidRDefault="00C15F2E" w:rsidP="00053198">
            <w:pPr>
              <w:jc w:val="right"/>
              <w:rPr>
                <w:rFonts w:cs="Calibri"/>
                <w:sz w:val="15"/>
                <w:szCs w:val="15"/>
              </w:rPr>
            </w:pPr>
            <w:r w:rsidRPr="00D96063">
              <w:rPr>
                <w:rFonts w:cs="Calibri"/>
                <w:sz w:val="15"/>
                <w:szCs w:val="15"/>
              </w:rPr>
              <w:t>5.7</w:t>
            </w:r>
          </w:p>
        </w:tc>
      </w:tr>
      <w:tr w:rsidR="00C15F2E" w:rsidRPr="00D96063" w14:paraId="132ED101"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hideMark/>
          </w:tcPr>
          <w:p w14:paraId="52B0DA15" w14:textId="77777777" w:rsidR="00C15F2E" w:rsidRPr="00D96063" w:rsidRDefault="00C15F2E" w:rsidP="0009597E">
            <w:pPr>
              <w:jc w:val="left"/>
              <w:rPr>
                <w:rFonts w:cs="Calibri"/>
                <w:sz w:val="15"/>
                <w:szCs w:val="15"/>
              </w:rPr>
            </w:pPr>
            <w:r w:rsidRPr="00D96063">
              <w:rPr>
                <w:rFonts w:cs="Calibri"/>
                <w:sz w:val="15"/>
                <w:szCs w:val="15"/>
              </w:rPr>
              <w:t>05 Mineral products</w:t>
            </w:r>
          </w:p>
        </w:tc>
        <w:tc>
          <w:tcPr>
            <w:tcW w:w="890" w:type="dxa"/>
            <w:noWrap/>
            <w:hideMark/>
          </w:tcPr>
          <w:p w14:paraId="65AB42D9" w14:textId="77777777" w:rsidR="00C15F2E" w:rsidRPr="00D96063" w:rsidRDefault="00C15F2E" w:rsidP="00053198">
            <w:pPr>
              <w:jc w:val="right"/>
              <w:rPr>
                <w:rFonts w:cs="Calibri"/>
                <w:sz w:val="15"/>
                <w:szCs w:val="15"/>
              </w:rPr>
            </w:pPr>
            <w:r w:rsidRPr="00D96063">
              <w:rPr>
                <w:rFonts w:cs="Calibri"/>
                <w:sz w:val="15"/>
                <w:szCs w:val="15"/>
              </w:rPr>
              <w:t>12.6</w:t>
            </w:r>
          </w:p>
        </w:tc>
        <w:tc>
          <w:tcPr>
            <w:tcW w:w="890" w:type="dxa"/>
            <w:noWrap/>
            <w:hideMark/>
          </w:tcPr>
          <w:p w14:paraId="76307C42" w14:textId="77777777" w:rsidR="00C15F2E" w:rsidRPr="00D96063" w:rsidRDefault="00C15F2E" w:rsidP="00053198">
            <w:pPr>
              <w:jc w:val="right"/>
              <w:rPr>
                <w:rFonts w:cs="Calibri"/>
                <w:sz w:val="15"/>
                <w:szCs w:val="15"/>
              </w:rPr>
            </w:pPr>
            <w:r w:rsidRPr="00D96063">
              <w:rPr>
                <w:rFonts w:cs="Calibri"/>
                <w:sz w:val="15"/>
                <w:szCs w:val="15"/>
              </w:rPr>
              <w:t>15.1</w:t>
            </w:r>
          </w:p>
        </w:tc>
        <w:tc>
          <w:tcPr>
            <w:tcW w:w="890" w:type="dxa"/>
            <w:noWrap/>
            <w:hideMark/>
          </w:tcPr>
          <w:p w14:paraId="3D1BF2BA" w14:textId="77777777" w:rsidR="00C15F2E" w:rsidRPr="00D96063" w:rsidRDefault="00C15F2E" w:rsidP="00053198">
            <w:pPr>
              <w:jc w:val="right"/>
              <w:rPr>
                <w:rFonts w:cs="Calibri"/>
                <w:sz w:val="15"/>
                <w:szCs w:val="15"/>
              </w:rPr>
            </w:pPr>
            <w:r w:rsidRPr="00D96063">
              <w:rPr>
                <w:rFonts w:cs="Calibri"/>
                <w:sz w:val="15"/>
                <w:szCs w:val="15"/>
              </w:rPr>
              <w:t>5.9</w:t>
            </w:r>
          </w:p>
        </w:tc>
        <w:tc>
          <w:tcPr>
            <w:tcW w:w="890" w:type="dxa"/>
            <w:noWrap/>
            <w:hideMark/>
          </w:tcPr>
          <w:p w14:paraId="743BA20F" w14:textId="77777777" w:rsidR="00C15F2E" w:rsidRPr="00D96063" w:rsidRDefault="00C15F2E" w:rsidP="00053198">
            <w:pPr>
              <w:jc w:val="right"/>
              <w:rPr>
                <w:rFonts w:cs="Calibri"/>
                <w:sz w:val="15"/>
                <w:szCs w:val="15"/>
              </w:rPr>
            </w:pPr>
            <w:r w:rsidRPr="00D96063">
              <w:rPr>
                <w:rFonts w:cs="Calibri"/>
                <w:sz w:val="15"/>
                <w:szCs w:val="15"/>
              </w:rPr>
              <w:t>10.2</w:t>
            </w:r>
          </w:p>
        </w:tc>
        <w:tc>
          <w:tcPr>
            <w:tcW w:w="890" w:type="dxa"/>
            <w:noWrap/>
            <w:hideMark/>
          </w:tcPr>
          <w:p w14:paraId="2EC50725" w14:textId="77777777" w:rsidR="00C15F2E" w:rsidRPr="00D96063" w:rsidRDefault="00C15F2E" w:rsidP="00053198">
            <w:pPr>
              <w:jc w:val="right"/>
              <w:rPr>
                <w:rFonts w:cs="Calibri"/>
                <w:sz w:val="15"/>
                <w:szCs w:val="15"/>
              </w:rPr>
            </w:pPr>
            <w:r w:rsidRPr="00D96063">
              <w:rPr>
                <w:rFonts w:cs="Calibri"/>
                <w:sz w:val="15"/>
                <w:szCs w:val="15"/>
              </w:rPr>
              <w:t>5.6</w:t>
            </w:r>
          </w:p>
        </w:tc>
        <w:tc>
          <w:tcPr>
            <w:tcW w:w="890" w:type="dxa"/>
            <w:noWrap/>
            <w:hideMark/>
          </w:tcPr>
          <w:p w14:paraId="57AFED48" w14:textId="77777777" w:rsidR="00C15F2E" w:rsidRPr="00D96063" w:rsidRDefault="00C15F2E" w:rsidP="00053198">
            <w:pPr>
              <w:jc w:val="right"/>
              <w:rPr>
                <w:rFonts w:cs="Calibri"/>
                <w:sz w:val="15"/>
                <w:szCs w:val="15"/>
              </w:rPr>
            </w:pPr>
            <w:r w:rsidRPr="00D96063">
              <w:rPr>
                <w:rFonts w:cs="Calibri"/>
                <w:sz w:val="15"/>
                <w:szCs w:val="15"/>
              </w:rPr>
              <w:t>6.5</w:t>
            </w:r>
          </w:p>
        </w:tc>
      </w:tr>
      <w:tr w:rsidR="00C15F2E" w:rsidRPr="00D96063" w14:paraId="579B4845" w14:textId="77777777" w:rsidTr="0009597E">
        <w:trPr>
          <w:trHeight w:val="240"/>
        </w:trPr>
        <w:tc>
          <w:tcPr>
            <w:tcW w:w="704" w:type="dxa"/>
            <w:tcBorders>
              <w:top w:val="nil"/>
              <w:bottom w:val="nil"/>
              <w:right w:val="nil"/>
            </w:tcBorders>
            <w:noWrap/>
            <w:hideMark/>
          </w:tcPr>
          <w:p w14:paraId="0614D1C8"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67C0A4E5" w14:textId="77777777" w:rsidR="00C15F2E" w:rsidRPr="00D96063" w:rsidRDefault="00C15F2E" w:rsidP="0009597E">
            <w:pPr>
              <w:jc w:val="left"/>
              <w:rPr>
                <w:rFonts w:cs="Calibri"/>
                <w:sz w:val="15"/>
                <w:szCs w:val="15"/>
              </w:rPr>
            </w:pPr>
            <w:r w:rsidRPr="00D96063">
              <w:rPr>
                <w:rFonts w:cs="Calibri"/>
                <w:sz w:val="15"/>
                <w:szCs w:val="15"/>
              </w:rPr>
              <w:t>25 Salt; sulphur; earths and stone; plastering materials, lime and cement</w:t>
            </w:r>
          </w:p>
        </w:tc>
        <w:tc>
          <w:tcPr>
            <w:tcW w:w="890" w:type="dxa"/>
            <w:noWrap/>
            <w:hideMark/>
          </w:tcPr>
          <w:p w14:paraId="6482CAB8" w14:textId="77777777" w:rsidR="00C15F2E" w:rsidRPr="00D96063" w:rsidRDefault="00C15F2E" w:rsidP="00053198">
            <w:pPr>
              <w:jc w:val="right"/>
              <w:rPr>
                <w:rFonts w:cs="Calibri"/>
                <w:sz w:val="15"/>
                <w:szCs w:val="15"/>
              </w:rPr>
            </w:pPr>
            <w:r w:rsidRPr="00D96063">
              <w:rPr>
                <w:rFonts w:cs="Calibri"/>
                <w:sz w:val="15"/>
                <w:szCs w:val="15"/>
              </w:rPr>
              <w:t>5.3</w:t>
            </w:r>
          </w:p>
        </w:tc>
        <w:tc>
          <w:tcPr>
            <w:tcW w:w="890" w:type="dxa"/>
            <w:noWrap/>
            <w:hideMark/>
          </w:tcPr>
          <w:p w14:paraId="08A7D368" w14:textId="77777777" w:rsidR="00C15F2E" w:rsidRPr="00D96063" w:rsidRDefault="00C15F2E" w:rsidP="00053198">
            <w:pPr>
              <w:jc w:val="right"/>
              <w:rPr>
                <w:rFonts w:cs="Calibri"/>
                <w:sz w:val="15"/>
                <w:szCs w:val="15"/>
              </w:rPr>
            </w:pPr>
            <w:r w:rsidRPr="00D96063">
              <w:rPr>
                <w:rFonts w:cs="Calibri"/>
                <w:sz w:val="15"/>
                <w:szCs w:val="15"/>
              </w:rPr>
              <w:t>3.5</w:t>
            </w:r>
          </w:p>
        </w:tc>
        <w:tc>
          <w:tcPr>
            <w:tcW w:w="890" w:type="dxa"/>
            <w:noWrap/>
            <w:hideMark/>
          </w:tcPr>
          <w:p w14:paraId="2965F91A" w14:textId="77777777" w:rsidR="00C15F2E" w:rsidRPr="00D96063" w:rsidRDefault="00C15F2E" w:rsidP="00053198">
            <w:pPr>
              <w:jc w:val="right"/>
              <w:rPr>
                <w:rFonts w:cs="Calibri"/>
                <w:sz w:val="15"/>
                <w:szCs w:val="15"/>
              </w:rPr>
            </w:pPr>
            <w:r w:rsidRPr="00D96063">
              <w:rPr>
                <w:rFonts w:cs="Calibri"/>
                <w:sz w:val="15"/>
                <w:szCs w:val="15"/>
              </w:rPr>
              <w:t>4.1</w:t>
            </w:r>
          </w:p>
        </w:tc>
        <w:tc>
          <w:tcPr>
            <w:tcW w:w="890" w:type="dxa"/>
            <w:noWrap/>
            <w:hideMark/>
          </w:tcPr>
          <w:p w14:paraId="48121663" w14:textId="77777777" w:rsidR="00C15F2E" w:rsidRPr="00D96063" w:rsidRDefault="00C15F2E" w:rsidP="00053198">
            <w:pPr>
              <w:jc w:val="right"/>
              <w:rPr>
                <w:rFonts w:cs="Calibri"/>
                <w:sz w:val="15"/>
                <w:szCs w:val="15"/>
              </w:rPr>
            </w:pPr>
            <w:r w:rsidRPr="00D96063">
              <w:rPr>
                <w:rFonts w:cs="Calibri"/>
                <w:sz w:val="15"/>
                <w:szCs w:val="15"/>
              </w:rPr>
              <w:t>7.7</w:t>
            </w:r>
          </w:p>
        </w:tc>
        <w:tc>
          <w:tcPr>
            <w:tcW w:w="890" w:type="dxa"/>
            <w:noWrap/>
            <w:hideMark/>
          </w:tcPr>
          <w:p w14:paraId="78F1B9CA" w14:textId="77777777" w:rsidR="00C15F2E" w:rsidRPr="00D96063" w:rsidRDefault="00C15F2E" w:rsidP="00053198">
            <w:pPr>
              <w:jc w:val="right"/>
              <w:rPr>
                <w:rFonts w:cs="Calibri"/>
                <w:sz w:val="15"/>
                <w:szCs w:val="15"/>
              </w:rPr>
            </w:pPr>
            <w:r w:rsidRPr="00D96063">
              <w:rPr>
                <w:rFonts w:cs="Calibri"/>
                <w:sz w:val="15"/>
                <w:szCs w:val="15"/>
              </w:rPr>
              <w:t>3.2</w:t>
            </w:r>
          </w:p>
        </w:tc>
        <w:tc>
          <w:tcPr>
            <w:tcW w:w="890" w:type="dxa"/>
            <w:noWrap/>
            <w:hideMark/>
          </w:tcPr>
          <w:p w14:paraId="6C7174D0" w14:textId="77777777" w:rsidR="00C15F2E" w:rsidRPr="00D96063" w:rsidRDefault="00C15F2E" w:rsidP="00053198">
            <w:pPr>
              <w:jc w:val="right"/>
              <w:rPr>
                <w:rFonts w:cs="Calibri"/>
                <w:sz w:val="15"/>
                <w:szCs w:val="15"/>
              </w:rPr>
            </w:pPr>
            <w:r w:rsidRPr="00D96063">
              <w:rPr>
                <w:rFonts w:cs="Calibri"/>
                <w:sz w:val="15"/>
                <w:szCs w:val="15"/>
              </w:rPr>
              <w:t>3.6</w:t>
            </w:r>
          </w:p>
        </w:tc>
      </w:tr>
      <w:tr w:rsidR="00C15F2E" w:rsidRPr="00D96063" w14:paraId="2AA8DCAF"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704" w:type="dxa"/>
            <w:tcBorders>
              <w:top w:val="nil"/>
              <w:bottom w:val="nil"/>
              <w:right w:val="nil"/>
            </w:tcBorders>
            <w:noWrap/>
            <w:hideMark/>
          </w:tcPr>
          <w:p w14:paraId="7B3070E1"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0C676493" w14:textId="77777777" w:rsidR="00C15F2E" w:rsidRPr="007A1409" w:rsidRDefault="00C15F2E" w:rsidP="0009597E">
            <w:pPr>
              <w:jc w:val="left"/>
              <w:rPr>
                <w:rFonts w:cs="Calibri"/>
                <w:sz w:val="15"/>
                <w:szCs w:val="15"/>
                <w:lang w:val="fr-CH"/>
              </w:rPr>
            </w:pPr>
            <w:r w:rsidRPr="007A1409">
              <w:rPr>
                <w:rFonts w:cs="Calibri"/>
                <w:sz w:val="15"/>
                <w:szCs w:val="15"/>
                <w:lang w:val="fr-CH"/>
              </w:rPr>
              <w:t xml:space="preserve">   2523 Portland cement, aluminous cement, slag cement, etc</w:t>
            </w:r>
          </w:p>
        </w:tc>
        <w:tc>
          <w:tcPr>
            <w:tcW w:w="890" w:type="dxa"/>
            <w:noWrap/>
            <w:hideMark/>
          </w:tcPr>
          <w:p w14:paraId="758A0030" w14:textId="77777777" w:rsidR="00C15F2E" w:rsidRPr="00D96063" w:rsidRDefault="00C15F2E" w:rsidP="00053198">
            <w:pPr>
              <w:jc w:val="right"/>
              <w:rPr>
                <w:rFonts w:cs="Calibri"/>
                <w:sz w:val="15"/>
                <w:szCs w:val="15"/>
              </w:rPr>
            </w:pPr>
            <w:r w:rsidRPr="00D96063">
              <w:rPr>
                <w:rFonts w:cs="Calibri"/>
                <w:sz w:val="15"/>
                <w:szCs w:val="15"/>
              </w:rPr>
              <w:t>4.9</w:t>
            </w:r>
          </w:p>
        </w:tc>
        <w:tc>
          <w:tcPr>
            <w:tcW w:w="890" w:type="dxa"/>
            <w:noWrap/>
            <w:hideMark/>
          </w:tcPr>
          <w:p w14:paraId="4A3638C2" w14:textId="77777777" w:rsidR="00C15F2E" w:rsidRPr="00D96063" w:rsidRDefault="00C15F2E" w:rsidP="00053198">
            <w:pPr>
              <w:jc w:val="right"/>
              <w:rPr>
                <w:rFonts w:cs="Calibri"/>
                <w:sz w:val="15"/>
                <w:szCs w:val="15"/>
              </w:rPr>
            </w:pPr>
            <w:r w:rsidRPr="00D96063">
              <w:rPr>
                <w:rFonts w:cs="Calibri"/>
                <w:sz w:val="15"/>
                <w:szCs w:val="15"/>
              </w:rPr>
              <w:t>3.1</w:t>
            </w:r>
          </w:p>
        </w:tc>
        <w:tc>
          <w:tcPr>
            <w:tcW w:w="890" w:type="dxa"/>
            <w:noWrap/>
            <w:hideMark/>
          </w:tcPr>
          <w:p w14:paraId="1D2C461E" w14:textId="77777777" w:rsidR="00C15F2E" w:rsidRPr="00D96063" w:rsidRDefault="00C15F2E" w:rsidP="00053198">
            <w:pPr>
              <w:jc w:val="right"/>
              <w:rPr>
                <w:rFonts w:cs="Calibri"/>
                <w:sz w:val="15"/>
                <w:szCs w:val="15"/>
              </w:rPr>
            </w:pPr>
            <w:r w:rsidRPr="00D96063">
              <w:rPr>
                <w:rFonts w:cs="Calibri"/>
                <w:sz w:val="15"/>
                <w:szCs w:val="15"/>
              </w:rPr>
              <w:t>3.7</w:t>
            </w:r>
          </w:p>
        </w:tc>
        <w:tc>
          <w:tcPr>
            <w:tcW w:w="890" w:type="dxa"/>
            <w:noWrap/>
            <w:hideMark/>
          </w:tcPr>
          <w:p w14:paraId="468AA5FE" w14:textId="77777777" w:rsidR="00C15F2E" w:rsidRPr="00D96063" w:rsidRDefault="00C15F2E" w:rsidP="00053198">
            <w:pPr>
              <w:jc w:val="right"/>
              <w:rPr>
                <w:rFonts w:cs="Calibri"/>
                <w:sz w:val="15"/>
                <w:szCs w:val="15"/>
              </w:rPr>
            </w:pPr>
            <w:r w:rsidRPr="00D96063">
              <w:rPr>
                <w:rFonts w:cs="Calibri"/>
                <w:sz w:val="15"/>
                <w:szCs w:val="15"/>
              </w:rPr>
              <w:t>7.2</w:t>
            </w:r>
          </w:p>
        </w:tc>
        <w:tc>
          <w:tcPr>
            <w:tcW w:w="890" w:type="dxa"/>
            <w:noWrap/>
            <w:hideMark/>
          </w:tcPr>
          <w:p w14:paraId="500EEAD9" w14:textId="77777777" w:rsidR="00C15F2E" w:rsidRPr="00D96063" w:rsidRDefault="00C15F2E" w:rsidP="00053198">
            <w:pPr>
              <w:jc w:val="right"/>
              <w:rPr>
                <w:rFonts w:cs="Calibri"/>
                <w:sz w:val="15"/>
                <w:szCs w:val="15"/>
              </w:rPr>
            </w:pPr>
            <w:r w:rsidRPr="00D96063">
              <w:rPr>
                <w:rFonts w:cs="Calibri"/>
                <w:sz w:val="15"/>
                <w:szCs w:val="15"/>
              </w:rPr>
              <w:t>2.7</w:t>
            </w:r>
          </w:p>
        </w:tc>
        <w:tc>
          <w:tcPr>
            <w:tcW w:w="890" w:type="dxa"/>
            <w:noWrap/>
            <w:hideMark/>
          </w:tcPr>
          <w:p w14:paraId="67545E0C" w14:textId="77777777" w:rsidR="00C15F2E" w:rsidRPr="00D96063" w:rsidRDefault="00C15F2E" w:rsidP="00053198">
            <w:pPr>
              <w:jc w:val="right"/>
              <w:rPr>
                <w:rFonts w:cs="Calibri"/>
                <w:sz w:val="15"/>
                <w:szCs w:val="15"/>
              </w:rPr>
            </w:pPr>
            <w:r w:rsidRPr="00D96063">
              <w:rPr>
                <w:rFonts w:cs="Calibri"/>
                <w:sz w:val="15"/>
                <w:szCs w:val="15"/>
              </w:rPr>
              <w:t>3.1</w:t>
            </w:r>
          </w:p>
        </w:tc>
      </w:tr>
      <w:tr w:rsidR="00C15F2E" w:rsidRPr="00D96063" w14:paraId="5ABB6A50" w14:textId="77777777" w:rsidTr="0009597E">
        <w:trPr>
          <w:trHeight w:val="240"/>
        </w:trPr>
        <w:tc>
          <w:tcPr>
            <w:tcW w:w="704" w:type="dxa"/>
            <w:tcBorders>
              <w:top w:val="nil"/>
              <w:bottom w:val="nil"/>
              <w:right w:val="nil"/>
            </w:tcBorders>
            <w:noWrap/>
            <w:hideMark/>
          </w:tcPr>
          <w:p w14:paraId="2B26F5C0"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10AE87DE" w14:textId="77777777" w:rsidR="00C15F2E" w:rsidRPr="00D96063" w:rsidRDefault="00C15F2E" w:rsidP="0009597E">
            <w:pPr>
              <w:jc w:val="left"/>
              <w:rPr>
                <w:rFonts w:cs="Calibri"/>
                <w:sz w:val="15"/>
                <w:szCs w:val="15"/>
              </w:rPr>
            </w:pPr>
            <w:r w:rsidRPr="00D96063">
              <w:rPr>
                <w:rFonts w:cs="Calibri"/>
                <w:sz w:val="15"/>
                <w:szCs w:val="15"/>
              </w:rPr>
              <w:t>27 Mineral fuels</w:t>
            </w:r>
          </w:p>
        </w:tc>
        <w:tc>
          <w:tcPr>
            <w:tcW w:w="890" w:type="dxa"/>
            <w:noWrap/>
            <w:hideMark/>
          </w:tcPr>
          <w:p w14:paraId="129EFD35" w14:textId="77777777" w:rsidR="00C15F2E" w:rsidRPr="00D96063" w:rsidRDefault="00C15F2E" w:rsidP="00053198">
            <w:pPr>
              <w:jc w:val="right"/>
              <w:rPr>
                <w:rFonts w:cs="Calibri"/>
                <w:sz w:val="15"/>
                <w:szCs w:val="15"/>
              </w:rPr>
            </w:pPr>
            <w:r w:rsidRPr="00D96063">
              <w:rPr>
                <w:rFonts w:cs="Calibri"/>
                <w:sz w:val="15"/>
                <w:szCs w:val="15"/>
              </w:rPr>
              <w:t>7.3</w:t>
            </w:r>
          </w:p>
        </w:tc>
        <w:tc>
          <w:tcPr>
            <w:tcW w:w="890" w:type="dxa"/>
            <w:noWrap/>
            <w:hideMark/>
          </w:tcPr>
          <w:p w14:paraId="78649E83" w14:textId="77777777" w:rsidR="00C15F2E" w:rsidRPr="00D96063" w:rsidRDefault="00C15F2E" w:rsidP="00053198">
            <w:pPr>
              <w:jc w:val="right"/>
              <w:rPr>
                <w:rFonts w:cs="Calibri"/>
                <w:sz w:val="15"/>
                <w:szCs w:val="15"/>
              </w:rPr>
            </w:pPr>
            <w:r w:rsidRPr="00D96063">
              <w:rPr>
                <w:rFonts w:cs="Calibri"/>
                <w:sz w:val="15"/>
                <w:szCs w:val="15"/>
              </w:rPr>
              <w:t>11.6</w:t>
            </w:r>
          </w:p>
        </w:tc>
        <w:tc>
          <w:tcPr>
            <w:tcW w:w="890" w:type="dxa"/>
            <w:noWrap/>
            <w:hideMark/>
          </w:tcPr>
          <w:p w14:paraId="4721F3A3" w14:textId="77777777" w:rsidR="00C15F2E" w:rsidRPr="00D96063" w:rsidRDefault="00C15F2E" w:rsidP="00053198">
            <w:pPr>
              <w:jc w:val="right"/>
              <w:rPr>
                <w:rFonts w:cs="Calibri"/>
                <w:sz w:val="15"/>
                <w:szCs w:val="15"/>
              </w:rPr>
            </w:pPr>
            <w:r w:rsidRPr="00D96063">
              <w:rPr>
                <w:rFonts w:cs="Calibri"/>
                <w:sz w:val="15"/>
                <w:szCs w:val="15"/>
              </w:rPr>
              <w:t>1.7</w:t>
            </w:r>
          </w:p>
        </w:tc>
        <w:tc>
          <w:tcPr>
            <w:tcW w:w="890" w:type="dxa"/>
            <w:noWrap/>
            <w:hideMark/>
          </w:tcPr>
          <w:p w14:paraId="7C8C8B5A" w14:textId="77777777" w:rsidR="00C15F2E" w:rsidRPr="00D96063" w:rsidRDefault="00C15F2E" w:rsidP="00053198">
            <w:pPr>
              <w:jc w:val="right"/>
              <w:rPr>
                <w:rFonts w:cs="Calibri"/>
                <w:sz w:val="15"/>
                <w:szCs w:val="15"/>
              </w:rPr>
            </w:pPr>
            <w:r w:rsidRPr="00D96063">
              <w:rPr>
                <w:rFonts w:cs="Calibri"/>
                <w:sz w:val="15"/>
                <w:szCs w:val="15"/>
              </w:rPr>
              <w:t>2.4</w:t>
            </w:r>
          </w:p>
        </w:tc>
        <w:tc>
          <w:tcPr>
            <w:tcW w:w="890" w:type="dxa"/>
            <w:noWrap/>
            <w:hideMark/>
          </w:tcPr>
          <w:p w14:paraId="36CB056A" w14:textId="77777777" w:rsidR="00C15F2E" w:rsidRPr="00D96063" w:rsidRDefault="00C15F2E" w:rsidP="00053198">
            <w:pPr>
              <w:jc w:val="right"/>
              <w:rPr>
                <w:rFonts w:cs="Calibri"/>
                <w:sz w:val="15"/>
                <w:szCs w:val="15"/>
              </w:rPr>
            </w:pPr>
            <w:r w:rsidRPr="00D96063">
              <w:rPr>
                <w:rFonts w:cs="Calibri"/>
                <w:sz w:val="15"/>
                <w:szCs w:val="15"/>
              </w:rPr>
              <w:t>2.1</w:t>
            </w:r>
          </w:p>
        </w:tc>
        <w:tc>
          <w:tcPr>
            <w:tcW w:w="890" w:type="dxa"/>
            <w:noWrap/>
            <w:hideMark/>
          </w:tcPr>
          <w:p w14:paraId="259B87F4" w14:textId="77777777" w:rsidR="00C15F2E" w:rsidRPr="00D96063" w:rsidRDefault="00C15F2E" w:rsidP="00053198">
            <w:pPr>
              <w:jc w:val="right"/>
              <w:rPr>
                <w:rFonts w:cs="Calibri"/>
                <w:sz w:val="15"/>
                <w:szCs w:val="15"/>
              </w:rPr>
            </w:pPr>
            <w:r w:rsidRPr="00D96063">
              <w:rPr>
                <w:rFonts w:cs="Calibri"/>
                <w:sz w:val="15"/>
                <w:szCs w:val="15"/>
              </w:rPr>
              <w:t>2.9</w:t>
            </w:r>
          </w:p>
        </w:tc>
      </w:tr>
      <w:tr w:rsidR="00C15F2E" w:rsidRPr="00D96063" w14:paraId="7602B6E5"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704" w:type="dxa"/>
            <w:tcBorders>
              <w:top w:val="nil"/>
              <w:bottom w:val="nil"/>
              <w:right w:val="nil"/>
            </w:tcBorders>
            <w:noWrap/>
            <w:hideMark/>
          </w:tcPr>
          <w:p w14:paraId="62EA74A0"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5788F7BD" w14:textId="77777777" w:rsidR="00C15F2E" w:rsidRPr="00D96063" w:rsidRDefault="00C15F2E" w:rsidP="0009597E">
            <w:pPr>
              <w:jc w:val="left"/>
              <w:rPr>
                <w:rFonts w:cs="Calibri"/>
                <w:sz w:val="15"/>
                <w:szCs w:val="15"/>
              </w:rPr>
            </w:pPr>
            <w:r w:rsidRPr="00D96063">
              <w:rPr>
                <w:rFonts w:cs="Calibri"/>
                <w:sz w:val="15"/>
                <w:szCs w:val="15"/>
              </w:rPr>
              <w:t xml:space="preserve">   2710 Petroleum oils and oils obtained from bituminous minerals, other than crude</w:t>
            </w:r>
          </w:p>
        </w:tc>
        <w:tc>
          <w:tcPr>
            <w:tcW w:w="890" w:type="dxa"/>
            <w:noWrap/>
            <w:hideMark/>
          </w:tcPr>
          <w:p w14:paraId="3C94F0CA" w14:textId="77777777" w:rsidR="00C15F2E" w:rsidRPr="00D96063" w:rsidRDefault="00C15F2E" w:rsidP="00053198">
            <w:pPr>
              <w:jc w:val="right"/>
              <w:rPr>
                <w:rFonts w:cs="Calibri"/>
                <w:sz w:val="15"/>
                <w:szCs w:val="15"/>
              </w:rPr>
            </w:pPr>
            <w:r w:rsidRPr="00D96063">
              <w:rPr>
                <w:rFonts w:cs="Calibri"/>
                <w:sz w:val="15"/>
                <w:szCs w:val="15"/>
              </w:rPr>
              <w:t>2.6</w:t>
            </w:r>
          </w:p>
        </w:tc>
        <w:tc>
          <w:tcPr>
            <w:tcW w:w="890" w:type="dxa"/>
            <w:noWrap/>
            <w:hideMark/>
          </w:tcPr>
          <w:p w14:paraId="38E65B23" w14:textId="77777777" w:rsidR="00C15F2E" w:rsidRPr="00D96063" w:rsidRDefault="00C15F2E" w:rsidP="00053198">
            <w:pPr>
              <w:jc w:val="right"/>
              <w:rPr>
                <w:rFonts w:cs="Calibri"/>
                <w:sz w:val="15"/>
                <w:szCs w:val="15"/>
              </w:rPr>
            </w:pPr>
            <w:r w:rsidRPr="00D96063">
              <w:rPr>
                <w:rFonts w:cs="Calibri"/>
                <w:sz w:val="15"/>
                <w:szCs w:val="15"/>
              </w:rPr>
              <w:t>3.5</w:t>
            </w:r>
          </w:p>
        </w:tc>
        <w:tc>
          <w:tcPr>
            <w:tcW w:w="890" w:type="dxa"/>
            <w:noWrap/>
            <w:hideMark/>
          </w:tcPr>
          <w:p w14:paraId="78431AD0" w14:textId="77777777" w:rsidR="00C15F2E" w:rsidRPr="00D96063" w:rsidRDefault="00C15F2E" w:rsidP="00053198">
            <w:pPr>
              <w:jc w:val="right"/>
              <w:rPr>
                <w:rFonts w:cs="Calibri"/>
                <w:sz w:val="15"/>
                <w:szCs w:val="15"/>
              </w:rPr>
            </w:pPr>
            <w:r w:rsidRPr="00D96063">
              <w:rPr>
                <w:rFonts w:cs="Calibri"/>
                <w:sz w:val="15"/>
                <w:szCs w:val="15"/>
              </w:rPr>
              <w:t>0.8</w:t>
            </w:r>
          </w:p>
        </w:tc>
        <w:tc>
          <w:tcPr>
            <w:tcW w:w="890" w:type="dxa"/>
            <w:noWrap/>
            <w:hideMark/>
          </w:tcPr>
          <w:p w14:paraId="41689A3E" w14:textId="77777777" w:rsidR="00C15F2E" w:rsidRPr="00D96063" w:rsidRDefault="00C15F2E" w:rsidP="00053198">
            <w:pPr>
              <w:jc w:val="right"/>
              <w:rPr>
                <w:rFonts w:cs="Calibri"/>
                <w:sz w:val="15"/>
                <w:szCs w:val="15"/>
              </w:rPr>
            </w:pPr>
            <w:r w:rsidRPr="00D96063">
              <w:rPr>
                <w:rFonts w:cs="Calibri"/>
                <w:sz w:val="15"/>
                <w:szCs w:val="15"/>
              </w:rPr>
              <w:t>1.7</w:t>
            </w:r>
          </w:p>
        </w:tc>
        <w:tc>
          <w:tcPr>
            <w:tcW w:w="890" w:type="dxa"/>
            <w:noWrap/>
            <w:hideMark/>
          </w:tcPr>
          <w:p w14:paraId="64F21FF4" w14:textId="77777777" w:rsidR="00C15F2E" w:rsidRPr="00D96063" w:rsidRDefault="00C15F2E" w:rsidP="00053198">
            <w:pPr>
              <w:jc w:val="right"/>
              <w:rPr>
                <w:rFonts w:cs="Calibri"/>
                <w:sz w:val="15"/>
                <w:szCs w:val="15"/>
              </w:rPr>
            </w:pPr>
            <w:r w:rsidRPr="00D96063">
              <w:rPr>
                <w:rFonts w:cs="Calibri"/>
                <w:sz w:val="15"/>
                <w:szCs w:val="15"/>
              </w:rPr>
              <w:t>1.6</w:t>
            </w:r>
          </w:p>
        </w:tc>
        <w:tc>
          <w:tcPr>
            <w:tcW w:w="890" w:type="dxa"/>
            <w:noWrap/>
            <w:hideMark/>
          </w:tcPr>
          <w:p w14:paraId="37C0AEE7" w14:textId="77777777" w:rsidR="00C15F2E" w:rsidRPr="00D96063" w:rsidRDefault="00C15F2E" w:rsidP="00053198">
            <w:pPr>
              <w:jc w:val="right"/>
              <w:rPr>
                <w:rFonts w:cs="Calibri"/>
                <w:sz w:val="15"/>
                <w:szCs w:val="15"/>
              </w:rPr>
            </w:pPr>
            <w:r w:rsidRPr="00D96063">
              <w:rPr>
                <w:rFonts w:cs="Calibri"/>
                <w:sz w:val="15"/>
                <w:szCs w:val="15"/>
              </w:rPr>
              <w:t>2.3</w:t>
            </w:r>
          </w:p>
        </w:tc>
      </w:tr>
      <w:tr w:rsidR="00C15F2E" w:rsidRPr="00D96063" w14:paraId="54DEA128" w14:textId="77777777" w:rsidTr="00053198">
        <w:trPr>
          <w:trHeight w:val="240"/>
        </w:trPr>
        <w:tc>
          <w:tcPr>
            <w:tcW w:w="3681" w:type="dxa"/>
            <w:gridSpan w:val="2"/>
            <w:noWrap/>
            <w:hideMark/>
          </w:tcPr>
          <w:p w14:paraId="612F6D5E" w14:textId="77777777" w:rsidR="00C15F2E" w:rsidRPr="00D96063" w:rsidRDefault="00C15F2E" w:rsidP="0009597E">
            <w:pPr>
              <w:jc w:val="left"/>
              <w:rPr>
                <w:rFonts w:cs="Calibri"/>
                <w:sz w:val="15"/>
                <w:szCs w:val="15"/>
              </w:rPr>
            </w:pPr>
            <w:r w:rsidRPr="00D96063">
              <w:rPr>
                <w:rFonts w:cs="Calibri"/>
                <w:sz w:val="15"/>
                <w:szCs w:val="15"/>
              </w:rPr>
              <w:t>06 Chemicals and products thereof</w:t>
            </w:r>
          </w:p>
        </w:tc>
        <w:tc>
          <w:tcPr>
            <w:tcW w:w="890" w:type="dxa"/>
            <w:noWrap/>
            <w:hideMark/>
          </w:tcPr>
          <w:p w14:paraId="7383AADA" w14:textId="77777777" w:rsidR="00C15F2E" w:rsidRPr="00D96063" w:rsidRDefault="00C15F2E" w:rsidP="00053198">
            <w:pPr>
              <w:jc w:val="right"/>
              <w:rPr>
                <w:rFonts w:cs="Calibri"/>
                <w:sz w:val="15"/>
                <w:szCs w:val="15"/>
              </w:rPr>
            </w:pPr>
            <w:r w:rsidRPr="00D96063">
              <w:rPr>
                <w:rFonts w:cs="Calibri"/>
                <w:sz w:val="15"/>
                <w:szCs w:val="15"/>
              </w:rPr>
              <w:t>7.3</w:t>
            </w:r>
          </w:p>
        </w:tc>
        <w:tc>
          <w:tcPr>
            <w:tcW w:w="890" w:type="dxa"/>
            <w:noWrap/>
            <w:hideMark/>
          </w:tcPr>
          <w:p w14:paraId="1D3E6921" w14:textId="77777777" w:rsidR="00C15F2E" w:rsidRPr="00D96063" w:rsidRDefault="00C15F2E" w:rsidP="00053198">
            <w:pPr>
              <w:jc w:val="right"/>
              <w:rPr>
                <w:rFonts w:cs="Calibri"/>
                <w:sz w:val="15"/>
                <w:szCs w:val="15"/>
              </w:rPr>
            </w:pPr>
            <w:r w:rsidRPr="00D96063">
              <w:rPr>
                <w:rFonts w:cs="Calibri"/>
                <w:sz w:val="15"/>
                <w:szCs w:val="15"/>
              </w:rPr>
              <w:t>9.1</w:t>
            </w:r>
          </w:p>
        </w:tc>
        <w:tc>
          <w:tcPr>
            <w:tcW w:w="890" w:type="dxa"/>
            <w:noWrap/>
            <w:hideMark/>
          </w:tcPr>
          <w:p w14:paraId="7E53DB3F" w14:textId="77777777" w:rsidR="00C15F2E" w:rsidRPr="00D96063" w:rsidRDefault="00C15F2E" w:rsidP="00053198">
            <w:pPr>
              <w:jc w:val="right"/>
              <w:rPr>
                <w:rFonts w:cs="Calibri"/>
                <w:sz w:val="15"/>
                <w:szCs w:val="15"/>
              </w:rPr>
            </w:pPr>
            <w:r w:rsidRPr="00D96063">
              <w:rPr>
                <w:rFonts w:cs="Calibri"/>
                <w:sz w:val="15"/>
                <w:szCs w:val="15"/>
              </w:rPr>
              <w:t>8.2</w:t>
            </w:r>
          </w:p>
        </w:tc>
        <w:tc>
          <w:tcPr>
            <w:tcW w:w="890" w:type="dxa"/>
            <w:noWrap/>
            <w:hideMark/>
          </w:tcPr>
          <w:p w14:paraId="720EEBEE" w14:textId="77777777" w:rsidR="00C15F2E" w:rsidRPr="00D96063" w:rsidRDefault="00C15F2E" w:rsidP="00053198">
            <w:pPr>
              <w:jc w:val="right"/>
              <w:rPr>
                <w:rFonts w:cs="Calibri"/>
                <w:sz w:val="15"/>
                <w:szCs w:val="15"/>
              </w:rPr>
            </w:pPr>
            <w:r w:rsidRPr="00D96063">
              <w:rPr>
                <w:rFonts w:cs="Calibri"/>
                <w:sz w:val="15"/>
                <w:szCs w:val="15"/>
              </w:rPr>
              <w:t>9.6</w:t>
            </w:r>
          </w:p>
        </w:tc>
        <w:tc>
          <w:tcPr>
            <w:tcW w:w="890" w:type="dxa"/>
            <w:noWrap/>
            <w:hideMark/>
          </w:tcPr>
          <w:p w14:paraId="417E06F7" w14:textId="77777777" w:rsidR="00C15F2E" w:rsidRPr="00D96063" w:rsidRDefault="00C15F2E" w:rsidP="00053198">
            <w:pPr>
              <w:jc w:val="right"/>
              <w:rPr>
                <w:rFonts w:cs="Calibri"/>
                <w:sz w:val="15"/>
                <w:szCs w:val="15"/>
              </w:rPr>
            </w:pPr>
            <w:r w:rsidRPr="00D96063">
              <w:rPr>
                <w:rFonts w:cs="Calibri"/>
                <w:sz w:val="15"/>
                <w:szCs w:val="15"/>
              </w:rPr>
              <w:t>10.5</w:t>
            </w:r>
          </w:p>
        </w:tc>
        <w:tc>
          <w:tcPr>
            <w:tcW w:w="890" w:type="dxa"/>
            <w:noWrap/>
            <w:hideMark/>
          </w:tcPr>
          <w:p w14:paraId="1ADE152A" w14:textId="77777777" w:rsidR="00C15F2E" w:rsidRPr="00D96063" w:rsidRDefault="00C15F2E" w:rsidP="00053198">
            <w:pPr>
              <w:jc w:val="right"/>
              <w:rPr>
                <w:rFonts w:cs="Calibri"/>
                <w:sz w:val="15"/>
                <w:szCs w:val="15"/>
              </w:rPr>
            </w:pPr>
            <w:r w:rsidRPr="00D96063">
              <w:rPr>
                <w:rFonts w:cs="Calibri"/>
                <w:sz w:val="15"/>
                <w:szCs w:val="15"/>
              </w:rPr>
              <w:t>10.5</w:t>
            </w:r>
          </w:p>
        </w:tc>
      </w:tr>
      <w:tr w:rsidR="00C15F2E" w:rsidRPr="00D96063" w14:paraId="005A70B6"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704" w:type="dxa"/>
            <w:tcBorders>
              <w:top w:val="nil"/>
              <w:bottom w:val="nil"/>
              <w:right w:val="nil"/>
            </w:tcBorders>
            <w:noWrap/>
            <w:hideMark/>
          </w:tcPr>
          <w:p w14:paraId="7BD95E82"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5D0B9F68" w14:textId="77777777" w:rsidR="00C15F2E" w:rsidRPr="00D96063" w:rsidRDefault="00C15F2E" w:rsidP="0009597E">
            <w:pPr>
              <w:jc w:val="left"/>
              <w:rPr>
                <w:rFonts w:cs="Calibri"/>
                <w:sz w:val="15"/>
                <w:szCs w:val="15"/>
              </w:rPr>
            </w:pPr>
            <w:r w:rsidRPr="00D96063">
              <w:rPr>
                <w:rFonts w:cs="Calibri"/>
                <w:sz w:val="15"/>
                <w:szCs w:val="15"/>
              </w:rPr>
              <w:t>38 Miscellaneous chemical products</w:t>
            </w:r>
          </w:p>
        </w:tc>
        <w:tc>
          <w:tcPr>
            <w:tcW w:w="890" w:type="dxa"/>
            <w:noWrap/>
            <w:hideMark/>
          </w:tcPr>
          <w:p w14:paraId="21EF2E20" w14:textId="77777777" w:rsidR="00C15F2E" w:rsidRPr="00D96063" w:rsidRDefault="00C15F2E" w:rsidP="00053198">
            <w:pPr>
              <w:jc w:val="right"/>
              <w:rPr>
                <w:rFonts w:cs="Calibri"/>
                <w:sz w:val="15"/>
                <w:szCs w:val="15"/>
              </w:rPr>
            </w:pPr>
            <w:r w:rsidRPr="00D96063">
              <w:rPr>
                <w:rFonts w:cs="Calibri"/>
                <w:sz w:val="15"/>
                <w:szCs w:val="15"/>
              </w:rPr>
              <w:t>2.0</w:t>
            </w:r>
          </w:p>
        </w:tc>
        <w:tc>
          <w:tcPr>
            <w:tcW w:w="890" w:type="dxa"/>
            <w:noWrap/>
            <w:hideMark/>
          </w:tcPr>
          <w:p w14:paraId="6FC95731" w14:textId="77777777" w:rsidR="00C15F2E" w:rsidRPr="00D96063" w:rsidRDefault="00C15F2E" w:rsidP="00053198">
            <w:pPr>
              <w:jc w:val="right"/>
              <w:rPr>
                <w:rFonts w:cs="Calibri"/>
                <w:sz w:val="15"/>
                <w:szCs w:val="15"/>
              </w:rPr>
            </w:pPr>
            <w:r w:rsidRPr="00D96063">
              <w:rPr>
                <w:rFonts w:cs="Calibri"/>
                <w:sz w:val="15"/>
                <w:szCs w:val="15"/>
              </w:rPr>
              <w:t>2.2</w:t>
            </w:r>
          </w:p>
        </w:tc>
        <w:tc>
          <w:tcPr>
            <w:tcW w:w="890" w:type="dxa"/>
            <w:noWrap/>
            <w:hideMark/>
          </w:tcPr>
          <w:p w14:paraId="1A22DD47" w14:textId="77777777" w:rsidR="00C15F2E" w:rsidRPr="00D96063" w:rsidRDefault="00C15F2E" w:rsidP="00053198">
            <w:pPr>
              <w:jc w:val="right"/>
              <w:rPr>
                <w:rFonts w:cs="Calibri"/>
                <w:sz w:val="15"/>
                <w:szCs w:val="15"/>
              </w:rPr>
            </w:pPr>
            <w:r w:rsidRPr="00D96063">
              <w:rPr>
                <w:rFonts w:cs="Calibri"/>
                <w:sz w:val="15"/>
                <w:szCs w:val="15"/>
              </w:rPr>
              <w:t>2.2</w:t>
            </w:r>
          </w:p>
        </w:tc>
        <w:tc>
          <w:tcPr>
            <w:tcW w:w="890" w:type="dxa"/>
            <w:noWrap/>
            <w:hideMark/>
          </w:tcPr>
          <w:p w14:paraId="468FA49D" w14:textId="77777777" w:rsidR="00C15F2E" w:rsidRPr="00D96063" w:rsidRDefault="00C15F2E" w:rsidP="00053198">
            <w:pPr>
              <w:jc w:val="right"/>
              <w:rPr>
                <w:rFonts w:cs="Calibri"/>
                <w:sz w:val="15"/>
                <w:szCs w:val="15"/>
              </w:rPr>
            </w:pPr>
            <w:r w:rsidRPr="00D96063">
              <w:rPr>
                <w:rFonts w:cs="Calibri"/>
                <w:sz w:val="15"/>
                <w:szCs w:val="15"/>
              </w:rPr>
              <w:t>2.1</w:t>
            </w:r>
          </w:p>
        </w:tc>
        <w:tc>
          <w:tcPr>
            <w:tcW w:w="890" w:type="dxa"/>
            <w:noWrap/>
            <w:hideMark/>
          </w:tcPr>
          <w:p w14:paraId="0FAB013E" w14:textId="77777777" w:rsidR="00C15F2E" w:rsidRPr="00D96063" w:rsidRDefault="00C15F2E" w:rsidP="00053198">
            <w:pPr>
              <w:jc w:val="right"/>
              <w:rPr>
                <w:rFonts w:cs="Calibri"/>
                <w:sz w:val="15"/>
                <w:szCs w:val="15"/>
              </w:rPr>
            </w:pPr>
            <w:r w:rsidRPr="00D96063">
              <w:rPr>
                <w:rFonts w:cs="Calibri"/>
                <w:sz w:val="15"/>
                <w:szCs w:val="15"/>
              </w:rPr>
              <w:t>2.4</w:t>
            </w:r>
          </w:p>
        </w:tc>
        <w:tc>
          <w:tcPr>
            <w:tcW w:w="890" w:type="dxa"/>
            <w:noWrap/>
            <w:hideMark/>
          </w:tcPr>
          <w:p w14:paraId="2E5B51B6" w14:textId="77777777" w:rsidR="00C15F2E" w:rsidRPr="00D96063" w:rsidRDefault="00C15F2E" w:rsidP="00053198">
            <w:pPr>
              <w:jc w:val="right"/>
              <w:rPr>
                <w:rFonts w:cs="Calibri"/>
                <w:sz w:val="15"/>
                <w:szCs w:val="15"/>
              </w:rPr>
            </w:pPr>
            <w:r w:rsidRPr="00D96063">
              <w:rPr>
                <w:rFonts w:cs="Calibri"/>
                <w:sz w:val="15"/>
                <w:szCs w:val="15"/>
              </w:rPr>
              <w:t>2.2</w:t>
            </w:r>
          </w:p>
        </w:tc>
      </w:tr>
      <w:tr w:rsidR="00C15F2E" w:rsidRPr="00D96063" w14:paraId="72307EAC" w14:textId="77777777" w:rsidTr="0009597E">
        <w:trPr>
          <w:trHeight w:val="240"/>
        </w:trPr>
        <w:tc>
          <w:tcPr>
            <w:tcW w:w="704" w:type="dxa"/>
            <w:tcBorders>
              <w:top w:val="nil"/>
              <w:bottom w:val="nil"/>
              <w:right w:val="nil"/>
            </w:tcBorders>
            <w:noWrap/>
            <w:hideMark/>
          </w:tcPr>
          <w:p w14:paraId="28A2B56F"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05172976" w14:textId="77777777" w:rsidR="00C15F2E" w:rsidRPr="00D96063" w:rsidRDefault="00C15F2E" w:rsidP="0009597E">
            <w:pPr>
              <w:jc w:val="left"/>
              <w:rPr>
                <w:rFonts w:cs="Calibri"/>
                <w:sz w:val="15"/>
                <w:szCs w:val="15"/>
              </w:rPr>
            </w:pPr>
            <w:r w:rsidRPr="00D96063">
              <w:rPr>
                <w:rFonts w:cs="Calibri"/>
                <w:sz w:val="15"/>
                <w:szCs w:val="15"/>
              </w:rPr>
              <w:t>30 Pharmaceutical products</w:t>
            </w:r>
          </w:p>
        </w:tc>
        <w:tc>
          <w:tcPr>
            <w:tcW w:w="890" w:type="dxa"/>
            <w:noWrap/>
            <w:hideMark/>
          </w:tcPr>
          <w:p w14:paraId="649E5654" w14:textId="77777777" w:rsidR="00C15F2E" w:rsidRPr="00D96063" w:rsidRDefault="00C15F2E" w:rsidP="00053198">
            <w:pPr>
              <w:jc w:val="right"/>
              <w:rPr>
                <w:rFonts w:cs="Calibri"/>
                <w:sz w:val="15"/>
                <w:szCs w:val="15"/>
              </w:rPr>
            </w:pPr>
            <w:r w:rsidRPr="00D96063">
              <w:rPr>
                <w:rFonts w:cs="Calibri"/>
                <w:sz w:val="15"/>
                <w:szCs w:val="15"/>
              </w:rPr>
              <w:t>1.7</w:t>
            </w:r>
          </w:p>
        </w:tc>
        <w:tc>
          <w:tcPr>
            <w:tcW w:w="890" w:type="dxa"/>
            <w:noWrap/>
            <w:hideMark/>
          </w:tcPr>
          <w:p w14:paraId="2962B2C7" w14:textId="77777777" w:rsidR="00C15F2E" w:rsidRPr="00D96063" w:rsidRDefault="00C15F2E" w:rsidP="00053198">
            <w:pPr>
              <w:jc w:val="right"/>
              <w:rPr>
                <w:rFonts w:cs="Calibri"/>
                <w:sz w:val="15"/>
                <w:szCs w:val="15"/>
              </w:rPr>
            </w:pPr>
            <w:r w:rsidRPr="00D96063">
              <w:rPr>
                <w:rFonts w:cs="Calibri"/>
                <w:sz w:val="15"/>
                <w:szCs w:val="15"/>
              </w:rPr>
              <w:t>2.6</w:t>
            </w:r>
          </w:p>
        </w:tc>
        <w:tc>
          <w:tcPr>
            <w:tcW w:w="890" w:type="dxa"/>
            <w:noWrap/>
            <w:hideMark/>
          </w:tcPr>
          <w:p w14:paraId="4A71431A" w14:textId="77777777" w:rsidR="00C15F2E" w:rsidRPr="00D96063" w:rsidRDefault="00C15F2E" w:rsidP="00053198">
            <w:pPr>
              <w:jc w:val="right"/>
              <w:rPr>
                <w:rFonts w:cs="Calibri"/>
                <w:sz w:val="15"/>
                <w:szCs w:val="15"/>
              </w:rPr>
            </w:pPr>
            <w:r w:rsidRPr="00D96063">
              <w:rPr>
                <w:rFonts w:cs="Calibri"/>
                <w:sz w:val="15"/>
                <w:szCs w:val="15"/>
              </w:rPr>
              <w:t>1.4</w:t>
            </w:r>
          </w:p>
        </w:tc>
        <w:tc>
          <w:tcPr>
            <w:tcW w:w="890" w:type="dxa"/>
            <w:noWrap/>
            <w:hideMark/>
          </w:tcPr>
          <w:p w14:paraId="762808DF" w14:textId="77777777" w:rsidR="00C15F2E" w:rsidRPr="00D96063" w:rsidRDefault="00C15F2E" w:rsidP="00053198">
            <w:pPr>
              <w:jc w:val="right"/>
              <w:rPr>
                <w:rFonts w:cs="Calibri"/>
                <w:sz w:val="15"/>
                <w:szCs w:val="15"/>
              </w:rPr>
            </w:pPr>
            <w:r w:rsidRPr="00D96063">
              <w:rPr>
                <w:rFonts w:cs="Calibri"/>
                <w:sz w:val="15"/>
                <w:szCs w:val="15"/>
              </w:rPr>
              <w:t>2.1</w:t>
            </w:r>
          </w:p>
        </w:tc>
        <w:tc>
          <w:tcPr>
            <w:tcW w:w="890" w:type="dxa"/>
            <w:noWrap/>
            <w:hideMark/>
          </w:tcPr>
          <w:p w14:paraId="78E93756" w14:textId="77777777" w:rsidR="00C15F2E" w:rsidRPr="00D96063" w:rsidRDefault="00C15F2E" w:rsidP="00053198">
            <w:pPr>
              <w:jc w:val="right"/>
              <w:rPr>
                <w:rFonts w:cs="Calibri"/>
                <w:sz w:val="15"/>
                <w:szCs w:val="15"/>
              </w:rPr>
            </w:pPr>
            <w:r w:rsidRPr="00D96063">
              <w:rPr>
                <w:rFonts w:cs="Calibri"/>
                <w:sz w:val="15"/>
                <w:szCs w:val="15"/>
              </w:rPr>
              <w:t>2.4</w:t>
            </w:r>
          </w:p>
        </w:tc>
        <w:tc>
          <w:tcPr>
            <w:tcW w:w="890" w:type="dxa"/>
            <w:noWrap/>
            <w:hideMark/>
          </w:tcPr>
          <w:p w14:paraId="25FCE6D7" w14:textId="77777777" w:rsidR="00C15F2E" w:rsidRPr="00D96063" w:rsidRDefault="00C15F2E" w:rsidP="00053198">
            <w:pPr>
              <w:jc w:val="right"/>
              <w:rPr>
                <w:rFonts w:cs="Calibri"/>
                <w:sz w:val="15"/>
                <w:szCs w:val="15"/>
              </w:rPr>
            </w:pPr>
            <w:r w:rsidRPr="00D96063">
              <w:rPr>
                <w:rFonts w:cs="Calibri"/>
                <w:sz w:val="15"/>
                <w:szCs w:val="15"/>
              </w:rPr>
              <w:t>2.2</w:t>
            </w:r>
          </w:p>
        </w:tc>
      </w:tr>
      <w:tr w:rsidR="00C15F2E" w:rsidRPr="00D96063" w14:paraId="1077E405"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hideMark/>
          </w:tcPr>
          <w:p w14:paraId="49789202" w14:textId="77777777" w:rsidR="00C15F2E" w:rsidRPr="00D96063" w:rsidRDefault="00C15F2E" w:rsidP="0009597E">
            <w:pPr>
              <w:jc w:val="left"/>
              <w:rPr>
                <w:rFonts w:cs="Calibri"/>
                <w:sz w:val="15"/>
                <w:szCs w:val="15"/>
              </w:rPr>
            </w:pPr>
            <w:r w:rsidRPr="00D96063">
              <w:rPr>
                <w:rFonts w:cs="Calibri"/>
                <w:sz w:val="15"/>
                <w:szCs w:val="15"/>
              </w:rPr>
              <w:t>07 Plastics and rubber</w:t>
            </w:r>
          </w:p>
        </w:tc>
        <w:tc>
          <w:tcPr>
            <w:tcW w:w="890" w:type="dxa"/>
            <w:noWrap/>
            <w:hideMark/>
          </w:tcPr>
          <w:p w14:paraId="31862494" w14:textId="77777777" w:rsidR="00C15F2E" w:rsidRPr="00D96063" w:rsidRDefault="00C15F2E" w:rsidP="00053198">
            <w:pPr>
              <w:jc w:val="right"/>
              <w:rPr>
                <w:rFonts w:cs="Calibri"/>
                <w:sz w:val="15"/>
                <w:szCs w:val="15"/>
              </w:rPr>
            </w:pPr>
            <w:r w:rsidRPr="00D96063">
              <w:rPr>
                <w:rFonts w:cs="Calibri"/>
                <w:sz w:val="15"/>
                <w:szCs w:val="15"/>
              </w:rPr>
              <w:t>5.6</w:t>
            </w:r>
          </w:p>
        </w:tc>
        <w:tc>
          <w:tcPr>
            <w:tcW w:w="890" w:type="dxa"/>
            <w:noWrap/>
            <w:hideMark/>
          </w:tcPr>
          <w:p w14:paraId="0236110B" w14:textId="77777777" w:rsidR="00C15F2E" w:rsidRPr="00D96063" w:rsidRDefault="00C15F2E" w:rsidP="00053198">
            <w:pPr>
              <w:jc w:val="right"/>
              <w:rPr>
                <w:rFonts w:cs="Calibri"/>
                <w:sz w:val="15"/>
                <w:szCs w:val="15"/>
              </w:rPr>
            </w:pPr>
            <w:r w:rsidRPr="00D96063">
              <w:rPr>
                <w:rFonts w:cs="Calibri"/>
                <w:sz w:val="15"/>
                <w:szCs w:val="15"/>
              </w:rPr>
              <w:t>6.7</w:t>
            </w:r>
          </w:p>
        </w:tc>
        <w:tc>
          <w:tcPr>
            <w:tcW w:w="890" w:type="dxa"/>
            <w:noWrap/>
            <w:hideMark/>
          </w:tcPr>
          <w:p w14:paraId="6F388D36" w14:textId="77777777" w:rsidR="00C15F2E" w:rsidRPr="00D96063" w:rsidRDefault="00C15F2E" w:rsidP="00053198">
            <w:pPr>
              <w:jc w:val="right"/>
              <w:rPr>
                <w:rFonts w:cs="Calibri"/>
                <w:sz w:val="15"/>
                <w:szCs w:val="15"/>
              </w:rPr>
            </w:pPr>
            <w:r w:rsidRPr="00D96063">
              <w:rPr>
                <w:rFonts w:cs="Calibri"/>
                <w:sz w:val="15"/>
                <w:szCs w:val="15"/>
              </w:rPr>
              <w:t>4.8</w:t>
            </w:r>
          </w:p>
        </w:tc>
        <w:tc>
          <w:tcPr>
            <w:tcW w:w="890" w:type="dxa"/>
            <w:noWrap/>
            <w:hideMark/>
          </w:tcPr>
          <w:p w14:paraId="678E55FD" w14:textId="77777777" w:rsidR="00C15F2E" w:rsidRPr="00D96063" w:rsidRDefault="00C15F2E" w:rsidP="00053198">
            <w:pPr>
              <w:jc w:val="right"/>
              <w:rPr>
                <w:rFonts w:cs="Calibri"/>
                <w:sz w:val="15"/>
                <w:szCs w:val="15"/>
              </w:rPr>
            </w:pPr>
            <w:r w:rsidRPr="00D96063">
              <w:rPr>
                <w:rFonts w:cs="Calibri"/>
                <w:sz w:val="15"/>
                <w:szCs w:val="15"/>
              </w:rPr>
              <w:t>5.1</w:t>
            </w:r>
          </w:p>
        </w:tc>
        <w:tc>
          <w:tcPr>
            <w:tcW w:w="890" w:type="dxa"/>
            <w:noWrap/>
            <w:hideMark/>
          </w:tcPr>
          <w:p w14:paraId="5A85C81D" w14:textId="77777777" w:rsidR="00C15F2E" w:rsidRPr="00D96063" w:rsidRDefault="00C15F2E" w:rsidP="00053198">
            <w:pPr>
              <w:jc w:val="right"/>
              <w:rPr>
                <w:rFonts w:cs="Calibri"/>
                <w:sz w:val="15"/>
                <w:szCs w:val="15"/>
              </w:rPr>
            </w:pPr>
            <w:r w:rsidRPr="00D96063">
              <w:rPr>
                <w:rFonts w:cs="Calibri"/>
                <w:sz w:val="15"/>
                <w:szCs w:val="15"/>
              </w:rPr>
              <w:t>6.6</w:t>
            </w:r>
          </w:p>
        </w:tc>
        <w:tc>
          <w:tcPr>
            <w:tcW w:w="890" w:type="dxa"/>
            <w:noWrap/>
            <w:hideMark/>
          </w:tcPr>
          <w:p w14:paraId="595AEE61" w14:textId="77777777" w:rsidR="00C15F2E" w:rsidRPr="00D96063" w:rsidRDefault="00C15F2E" w:rsidP="00053198">
            <w:pPr>
              <w:jc w:val="right"/>
              <w:rPr>
                <w:rFonts w:cs="Calibri"/>
                <w:sz w:val="15"/>
                <w:szCs w:val="15"/>
              </w:rPr>
            </w:pPr>
            <w:r w:rsidRPr="00D96063">
              <w:rPr>
                <w:rFonts w:cs="Calibri"/>
                <w:sz w:val="15"/>
                <w:szCs w:val="15"/>
              </w:rPr>
              <w:t>6.5</w:t>
            </w:r>
          </w:p>
        </w:tc>
      </w:tr>
      <w:tr w:rsidR="00C15F2E" w:rsidRPr="00D96063" w14:paraId="7C8A56A9" w14:textId="77777777" w:rsidTr="0009597E">
        <w:trPr>
          <w:trHeight w:val="240"/>
        </w:trPr>
        <w:tc>
          <w:tcPr>
            <w:tcW w:w="704" w:type="dxa"/>
            <w:tcBorders>
              <w:top w:val="nil"/>
              <w:bottom w:val="nil"/>
              <w:right w:val="nil"/>
            </w:tcBorders>
            <w:noWrap/>
            <w:hideMark/>
          </w:tcPr>
          <w:p w14:paraId="6273530E"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7D46259C" w14:textId="77777777" w:rsidR="00C15F2E" w:rsidRPr="00D96063" w:rsidRDefault="00C15F2E" w:rsidP="0009597E">
            <w:pPr>
              <w:jc w:val="left"/>
              <w:rPr>
                <w:rFonts w:cs="Calibri"/>
                <w:sz w:val="15"/>
                <w:szCs w:val="15"/>
              </w:rPr>
            </w:pPr>
            <w:r w:rsidRPr="00D96063">
              <w:rPr>
                <w:rFonts w:cs="Calibri"/>
                <w:sz w:val="15"/>
                <w:szCs w:val="15"/>
              </w:rPr>
              <w:t>39 Plastics and articles thereof</w:t>
            </w:r>
          </w:p>
        </w:tc>
        <w:tc>
          <w:tcPr>
            <w:tcW w:w="890" w:type="dxa"/>
            <w:noWrap/>
            <w:hideMark/>
          </w:tcPr>
          <w:p w14:paraId="071DD699" w14:textId="77777777" w:rsidR="00C15F2E" w:rsidRPr="00D96063" w:rsidRDefault="00C15F2E" w:rsidP="00053198">
            <w:pPr>
              <w:jc w:val="right"/>
              <w:rPr>
                <w:rFonts w:cs="Calibri"/>
                <w:sz w:val="15"/>
                <w:szCs w:val="15"/>
              </w:rPr>
            </w:pPr>
            <w:r w:rsidRPr="00D96063">
              <w:rPr>
                <w:rFonts w:cs="Calibri"/>
                <w:sz w:val="15"/>
                <w:szCs w:val="15"/>
              </w:rPr>
              <w:t>3.0</w:t>
            </w:r>
          </w:p>
        </w:tc>
        <w:tc>
          <w:tcPr>
            <w:tcW w:w="890" w:type="dxa"/>
            <w:noWrap/>
            <w:hideMark/>
          </w:tcPr>
          <w:p w14:paraId="1EBE680D" w14:textId="77777777" w:rsidR="00C15F2E" w:rsidRPr="00D96063" w:rsidRDefault="00C15F2E" w:rsidP="00053198">
            <w:pPr>
              <w:jc w:val="right"/>
              <w:rPr>
                <w:rFonts w:cs="Calibri"/>
                <w:sz w:val="15"/>
                <w:szCs w:val="15"/>
              </w:rPr>
            </w:pPr>
            <w:r w:rsidRPr="00D96063">
              <w:rPr>
                <w:rFonts w:cs="Calibri"/>
                <w:sz w:val="15"/>
                <w:szCs w:val="15"/>
              </w:rPr>
              <w:t>3.5</w:t>
            </w:r>
          </w:p>
        </w:tc>
        <w:tc>
          <w:tcPr>
            <w:tcW w:w="890" w:type="dxa"/>
            <w:noWrap/>
            <w:hideMark/>
          </w:tcPr>
          <w:p w14:paraId="09AA849B" w14:textId="77777777" w:rsidR="00C15F2E" w:rsidRPr="00D96063" w:rsidRDefault="00C15F2E" w:rsidP="00053198">
            <w:pPr>
              <w:jc w:val="right"/>
              <w:rPr>
                <w:rFonts w:cs="Calibri"/>
                <w:sz w:val="15"/>
                <w:szCs w:val="15"/>
              </w:rPr>
            </w:pPr>
            <w:r w:rsidRPr="00D96063">
              <w:rPr>
                <w:rFonts w:cs="Calibri"/>
                <w:sz w:val="15"/>
                <w:szCs w:val="15"/>
              </w:rPr>
              <w:t>3.5</w:t>
            </w:r>
          </w:p>
        </w:tc>
        <w:tc>
          <w:tcPr>
            <w:tcW w:w="890" w:type="dxa"/>
            <w:noWrap/>
            <w:hideMark/>
          </w:tcPr>
          <w:p w14:paraId="6DADE587" w14:textId="77777777" w:rsidR="00C15F2E" w:rsidRPr="00D96063" w:rsidRDefault="00C15F2E" w:rsidP="00053198">
            <w:pPr>
              <w:jc w:val="right"/>
              <w:rPr>
                <w:rFonts w:cs="Calibri"/>
                <w:sz w:val="15"/>
                <w:szCs w:val="15"/>
              </w:rPr>
            </w:pPr>
            <w:r w:rsidRPr="00D96063">
              <w:rPr>
                <w:rFonts w:cs="Calibri"/>
                <w:sz w:val="15"/>
                <w:szCs w:val="15"/>
              </w:rPr>
              <w:t>3.7</w:t>
            </w:r>
          </w:p>
        </w:tc>
        <w:tc>
          <w:tcPr>
            <w:tcW w:w="890" w:type="dxa"/>
            <w:noWrap/>
            <w:hideMark/>
          </w:tcPr>
          <w:p w14:paraId="434B673A" w14:textId="77777777" w:rsidR="00C15F2E" w:rsidRPr="00D96063" w:rsidRDefault="00C15F2E" w:rsidP="00053198">
            <w:pPr>
              <w:jc w:val="right"/>
              <w:rPr>
                <w:rFonts w:cs="Calibri"/>
                <w:sz w:val="15"/>
                <w:szCs w:val="15"/>
              </w:rPr>
            </w:pPr>
            <w:r w:rsidRPr="00D96063">
              <w:rPr>
                <w:rFonts w:cs="Calibri"/>
                <w:sz w:val="15"/>
                <w:szCs w:val="15"/>
              </w:rPr>
              <w:t>4.9</w:t>
            </w:r>
          </w:p>
        </w:tc>
        <w:tc>
          <w:tcPr>
            <w:tcW w:w="890" w:type="dxa"/>
            <w:noWrap/>
            <w:hideMark/>
          </w:tcPr>
          <w:p w14:paraId="3EC3E739" w14:textId="77777777" w:rsidR="00C15F2E" w:rsidRPr="00D96063" w:rsidRDefault="00C15F2E" w:rsidP="00053198">
            <w:pPr>
              <w:jc w:val="right"/>
              <w:rPr>
                <w:rFonts w:cs="Calibri"/>
                <w:sz w:val="15"/>
                <w:szCs w:val="15"/>
              </w:rPr>
            </w:pPr>
            <w:r w:rsidRPr="00D96063">
              <w:rPr>
                <w:rFonts w:cs="Calibri"/>
                <w:sz w:val="15"/>
                <w:szCs w:val="15"/>
              </w:rPr>
              <w:t>4.8</w:t>
            </w:r>
          </w:p>
        </w:tc>
      </w:tr>
      <w:tr w:rsidR="00C15F2E" w:rsidRPr="00D96063" w14:paraId="155EF26C"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hideMark/>
          </w:tcPr>
          <w:p w14:paraId="622B933E" w14:textId="77777777" w:rsidR="00C15F2E" w:rsidRPr="00D96063" w:rsidRDefault="00C15F2E" w:rsidP="0009597E">
            <w:pPr>
              <w:jc w:val="left"/>
              <w:rPr>
                <w:rFonts w:cs="Calibri"/>
                <w:sz w:val="15"/>
                <w:szCs w:val="15"/>
              </w:rPr>
            </w:pPr>
            <w:r w:rsidRPr="00D96063">
              <w:rPr>
                <w:rFonts w:cs="Calibri"/>
                <w:sz w:val="15"/>
                <w:szCs w:val="15"/>
              </w:rPr>
              <w:t>08 Raw hides and skins; leather, furskins and articles thereof</w:t>
            </w:r>
          </w:p>
        </w:tc>
        <w:tc>
          <w:tcPr>
            <w:tcW w:w="890" w:type="dxa"/>
            <w:noWrap/>
            <w:hideMark/>
          </w:tcPr>
          <w:p w14:paraId="3CBCA97C" w14:textId="77777777" w:rsidR="00C15F2E" w:rsidRPr="00D96063" w:rsidRDefault="00C15F2E" w:rsidP="00053198">
            <w:pPr>
              <w:jc w:val="right"/>
              <w:rPr>
                <w:rFonts w:cs="Calibri"/>
                <w:sz w:val="15"/>
                <w:szCs w:val="15"/>
              </w:rPr>
            </w:pPr>
            <w:r w:rsidRPr="00D96063">
              <w:rPr>
                <w:rFonts w:cs="Calibri"/>
                <w:sz w:val="15"/>
                <w:szCs w:val="15"/>
              </w:rPr>
              <w:t>0.2</w:t>
            </w:r>
          </w:p>
        </w:tc>
        <w:tc>
          <w:tcPr>
            <w:tcW w:w="890" w:type="dxa"/>
            <w:noWrap/>
            <w:hideMark/>
          </w:tcPr>
          <w:p w14:paraId="2CBECC78" w14:textId="77777777" w:rsidR="00C15F2E" w:rsidRPr="00D96063" w:rsidRDefault="00C15F2E" w:rsidP="00053198">
            <w:pPr>
              <w:jc w:val="right"/>
              <w:rPr>
                <w:rFonts w:cs="Calibri"/>
                <w:sz w:val="15"/>
                <w:szCs w:val="15"/>
              </w:rPr>
            </w:pPr>
            <w:r w:rsidRPr="00D96063">
              <w:rPr>
                <w:rFonts w:cs="Calibri"/>
                <w:sz w:val="15"/>
                <w:szCs w:val="15"/>
              </w:rPr>
              <w:t>0.2</w:t>
            </w:r>
          </w:p>
        </w:tc>
        <w:tc>
          <w:tcPr>
            <w:tcW w:w="890" w:type="dxa"/>
            <w:noWrap/>
            <w:hideMark/>
          </w:tcPr>
          <w:p w14:paraId="2EB6E9F1" w14:textId="77777777" w:rsidR="00C15F2E" w:rsidRPr="00D96063" w:rsidRDefault="00C15F2E" w:rsidP="00053198">
            <w:pPr>
              <w:jc w:val="right"/>
              <w:rPr>
                <w:rFonts w:cs="Calibri"/>
                <w:sz w:val="15"/>
                <w:szCs w:val="15"/>
              </w:rPr>
            </w:pPr>
            <w:r w:rsidRPr="00D96063">
              <w:rPr>
                <w:rFonts w:cs="Calibri"/>
                <w:sz w:val="15"/>
                <w:szCs w:val="15"/>
              </w:rPr>
              <w:t>0.2</w:t>
            </w:r>
          </w:p>
        </w:tc>
        <w:tc>
          <w:tcPr>
            <w:tcW w:w="890" w:type="dxa"/>
            <w:noWrap/>
            <w:hideMark/>
          </w:tcPr>
          <w:p w14:paraId="3A398DEE" w14:textId="77777777" w:rsidR="00C15F2E" w:rsidRPr="00D96063" w:rsidRDefault="00C15F2E" w:rsidP="00053198">
            <w:pPr>
              <w:jc w:val="right"/>
              <w:rPr>
                <w:rFonts w:cs="Calibri"/>
                <w:sz w:val="15"/>
                <w:szCs w:val="15"/>
              </w:rPr>
            </w:pPr>
            <w:r w:rsidRPr="00D96063">
              <w:rPr>
                <w:rFonts w:cs="Calibri"/>
                <w:sz w:val="15"/>
                <w:szCs w:val="15"/>
              </w:rPr>
              <w:t>0.2</w:t>
            </w:r>
          </w:p>
        </w:tc>
        <w:tc>
          <w:tcPr>
            <w:tcW w:w="890" w:type="dxa"/>
            <w:noWrap/>
            <w:hideMark/>
          </w:tcPr>
          <w:p w14:paraId="4D06B2F6" w14:textId="77777777" w:rsidR="00C15F2E" w:rsidRPr="00D96063" w:rsidRDefault="00C15F2E" w:rsidP="00053198">
            <w:pPr>
              <w:jc w:val="right"/>
              <w:rPr>
                <w:rFonts w:cs="Calibri"/>
                <w:sz w:val="15"/>
                <w:szCs w:val="15"/>
              </w:rPr>
            </w:pPr>
            <w:r w:rsidRPr="00D96063">
              <w:rPr>
                <w:rFonts w:cs="Calibri"/>
                <w:sz w:val="15"/>
                <w:szCs w:val="15"/>
              </w:rPr>
              <w:t>0.2</w:t>
            </w:r>
          </w:p>
        </w:tc>
        <w:tc>
          <w:tcPr>
            <w:tcW w:w="890" w:type="dxa"/>
            <w:noWrap/>
            <w:hideMark/>
          </w:tcPr>
          <w:p w14:paraId="150C567F" w14:textId="77777777" w:rsidR="00C15F2E" w:rsidRPr="00D96063" w:rsidRDefault="00C15F2E" w:rsidP="00053198">
            <w:pPr>
              <w:jc w:val="right"/>
              <w:rPr>
                <w:rFonts w:cs="Calibri"/>
                <w:sz w:val="15"/>
                <w:szCs w:val="15"/>
              </w:rPr>
            </w:pPr>
            <w:r w:rsidRPr="00D96063">
              <w:rPr>
                <w:rFonts w:cs="Calibri"/>
                <w:sz w:val="15"/>
                <w:szCs w:val="15"/>
              </w:rPr>
              <w:t>0.2</w:t>
            </w:r>
          </w:p>
        </w:tc>
      </w:tr>
      <w:tr w:rsidR="00C15F2E" w:rsidRPr="00D96063" w14:paraId="71874E7A" w14:textId="77777777" w:rsidTr="00053198">
        <w:trPr>
          <w:trHeight w:val="240"/>
        </w:trPr>
        <w:tc>
          <w:tcPr>
            <w:tcW w:w="3681" w:type="dxa"/>
            <w:gridSpan w:val="2"/>
            <w:noWrap/>
            <w:hideMark/>
          </w:tcPr>
          <w:p w14:paraId="7686DA1F" w14:textId="77777777" w:rsidR="00C15F2E" w:rsidRPr="00D96063" w:rsidRDefault="00C15F2E" w:rsidP="0009597E">
            <w:pPr>
              <w:jc w:val="left"/>
              <w:rPr>
                <w:rFonts w:cs="Calibri"/>
                <w:sz w:val="15"/>
                <w:szCs w:val="15"/>
              </w:rPr>
            </w:pPr>
            <w:r w:rsidRPr="00D96063">
              <w:rPr>
                <w:rFonts w:cs="Calibri"/>
                <w:sz w:val="15"/>
                <w:szCs w:val="15"/>
              </w:rPr>
              <w:t>09 Wood, cork, straw</w:t>
            </w:r>
          </w:p>
        </w:tc>
        <w:tc>
          <w:tcPr>
            <w:tcW w:w="890" w:type="dxa"/>
            <w:noWrap/>
            <w:hideMark/>
          </w:tcPr>
          <w:p w14:paraId="2E6ABCA4" w14:textId="77777777" w:rsidR="00C15F2E" w:rsidRPr="00D96063" w:rsidRDefault="00C15F2E" w:rsidP="00053198">
            <w:pPr>
              <w:jc w:val="right"/>
              <w:rPr>
                <w:rFonts w:cs="Calibri"/>
                <w:sz w:val="15"/>
                <w:szCs w:val="15"/>
              </w:rPr>
            </w:pPr>
            <w:r w:rsidRPr="00D96063">
              <w:rPr>
                <w:rFonts w:cs="Calibri"/>
                <w:sz w:val="15"/>
                <w:szCs w:val="15"/>
              </w:rPr>
              <w:t>0.2</w:t>
            </w:r>
          </w:p>
        </w:tc>
        <w:tc>
          <w:tcPr>
            <w:tcW w:w="890" w:type="dxa"/>
            <w:noWrap/>
            <w:hideMark/>
          </w:tcPr>
          <w:p w14:paraId="4FD3B046" w14:textId="77777777" w:rsidR="00C15F2E" w:rsidRPr="00D96063" w:rsidRDefault="00C15F2E" w:rsidP="00053198">
            <w:pPr>
              <w:jc w:val="right"/>
              <w:rPr>
                <w:rFonts w:cs="Calibri"/>
                <w:sz w:val="15"/>
                <w:szCs w:val="15"/>
              </w:rPr>
            </w:pPr>
            <w:r w:rsidRPr="00D96063">
              <w:rPr>
                <w:rFonts w:cs="Calibri"/>
                <w:sz w:val="15"/>
                <w:szCs w:val="15"/>
              </w:rPr>
              <w:t>0.1</w:t>
            </w:r>
          </w:p>
        </w:tc>
        <w:tc>
          <w:tcPr>
            <w:tcW w:w="890" w:type="dxa"/>
            <w:noWrap/>
            <w:hideMark/>
          </w:tcPr>
          <w:p w14:paraId="071E5F53" w14:textId="77777777" w:rsidR="00C15F2E" w:rsidRPr="00D96063" w:rsidRDefault="00C15F2E" w:rsidP="00053198">
            <w:pPr>
              <w:jc w:val="right"/>
              <w:rPr>
                <w:rFonts w:cs="Calibri"/>
                <w:sz w:val="15"/>
                <w:szCs w:val="15"/>
              </w:rPr>
            </w:pPr>
            <w:r w:rsidRPr="00D96063">
              <w:rPr>
                <w:rFonts w:cs="Calibri"/>
                <w:sz w:val="15"/>
                <w:szCs w:val="15"/>
              </w:rPr>
              <w:t>0.3</w:t>
            </w:r>
          </w:p>
        </w:tc>
        <w:tc>
          <w:tcPr>
            <w:tcW w:w="890" w:type="dxa"/>
            <w:noWrap/>
            <w:hideMark/>
          </w:tcPr>
          <w:p w14:paraId="333BAA3A" w14:textId="77777777" w:rsidR="00C15F2E" w:rsidRPr="00D96063" w:rsidRDefault="00C15F2E" w:rsidP="00053198">
            <w:pPr>
              <w:jc w:val="right"/>
              <w:rPr>
                <w:rFonts w:cs="Calibri"/>
                <w:sz w:val="15"/>
                <w:szCs w:val="15"/>
              </w:rPr>
            </w:pPr>
            <w:r w:rsidRPr="00D96063">
              <w:rPr>
                <w:rFonts w:cs="Calibri"/>
                <w:sz w:val="15"/>
                <w:szCs w:val="15"/>
              </w:rPr>
              <w:t>0.2</w:t>
            </w:r>
          </w:p>
        </w:tc>
        <w:tc>
          <w:tcPr>
            <w:tcW w:w="890" w:type="dxa"/>
            <w:noWrap/>
            <w:hideMark/>
          </w:tcPr>
          <w:p w14:paraId="12FE39F5" w14:textId="77777777" w:rsidR="00C15F2E" w:rsidRPr="00D96063" w:rsidRDefault="00C15F2E" w:rsidP="00053198">
            <w:pPr>
              <w:jc w:val="right"/>
              <w:rPr>
                <w:rFonts w:cs="Calibri"/>
                <w:sz w:val="15"/>
                <w:szCs w:val="15"/>
              </w:rPr>
            </w:pPr>
            <w:r w:rsidRPr="00D96063">
              <w:rPr>
                <w:rFonts w:cs="Calibri"/>
                <w:sz w:val="15"/>
                <w:szCs w:val="15"/>
              </w:rPr>
              <w:t>0.3</w:t>
            </w:r>
          </w:p>
        </w:tc>
        <w:tc>
          <w:tcPr>
            <w:tcW w:w="890" w:type="dxa"/>
            <w:noWrap/>
            <w:hideMark/>
          </w:tcPr>
          <w:p w14:paraId="3E021909" w14:textId="77777777" w:rsidR="00C15F2E" w:rsidRPr="00D96063" w:rsidRDefault="00C15F2E" w:rsidP="00053198">
            <w:pPr>
              <w:jc w:val="right"/>
              <w:rPr>
                <w:rFonts w:cs="Calibri"/>
                <w:sz w:val="15"/>
                <w:szCs w:val="15"/>
              </w:rPr>
            </w:pPr>
            <w:r w:rsidRPr="00D96063">
              <w:rPr>
                <w:rFonts w:cs="Calibri"/>
                <w:sz w:val="15"/>
                <w:szCs w:val="15"/>
              </w:rPr>
              <w:t>2.9</w:t>
            </w:r>
          </w:p>
        </w:tc>
      </w:tr>
      <w:tr w:rsidR="00C15F2E" w:rsidRPr="00D96063" w14:paraId="49060DE9"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hideMark/>
          </w:tcPr>
          <w:p w14:paraId="6EDA80D9" w14:textId="77777777" w:rsidR="00C15F2E" w:rsidRPr="00D96063" w:rsidRDefault="00C15F2E" w:rsidP="0009597E">
            <w:pPr>
              <w:jc w:val="left"/>
              <w:rPr>
                <w:rFonts w:cs="Calibri"/>
                <w:sz w:val="15"/>
                <w:szCs w:val="15"/>
              </w:rPr>
            </w:pPr>
            <w:r w:rsidRPr="00D96063">
              <w:rPr>
                <w:rFonts w:cs="Calibri"/>
                <w:sz w:val="15"/>
                <w:szCs w:val="15"/>
              </w:rPr>
              <w:t>10 Pulp of wood; paper and paperboard</w:t>
            </w:r>
          </w:p>
        </w:tc>
        <w:tc>
          <w:tcPr>
            <w:tcW w:w="890" w:type="dxa"/>
            <w:noWrap/>
            <w:hideMark/>
          </w:tcPr>
          <w:p w14:paraId="4F8DFFA4" w14:textId="77777777" w:rsidR="00C15F2E" w:rsidRPr="00D96063" w:rsidRDefault="00C15F2E" w:rsidP="00053198">
            <w:pPr>
              <w:jc w:val="right"/>
              <w:rPr>
                <w:rFonts w:cs="Calibri"/>
                <w:sz w:val="15"/>
                <w:szCs w:val="15"/>
              </w:rPr>
            </w:pPr>
            <w:r w:rsidRPr="00D96063">
              <w:rPr>
                <w:rFonts w:cs="Calibri"/>
                <w:sz w:val="15"/>
                <w:szCs w:val="15"/>
              </w:rPr>
              <w:t>3.4</w:t>
            </w:r>
          </w:p>
        </w:tc>
        <w:tc>
          <w:tcPr>
            <w:tcW w:w="890" w:type="dxa"/>
            <w:noWrap/>
            <w:hideMark/>
          </w:tcPr>
          <w:p w14:paraId="15950555" w14:textId="77777777" w:rsidR="00C15F2E" w:rsidRPr="00D96063" w:rsidRDefault="00C15F2E" w:rsidP="00053198">
            <w:pPr>
              <w:jc w:val="right"/>
              <w:rPr>
                <w:rFonts w:cs="Calibri"/>
                <w:sz w:val="15"/>
                <w:szCs w:val="15"/>
              </w:rPr>
            </w:pPr>
            <w:r w:rsidRPr="00D96063">
              <w:rPr>
                <w:rFonts w:cs="Calibri"/>
                <w:sz w:val="15"/>
                <w:szCs w:val="15"/>
              </w:rPr>
              <w:t>3.1</w:t>
            </w:r>
          </w:p>
        </w:tc>
        <w:tc>
          <w:tcPr>
            <w:tcW w:w="890" w:type="dxa"/>
            <w:noWrap/>
            <w:hideMark/>
          </w:tcPr>
          <w:p w14:paraId="10FA3DB0" w14:textId="77777777" w:rsidR="00C15F2E" w:rsidRPr="00D96063" w:rsidRDefault="00C15F2E" w:rsidP="00053198">
            <w:pPr>
              <w:jc w:val="right"/>
              <w:rPr>
                <w:rFonts w:cs="Calibri"/>
                <w:sz w:val="15"/>
                <w:szCs w:val="15"/>
              </w:rPr>
            </w:pPr>
            <w:r w:rsidRPr="00D96063">
              <w:rPr>
                <w:rFonts w:cs="Calibri"/>
                <w:sz w:val="15"/>
                <w:szCs w:val="15"/>
              </w:rPr>
              <w:t>5.0</w:t>
            </w:r>
          </w:p>
        </w:tc>
        <w:tc>
          <w:tcPr>
            <w:tcW w:w="890" w:type="dxa"/>
            <w:noWrap/>
            <w:hideMark/>
          </w:tcPr>
          <w:p w14:paraId="6B1D3811" w14:textId="77777777" w:rsidR="00C15F2E" w:rsidRPr="00D96063" w:rsidRDefault="00C15F2E" w:rsidP="00053198">
            <w:pPr>
              <w:jc w:val="right"/>
              <w:rPr>
                <w:rFonts w:cs="Calibri"/>
                <w:sz w:val="15"/>
                <w:szCs w:val="15"/>
              </w:rPr>
            </w:pPr>
            <w:r w:rsidRPr="00D96063">
              <w:rPr>
                <w:rFonts w:cs="Calibri"/>
                <w:sz w:val="15"/>
                <w:szCs w:val="15"/>
              </w:rPr>
              <w:t>6.4</w:t>
            </w:r>
          </w:p>
        </w:tc>
        <w:tc>
          <w:tcPr>
            <w:tcW w:w="890" w:type="dxa"/>
            <w:noWrap/>
            <w:hideMark/>
          </w:tcPr>
          <w:p w14:paraId="5AFCC7AE" w14:textId="77777777" w:rsidR="00C15F2E" w:rsidRPr="00D96063" w:rsidRDefault="00C15F2E" w:rsidP="00053198">
            <w:pPr>
              <w:jc w:val="right"/>
              <w:rPr>
                <w:rFonts w:cs="Calibri"/>
                <w:sz w:val="15"/>
                <w:szCs w:val="15"/>
              </w:rPr>
            </w:pPr>
            <w:r w:rsidRPr="00D96063">
              <w:rPr>
                <w:rFonts w:cs="Calibri"/>
                <w:sz w:val="15"/>
                <w:szCs w:val="15"/>
              </w:rPr>
              <w:t>2.7</w:t>
            </w:r>
          </w:p>
        </w:tc>
        <w:tc>
          <w:tcPr>
            <w:tcW w:w="890" w:type="dxa"/>
            <w:noWrap/>
            <w:hideMark/>
          </w:tcPr>
          <w:p w14:paraId="2E854071" w14:textId="77777777" w:rsidR="00C15F2E" w:rsidRPr="00D96063" w:rsidRDefault="00C15F2E" w:rsidP="00053198">
            <w:pPr>
              <w:jc w:val="right"/>
              <w:rPr>
                <w:rFonts w:cs="Calibri"/>
                <w:sz w:val="15"/>
                <w:szCs w:val="15"/>
              </w:rPr>
            </w:pPr>
            <w:r w:rsidRPr="00D96063">
              <w:rPr>
                <w:rFonts w:cs="Calibri"/>
                <w:sz w:val="15"/>
                <w:szCs w:val="15"/>
              </w:rPr>
              <w:t>2.1</w:t>
            </w:r>
          </w:p>
        </w:tc>
      </w:tr>
      <w:tr w:rsidR="00C15F2E" w:rsidRPr="00D96063" w14:paraId="05EAE046" w14:textId="77777777" w:rsidTr="00053198">
        <w:trPr>
          <w:trHeight w:val="240"/>
        </w:trPr>
        <w:tc>
          <w:tcPr>
            <w:tcW w:w="3681" w:type="dxa"/>
            <w:gridSpan w:val="2"/>
            <w:noWrap/>
            <w:hideMark/>
          </w:tcPr>
          <w:p w14:paraId="08507BD7" w14:textId="77777777" w:rsidR="00C15F2E" w:rsidRPr="00D96063" w:rsidRDefault="00C15F2E" w:rsidP="0009597E">
            <w:pPr>
              <w:jc w:val="left"/>
              <w:rPr>
                <w:rFonts w:cs="Calibri"/>
                <w:sz w:val="15"/>
                <w:szCs w:val="15"/>
              </w:rPr>
            </w:pPr>
            <w:r w:rsidRPr="00D96063">
              <w:rPr>
                <w:rFonts w:cs="Calibri"/>
                <w:sz w:val="15"/>
                <w:szCs w:val="15"/>
              </w:rPr>
              <w:t>11 Textiles and textile articles</w:t>
            </w:r>
          </w:p>
        </w:tc>
        <w:tc>
          <w:tcPr>
            <w:tcW w:w="890" w:type="dxa"/>
            <w:noWrap/>
            <w:hideMark/>
          </w:tcPr>
          <w:p w14:paraId="12AB9291" w14:textId="77777777" w:rsidR="00C15F2E" w:rsidRPr="00D96063" w:rsidRDefault="00C15F2E" w:rsidP="00053198">
            <w:pPr>
              <w:jc w:val="right"/>
              <w:rPr>
                <w:rFonts w:cs="Calibri"/>
                <w:sz w:val="15"/>
                <w:szCs w:val="15"/>
              </w:rPr>
            </w:pPr>
            <w:r w:rsidRPr="00D96063">
              <w:rPr>
                <w:rFonts w:cs="Calibri"/>
                <w:sz w:val="15"/>
                <w:szCs w:val="15"/>
              </w:rPr>
              <w:t>1.7</w:t>
            </w:r>
          </w:p>
        </w:tc>
        <w:tc>
          <w:tcPr>
            <w:tcW w:w="890" w:type="dxa"/>
            <w:noWrap/>
            <w:hideMark/>
          </w:tcPr>
          <w:p w14:paraId="5B2285A3" w14:textId="77777777" w:rsidR="00C15F2E" w:rsidRPr="00D96063" w:rsidRDefault="00C15F2E" w:rsidP="00053198">
            <w:pPr>
              <w:jc w:val="right"/>
              <w:rPr>
                <w:rFonts w:cs="Calibri"/>
                <w:sz w:val="15"/>
                <w:szCs w:val="15"/>
              </w:rPr>
            </w:pPr>
            <w:r w:rsidRPr="00D96063">
              <w:rPr>
                <w:rFonts w:cs="Calibri"/>
                <w:sz w:val="15"/>
                <w:szCs w:val="15"/>
              </w:rPr>
              <w:t>2.1</w:t>
            </w:r>
          </w:p>
        </w:tc>
        <w:tc>
          <w:tcPr>
            <w:tcW w:w="890" w:type="dxa"/>
            <w:noWrap/>
            <w:hideMark/>
          </w:tcPr>
          <w:p w14:paraId="566DAA8F" w14:textId="77777777" w:rsidR="00C15F2E" w:rsidRPr="00D96063" w:rsidRDefault="00C15F2E" w:rsidP="00053198">
            <w:pPr>
              <w:jc w:val="right"/>
              <w:rPr>
                <w:rFonts w:cs="Calibri"/>
                <w:sz w:val="15"/>
                <w:szCs w:val="15"/>
              </w:rPr>
            </w:pPr>
            <w:r w:rsidRPr="00D96063">
              <w:rPr>
                <w:rFonts w:cs="Calibri"/>
                <w:sz w:val="15"/>
                <w:szCs w:val="15"/>
              </w:rPr>
              <w:t>2.3</w:t>
            </w:r>
          </w:p>
        </w:tc>
        <w:tc>
          <w:tcPr>
            <w:tcW w:w="890" w:type="dxa"/>
            <w:noWrap/>
            <w:hideMark/>
          </w:tcPr>
          <w:p w14:paraId="483522D0" w14:textId="77777777" w:rsidR="00C15F2E" w:rsidRPr="00D96063" w:rsidRDefault="00C15F2E" w:rsidP="00053198">
            <w:pPr>
              <w:jc w:val="right"/>
              <w:rPr>
                <w:rFonts w:cs="Calibri"/>
                <w:sz w:val="15"/>
                <w:szCs w:val="15"/>
              </w:rPr>
            </w:pPr>
            <w:r w:rsidRPr="00D96063">
              <w:rPr>
                <w:rFonts w:cs="Calibri"/>
                <w:sz w:val="15"/>
                <w:szCs w:val="15"/>
              </w:rPr>
              <w:t>2.3</w:t>
            </w:r>
          </w:p>
        </w:tc>
        <w:tc>
          <w:tcPr>
            <w:tcW w:w="890" w:type="dxa"/>
            <w:noWrap/>
            <w:hideMark/>
          </w:tcPr>
          <w:p w14:paraId="398570DC" w14:textId="77777777" w:rsidR="00C15F2E" w:rsidRPr="00D96063" w:rsidRDefault="00C15F2E" w:rsidP="00053198">
            <w:pPr>
              <w:jc w:val="right"/>
              <w:rPr>
                <w:rFonts w:cs="Calibri"/>
                <w:sz w:val="15"/>
                <w:szCs w:val="15"/>
              </w:rPr>
            </w:pPr>
            <w:r w:rsidRPr="00D96063">
              <w:rPr>
                <w:rFonts w:cs="Calibri"/>
                <w:sz w:val="15"/>
                <w:szCs w:val="15"/>
              </w:rPr>
              <w:t>2.6</w:t>
            </w:r>
          </w:p>
        </w:tc>
        <w:tc>
          <w:tcPr>
            <w:tcW w:w="890" w:type="dxa"/>
            <w:noWrap/>
            <w:hideMark/>
          </w:tcPr>
          <w:p w14:paraId="4F4785F5" w14:textId="77777777" w:rsidR="00C15F2E" w:rsidRPr="00D96063" w:rsidRDefault="00C15F2E" w:rsidP="00053198">
            <w:pPr>
              <w:jc w:val="right"/>
              <w:rPr>
                <w:rFonts w:cs="Calibri"/>
                <w:sz w:val="15"/>
                <w:szCs w:val="15"/>
              </w:rPr>
            </w:pPr>
            <w:r w:rsidRPr="00D96063">
              <w:rPr>
                <w:rFonts w:cs="Calibri"/>
                <w:sz w:val="15"/>
                <w:szCs w:val="15"/>
              </w:rPr>
              <w:t>2.4</w:t>
            </w:r>
          </w:p>
        </w:tc>
      </w:tr>
      <w:tr w:rsidR="00C15F2E" w:rsidRPr="00D96063" w14:paraId="0862D3FF"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hideMark/>
          </w:tcPr>
          <w:p w14:paraId="1EAA8FDC" w14:textId="77777777" w:rsidR="00C15F2E" w:rsidRPr="00D96063" w:rsidRDefault="00C15F2E" w:rsidP="0009597E">
            <w:pPr>
              <w:jc w:val="left"/>
              <w:rPr>
                <w:rFonts w:cs="Calibri"/>
                <w:sz w:val="15"/>
                <w:szCs w:val="15"/>
              </w:rPr>
            </w:pPr>
            <w:r w:rsidRPr="00D96063">
              <w:rPr>
                <w:rFonts w:cs="Calibri"/>
                <w:sz w:val="15"/>
                <w:szCs w:val="15"/>
              </w:rPr>
              <w:t>12 Footwear, headgear, etc.</w:t>
            </w:r>
          </w:p>
        </w:tc>
        <w:tc>
          <w:tcPr>
            <w:tcW w:w="890" w:type="dxa"/>
            <w:noWrap/>
            <w:hideMark/>
          </w:tcPr>
          <w:p w14:paraId="105DA7C4" w14:textId="77777777" w:rsidR="00C15F2E" w:rsidRPr="00D96063" w:rsidRDefault="00C15F2E" w:rsidP="00053198">
            <w:pPr>
              <w:jc w:val="right"/>
              <w:rPr>
                <w:rFonts w:cs="Calibri"/>
                <w:sz w:val="15"/>
                <w:szCs w:val="15"/>
              </w:rPr>
            </w:pPr>
            <w:r w:rsidRPr="00D96063">
              <w:rPr>
                <w:rFonts w:cs="Calibri"/>
                <w:sz w:val="15"/>
                <w:szCs w:val="15"/>
              </w:rPr>
              <w:t>0.4</w:t>
            </w:r>
          </w:p>
        </w:tc>
        <w:tc>
          <w:tcPr>
            <w:tcW w:w="890" w:type="dxa"/>
            <w:noWrap/>
            <w:hideMark/>
          </w:tcPr>
          <w:p w14:paraId="73F9D08F" w14:textId="77777777" w:rsidR="00C15F2E" w:rsidRPr="00D96063" w:rsidRDefault="00C15F2E" w:rsidP="00053198">
            <w:pPr>
              <w:jc w:val="right"/>
              <w:rPr>
                <w:rFonts w:cs="Calibri"/>
                <w:sz w:val="15"/>
                <w:szCs w:val="15"/>
              </w:rPr>
            </w:pPr>
            <w:r w:rsidRPr="00D96063">
              <w:rPr>
                <w:rFonts w:cs="Calibri"/>
                <w:sz w:val="15"/>
                <w:szCs w:val="15"/>
              </w:rPr>
              <w:t>0.4</w:t>
            </w:r>
          </w:p>
        </w:tc>
        <w:tc>
          <w:tcPr>
            <w:tcW w:w="890" w:type="dxa"/>
            <w:noWrap/>
            <w:hideMark/>
          </w:tcPr>
          <w:p w14:paraId="51C2ED4B" w14:textId="77777777" w:rsidR="00C15F2E" w:rsidRPr="00D96063" w:rsidRDefault="00C15F2E" w:rsidP="00053198">
            <w:pPr>
              <w:jc w:val="right"/>
              <w:rPr>
                <w:rFonts w:cs="Calibri"/>
                <w:sz w:val="15"/>
                <w:szCs w:val="15"/>
              </w:rPr>
            </w:pPr>
            <w:r w:rsidRPr="00D96063">
              <w:rPr>
                <w:rFonts w:cs="Calibri"/>
                <w:sz w:val="15"/>
                <w:szCs w:val="15"/>
              </w:rPr>
              <w:t>0.5</w:t>
            </w:r>
          </w:p>
        </w:tc>
        <w:tc>
          <w:tcPr>
            <w:tcW w:w="890" w:type="dxa"/>
            <w:noWrap/>
            <w:hideMark/>
          </w:tcPr>
          <w:p w14:paraId="3E162D17" w14:textId="77777777" w:rsidR="00C15F2E" w:rsidRPr="00D96063" w:rsidRDefault="00C15F2E" w:rsidP="00053198">
            <w:pPr>
              <w:jc w:val="right"/>
              <w:rPr>
                <w:rFonts w:cs="Calibri"/>
                <w:sz w:val="15"/>
                <w:szCs w:val="15"/>
              </w:rPr>
            </w:pPr>
            <w:r w:rsidRPr="00D96063">
              <w:rPr>
                <w:rFonts w:cs="Calibri"/>
                <w:sz w:val="15"/>
                <w:szCs w:val="15"/>
              </w:rPr>
              <w:t>0.5</w:t>
            </w:r>
          </w:p>
        </w:tc>
        <w:tc>
          <w:tcPr>
            <w:tcW w:w="890" w:type="dxa"/>
            <w:noWrap/>
            <w:hideMark/>
          </w:tcPr>
          <w:p w14:paraId="73CC92D6" w14:textId="77777777" w:rsidR="00C15F2E" w:rsidRPr="00D96063" w:rsidRDefault="00C15F2E" w:rsidP="00053198">
            <w:pPr>
              <w:jc w:val="right"/>
              <w:rPr>
                <w:rFonts w:cs="Calibri"/>
                <w:sz w:val="15"/>
                <w:szCs w:val="15"/>
              </w:rPr>
            </w:pPr>
            <w:r w:rsidRPr="00D96063">
              <w:rPr>
                <w:rFonts w:cs="Calibri"/>
                <w:sz w:val="15"/>
                <w:szCs w:val="15"/>
              </w:rPr>
              <w:t>0.5</w:t>
            </w:r>
          </w:p>
        </w:tc>
        <w:tc>
          <w:tcPr>
            <w:tcW w:w="890" w:type="dxa"/>
            <w:noWrap/>
            <w:hideMark/>
          </w:tcPr>
          <w:p w14:paraId="0A2A0086" w14:textId="77777777" w:rsidR="00C15F2E" w:rsidRPr="00D96063" w:rsidRDefault="00C15F2E" w:rsidP="00053198">
            <w:pPr>
              <w:jc w:val="right"/>
              <w:rPr>
                <w:rFonts w:cs="Calibri"/>
                <w:sz w:val="15"/>
                <w:szCs w:val="15"/>
              </w:rPr>
            </w:pPr>
            <w:r w:rsidRPr="00D96063">
              <w:rPr>
                <w:rFonts w:cs="Calibri"/>
                <w:sz w:val="15"/>
                <w:szCs w:val="15"/>
              </w:rPr>
              <w:t>0.4</w:t>
            </w:r>
          </w:p>
        </w:tc>
      </w:tr>
      <w:tr w:rsidR="00C15F2E" w:rsidRPr="00D96063" w14:paraId="044A39A4" w14:textId="77777777" w:rsidTr="00053198">
        <w:trPr>
          <w:trHeight w:val="240"/>
        </w:trPr>
        <w:tc>
          <w:tcPr>
            <w:tcW w:w="3681" w:type="dxa"/>
            <w:gridSpan w:val="2"/>
            <w:noWrap/>
            <w:hideMark/>
          </w:tcPr>
          <w:p w14:paraId="526BA3C5" w14:textId="77777777" w:rsidR="00C15F2E" w:rsidRPr="00D96063" w:rsidRDefault="00C15F2E" w:rsidP="0009597E">
            <w:pPr>
              <w:jc w:val="left"/>
              <w:rPr>
                <w:rFonts w:cs="Calibri"/>
                <w:sz w:val="15"/>
                <w:szCs w:val="15"/>
              </w:rPr>
            </w:pPr>
            <w:r w:rsidRPr="00D96063">
              <w:rPr>
                <w:rFonts w:cs="Calibri"/>
                <w:sz w:val="15"/>
                <w:szCs w:val="15"/>
              </w:rPr>
              <w:t>13 Articles of stone, plaster, cement</w:t>
            </w:r>
          </w:p>
        </w:tc>
        <w:tc>
          <w:tcPr>
            <w:tcW w:w="890" w:type="dxa"/>
            <w:noWrap/>
            <w:hideMark/>
          </w:tcPr>
          <w:p w14:paraId="06769702" w14:textId="77777777" w:rsidR="00C15F2E" w:rsidRPr="00D96063" w:rsidRDefault="00C15F2E" w:rsidP="00053198">
            <w:pPr>
              <w:jc w:val="right"/>
              <w:rPr>
                <w:rFonts w:cs="Calibri"/>
                <w:sz w:val="15"/>
                <w:szCs w:val="15"/>
              </w:rPr>
            </w:pPr>
            <w:r w:rsidRPr="00D96063">
              <w:rPr>
                <w:rFonts w:cs="Calibri"/>
                <w:sz w:val="15"/>
                <w:szCs w:val="15"/>
              </w:rPr>
              <w:t>1.3</w:t>
            </w:r>
          </w:p>
        </w:tc>
        <w:tc>
          <w:tcPr>
            <w:tcW w:w="890" w:type="dxa"/>
            <w:noWrap/>
            <w:hideMark/>
          </w:tcPr>
          <w:p w14:paraId="0E8BE46C" w14:textId="77777777" w:rsidR="00C15F2E" w:rsidRPr="00D96063" w:rsidRDefault="00C15F2E" w:rsidP="00053198">
            <w:pPr>
              <w:jc w:val="right"/>
              <w:rPr>
                <w:rFonts w:cs="Calibri"/>
                <w:sz w:val="15"/>
                <w:szCs w:val="15"/>
              </w:rPr>
            </w:pPr>
            <w:r w:rsidRPr="00D96063">
              <w:rPr>
                <w:rFonts w:cs="Calibri"/>
                <w:sz w:val="15"/>
                <w:szCs w:val="15"/>
              </w:rPr>
              <w:t>1.5</w:t>
            </w:r>
          </w:p>
        </w:tc>
        <w:tc>
          <w:tcPr>
            <w:tcW w:w="890" w:type="dxa"/>
            <w:noWrap/>
            <w:hideMark/>
          </w:tcPr>
          <w:p w14:paraId="27C6BBA8" w14:textId="77777777" w:rsidR="00C15F2E" w:rsidRPr="00D96063" w:rsidRDefault="00C15F2E" w:rsidP="00053198">
            <w:pPr>
              <w:jc w:val="right"/>
              <w:rPr>
                <w:rFonts w:cs="Calibri"/>
                <w:sz w:val="15"/>
                <w:szCs w:val="15"/>
              </w:rPr>
            </w:pPr>
            <w:r w:rsidRPr="00D96063">
              <w:rPr>
                <w:rFonts w:cs="Calibri"/>
                <w:sz w:val="15"/>
                <w:szCs w:val="15"/>
              </w:rPr>
              <w:t>1.7</w:t>
            </w:r>
          </w:p>
        </w:tc>
        <w:tc>
          <w:tcPr>
            <w:tcW w:w="890" w:type="dxa"/>
            <w:noWrap/>
            <w:hideMark/>
          </w:tcPr>
          <w:p w14:paraId="0E19ED42" w14:textId="77777777" w:rsidR="00C15F2E" w:rsidRPr="00D96063" w:rsidRDefault="00C15F2E" w:rsidP="00053198">
            <w:pPr>
              <w:jc w:val="right"/>
              <w:rPr>
                <w:rFonts w:cs="Calibri"/>
                <w:sz w:val="15"/>
                <w:szCs w:val="15"/>
              </w:rPr>
            </w:pPr>
            <w:r w:rsidRPr="00D96063">
              <w:rPr>
                <w:rFonts w:cs="Calibri"/>
                <w:sz w:val="15"/>
                <w:szCs w:val="15"/>
              </w:rPr>
              <w:t>1.4</w:t>
            </w:r>
          </w:p>
        </w:tc>
        <w:tc>
          <w:tcPr>
            <w:tcW w:w="890" w:type="dxa"/>
            <w:noWrap/>
            <w:hideMark/>
          </w:tcPr>
          <w:p w14:paraId="13AFAC8F" w14:textId="77777777" w:rsidR="00C15F2E" w:rsidRPr="00D96063" w:rsidRDefault="00C15F2E" w:rsidP="00053198">
            <w:pPr>
              <w:jc w:val="right"/>
              <w:rPr>
                <w:rFonts w:cs="Calibri"/>
                <w:sz w:val="15"/>
                <w:szCs w:val="15"/>
              </w:rPr>
            </w:pPr>
            <w:r w:rsidRPr="00D96063">
              <w:rPr>
                <w:rFonts w:cs="Calibri"/>
                <w:sz w:val="15"/>
                <w:szCs w:val="15"/>
              </w:rPr>
              <w:t>1.3</w:t>
            </w:r>
          </w:p>
        </w:tc>
        <w:tc>
          <w:tcPr>
            <w:tcW w:w="890" w:type="dxa"/>
            <w:noWrap/>
            <w:hideMark/>
          </w:tcPr>
          <w:p w14:paraId="557BAA89" w14:textId="77777777" w:rsidR="00C15F2E" w:rsidRPr="00D96063" w:rsidRDefault="00C15F2E" w:rsidP="00053198">
            <w:pPr>
              <w:jc w:val="right"/>
              <w:rPr>
                <w:rFonts w:cs="Calibri"/>
                <w:sz w:val="15"/>
                <w:szCs w:val="15"/>
              </w:rPr>
            </w:pPr>
            <w:r w:rsidRPr="00D96063">
              <w:rPr>
                <w:rFonts w:cs="Calibri"/>
                <w:sz w:val="15"/>
                <w:szCs w:val="15"/>
              </w:rPr>
              <w:t>1.4</w:t>
            </w:r>
          </w:p>
        </w:tc>
      </w:tr>
      <w:tr w:rsidR="00C15F2E" w:rsidRPr="00D96063" w14:paraId="6EA2B23E"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hideMark/>
          </w:tcPr>
          <w:p w14:paraId="2E920353" w14:textId="77777777" w:rsidR="00C15F2E" w:rsidRPr="00D96063" w:rsidRDefault="00C15F2E" w:rsidP="0009597E">
            <w:pPr>
              <w:jc w:val="left"/>
              <w:rPr>
                <w:rFonts w:cs="Calibri"/>
                <w:sz w:val="15"/>
                <w:szCs w:val="15"/>
              </w:rPr>
            </w:pPr>
            <w:r w:rsidRPr="00D96063">
              <w:rPr>
                <w:rFonts w:cs="Calibri"/>
                <w:sz w:val="15"/>
                <w:szCs w:val="15"/>
              </w:rPr>
              <w:t>14 Precious stones and metals</w:t>
            </w:r>
          </w:p>
        </w:tc>
        <w:tc>
          <w:tcPr>
            <w:tcW w:w="890" w:type="dxa"/>
            <w:noWrap/>
            <w:hideMark/>
          </w:tcPr>
          <w:p w14:paraId="32964A37"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4AA9E943"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73667B8A"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3D9E52EC"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7DDFEFE3"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1302D499" w14:textId="77777777" w:rsidR="00C15F2E" w:rsidRPr="00D96063" w:rsidRDefault="00C15F2E" w:rsidP="00053198">
            <w:pPr>
              <w:jc w:val="right"/>
              <w:rPr>
                <w:rFonts w:cs="Calibri"/>
                <w:sz w:val="15"/>
                <w:szCs w:val="15"/>
              </w:rPr>
            </w:pPr>
            <w:r w:rsidRPr="00D96063">
              <w:rPr>
                <w:rFonts w:cs="Calibri"/>
                <w:sz w:val="15"/>
                <w:szCs w:val="15"/>
              </w:rPr>
              <w:t>0.0</w:t>
            </w:r>
          </w:p>
        </w:tc>
      </w:tr>
      <w:tr w:rsidR="00C15F2E" w:rsidRPr="00D96063" w14:paraId="6F3DFA7D" w14:textId="77777777" w:rsidTr="00053198">
        <w:trPr>
          <w:trHeight w:val="240"/>
        </w:trPr>
        <w:tc>
          <w:tcPr>
            <w:tcW w:w="3681" w:type="dxa"/>
            <w:gridSpan w:val="2"/>
            <w:noWrap/>
            <w:hideMark/>
          </w:tcPr>
          <w:p w14:paraId="729CEB5B" w14:textId="77777777" w:rsidR="00C15F2E" w:rsidRPr="00D96063" w:rsidRDefault="00C15F2E" w:rsidP="0009597E">
            <w:pPr>
              <w:jc w:val="left"/>
              <w:rPr>
                <w:rFonts w:cs="Calibri"/>
                <w:sz w:val="15"/>
                <w:szCs w:val="15"/>
              </w:rPr>
            </w:pPr>
            <w:r w:rsidRPr="00D96063">
              <w:rPr>
                <w:rFonts w:cs="Calibri"/>
                <w:sz w:val="15"/>
                <w:szCs w:val="15"/>
              </w:rPr>
              <w:t>15 Base metals and articles thereof</w:t>
            </w:r>
          </w:p>
        </w:tc>
        <w:tc>
          <w:tcPr>
            <w:tcW w:w="890" w:type="dxa"/>
            <w:noWrap/>
            <w:hideMark/>
          </w:tcPr>
          <w:p w14:paraId="08FE0590" w14:textId="77777777" w:rsidR="00C15F2E" w:rsidRPr="00D96063" w:rsidRDefault="00C15F2E" w:rsidP="00053198">
            <w:pPr>
              <w:jc w:val="right"/>
              <w:rPr>
                <w:rFonts w:cs="Calibri"/>
                <w:sz w:val="15"/>
                <w:szCs w:val="15"/>
              </w:rPr>
            </w:pPr>
            <w:r w:rsidRPr="00D96063">
              <w:rPr>
                <w:rFonts w:cs="Calibri"/>
                <w:sz w:val="15"/>
                <w:szCs w:val="15"/>
              </w:rPr>
              <w:t>8.5</w:t>
            </w:r>
          </w:p>
        </w:tc>
        <w:tc>
          <w:tcPr>
            <w:tcW w:w="890" w:type="dxa"/>
            <w:noWrap/>
            <w:hideMark/>
          </w:tcPr>
          <w:p w14:paraId="14281066" w14:textId="77777777" w:rsidR="00C15F2E" w:rsidRPr="00D96063" w:rsidRDefault="00C15F2E" w:rsidP="00053198">
            <w:pPr>
              <w:jc w:val="right"/>
              <w:rPr>
                <w:rFonts w:cs="Calibri"/>
                <w:sz w:val="15"/>
                <w:szCs w:val="15"/>
              </w:rPr>
            </w:pPr>
            <w:r w:rsidRPr="00D96063">
              <w:rPr>
                <w:rFonts w:cs="Calibri"/>
                <w:sz w:val="15"/>
                <w:szCs w:val="15"/>
              </w:rPr>
              <w:t>9.0</w:t>
            </w:r>
          </w:p>
        </w:tc>
        <w:tc>
          <w:tcPr>
            <w:tcW w:w="890" w:type="dxa"/>
            <w:noWrap/>
            <w:hideMark/>
          </w:tcPr>
          <w:p w14:paraId="6009DD8A" w14:textId="77777777" w:rsidR="00C15F2E" w:rsidRPr="00D96063" w:rsidRDefault="00C15F2E" w:rsidP="00053198">
            <w:pPr>
              <w:jc w:val="right"/>
              <w:rPr>
                <w:rFonts w:cs="Calibri"/>
                <w:sz w:val="15"/>
                <w:szCs w:val="15"/>
              </w:rPr>
            </w:pPr>
            <w:r w:rsidRPr="00D96063">
              <w:rPr>
                <w:rFonts w:cs="Calibri"/>
                <w:sz w:val="15"/>
                <w:szCs w:val="15"/>
              </w:rPr>
              <w:t>10.5</w:t>
            </w:r>
          </w:p>
        </w:tc>
        <w:tc>
          <w:tcPr>
            <w:tcW w:w="890" w:type="dxa"/>
            <w:noWrap/>
            <w:hideMark/>
          </w:tcPr>
          <w:p w14:paraId="7584D1B8" w14:textId="77777777" w:rsidR="00C15F2E" w:rsidRPr="00D96063" w:rsidRDefault="00C15F2E" w:rsidP="00053198">
            <w:pPr>
              <w:jc w:val="right"/>
              <w:rPr>
                <w:rFonts w:cs="Calibri"/>
                <w:sz w:val="15"/>
                <w:szCs w:val="15"/>
              </w:rPr>
            </w:pPr>
            <w:r w:rsidRPr="00D96063">
              <w:rPr>
                <w:rFonts w:cs="Calibri"/>
                <w:sz w:val="15"/>
                <w:szCs w:val="15"/>
              </w:rPr>
              <w:t>10.1</w:t>
            </w:r>
          </w:p>
        </w:tc>
        <w:tc>
          <w:tcPr>
            <w:tcW w:w="890" w:type="dxa"/>
            <w:noWrap/>
            <w:hideMark/>
          </w:tcPr>
          <w:p w14:paraId="036E70D7" w14:textId="77777777" w:rsidR="00C15F2E" w:rsidRPr="00D96063" w:rsidRDefault="00C15F2E" w:rsidP="00053198">
            <w:pPr>
              <w:jc w:val="right"/>
              <w:rPr>
                <w:rFonts w:cs="Calibri"/>
                <w:sz w:val="15"/>
                <w:szCs w:val="15"/>
              </w:rPr>
            </w:pPr>
            <w:r w:rsidRPr="00D96063">
              <w:rPr>
                <w:rFonts w:cs="Calibri"/>
                <w:sz w:val="15"/>
                <w:szCs w:val="15"/>
              </w:rPr>
              <w:t>9.9</w:t>
            </w:r>
          </w:p>
        </w:tc>
        <w:tc>
          <w:tcPr>
            <w:tcW w:w="890" w:type="dxa"/>
            <w:noWrap/>
            <w:hideMark/>
          </w:tcPr>
          <w:p w14:paraId="3EEB9849" w14:textId="77777777" w:rsidR="00C15F2E" w:rsidRPr="00D96063" w:rsidRDefault="00C15F2E" w:rsidP="00053198">
            <w:pPr>
              <w:jc w:val="right"/>
              <w:rPr>
                <w:rFonts w:cs="Calibri"/>
                <w:sz w:val="15"/>
                <w:szCs w:val="15"/>
              </w:rPr>
            </w:pPr>
            <w:r w:rsidRPr="00D96063">
              <w:rPr>
                <w:rFonts w:cs="Calibri"/>
                <w:sz w:val="15"/>
                <w:szCs w:val="15"/>
              </w:rPr>
              <w:t>9.6</w:t>
            </w:r>
          </w:p>
        </w:tc>
      </w:tr>
      <w:tr w:rsidR="00C15F2E" w:rsidRPr="00D96063" w14:paraId="41A8EA9A"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704" w:type="dxa"/>
            <w:tcBorders>
              <w:top w:val="nil"/>
              <w:bottom w:val="nil"/>
              <w:right w:val="nil"/>
            </w:tcBorders>
            <w:noWrap/>
            <w:hideMark/>
          </w:tcPr>
          <w:p w14:paraId="37BF82AC"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4904E4AA" w14:textId="77777777" w:rsidR="00C15F2E" w:rsidRPr="00D96063" w:rsidRDefault="00C15F2E" w:rsidP="0009597E">
            <w:pPr>
              <w:jc w:val="left"/>
              <w:rPr>
                <w:rFonts w:cs="Calibri"/>
                <w:sz w:val="15"/>
                <w:szCs w:val="15"/>
              </w:rPr>
            </w:pPr>
            <w:r w:rsidRPr="00D96063">
              <w:rPr>
                <w:rFonts w:cs="Calibri"/>
                <w:sz w:val="15"/>
                <w:szCs w:val="15"/>
              </w:rPr>
              <w:t>73 Articles of iron or steel</w:t>
            </w:r>
          </w:p>
        </w:tc>
        <w:tc>
          <w:tcPr>
            <w:tcW w:w="890" w:type="dxa"/>
            <w:noWrap/>
            <w:hideMark/>
          </w:tcPr>
          <w:p w14:paraId="5BC521FA" w14:textId="77777777" w:rsidR="00C15F2E" w:rsidRPr="00D96063" w:rsidRDefault="00C15F2E" w:rsidP="00053198">
            <w:pPr>
              <w:jc w:val="right"/>
              <w:rPr>
                <w:rFonts w:cs="Calibri"/>
                <w:sz w:val="15"/>
                <w:szCs w:val="15"/>
              </w:rPr>
            </w:pPr>
            <w:r w:rsidRPr="00D96063">
              <w:rPr>
                <w:rFonts w:cs="Calibri"/>
                <w:sz w:val="15"/>
                <w:szCs w:val="15"/>
              </w:rPr>
              <w:t>4.0</w:t>
            </w:r>
          </w:p>
        </w:tc>
        <w:tc>
          <w:tcPr>
            <w:tcW w:w="890" w:type="dxa"/>
            <w:noWrap/>
            <w:hideMark/>
          </w:tcPr>
          <w:p w14:paraId="34B553F4" w14:textId="77777777" w:rsidR="00C15F2E" w:rsidRPr="00D96063" w:rsidRDefault="00C15F2E" w:rsidP="00053198">
            <w:pPr>
              <w:jc w:val="right"/>
              <w:rPr>
                <w:rFonts w:cs="Calibri"/>
                <w:sz w:val="15"/>
                <w:szCs w:val="15"/>
              </w:rPr>
            </w:pPr>
            <w:r w:rsidRPr="00D96063">
              <w:rPr>
                <w:rFonts w:cs="Calibri"/>
                <w:sz w:val="15"/>
                <w:szCs w:val="15"/>
              </w:rPr>
              <w:t>4.2</w:t>
            </w:r>
          </w:p>
        </w:tc>
        <w:tc>
          <w:tcPr>
            <w:tcW w:w="890" w:type="dxa"/>
            <w:noWrap/>
            <w:hideMark/>
          </w:tcPr>
          <w:p w14:paraId="2B629334" w14:textId="77777777" w:rsidR="00C15F2E" w:rsidRPr="00D96063" w:rsidRDefault="00C15F2E" w:rsidP="00053198">
            <w:pPr>
              <w:jc w:val="right"/>
              <w:rPr>
                <w:rFonts w:cs="Calibri"/>
                <w:sz w:val="15"/>
                <w:szCs w:val="15"/>
              </w:rPr>
            </w:pPr>
            <w:r w:rsidRPr="00D96063">
              <w:rPr>
                <w:rFonts w:cs="Calibri"/>
                <w:sz w:val="15"/>
                <w:szCs w:val="15"/>
              </w:rPr>
              <w:t>4.5</w:t>
            </w:r>
          </w:p>
        </w:tc>
        <w:tc>
          <w:tcPr>
            <w:tcW w:w="890" w:type="dxa"/>
            <w:noWrap/>
            <w:hideMark/>
          </w:tcPr>
          <w:p w14:paraId="7FB60A61" w14:textId="77777777" w:rsidR="00C15F2E" w:rsidRPr="00D96063" w:rsidRDefault="00C15F2E" w:rsidP="00053198">
            <w:pPr>
              <w:jc w:val="right"/>
              <w:rPr>
                <w:rFonts w:cs="Calibri"/>
                <w:sz w:val="15"/>
                <w:szCs w:val="15"/>
              </w:rPr>
            </w:pPr>
            <w:r w:rsidRPr="00D96063">
              <w:rPr>
                <w:rFonts w:cs="Calibri"/>
                <w:sz w:val="15"/>
                <w:szCs w:val="15"/>
              </w:rPr>
              <w:t>4.1</w:t>
            </w:r>
          </w:p>
        </w:tc>
        <w:tc>
          <w:tcPr>
            <w:tcW w:w="890" w:type="dxa"/>
            <w:noWrap/>
            <w:hideMark/>
          </w:tcPr>
          <w:p w14:paraId="05B918F0" w14:textId="77777777" w:rsidR="00C15F2E" w:rsidRPr="00D96063" w:rsidRDefault="00C15F2E" w:rsidP="00053198">
            <w:pPr>
              <w:jc w:val="right"/>
              <w:rPr>
                <w:rFonts w:cs="Calibri"/>
                <w:sz w:val="15"/>
                <w:szCs w:val="15"/>
              </w:rPr>
            </w:pPr>
            <w:r w:rsidRPr="00D96063">
              <w:rPr>
                <w:rFonts w:cs="Calibri"/>
                <w:sz w:val="15"/>
                <w:szCs w:val="15"/>
              </w:rPr>
              <w:t>4.1</w:t>
            </w:r>
          </w:p>
        </w:tc>
        <w:tc>
          <w:tcPr>
            <w:tcW w:w="890" w:type="dxa"/>
            <w:noWrap/>
            <w:hideMark/>
          </w:tcPr>
          <w:p w14:paraId="28FE5FAB" w14:textId="77777777" w:rsidR="00C15F2E" w:rsidRPr="00D96063" w:rsidRDefault="00C15F2E" w:rsidP="00053198">
            <w:pPr>
              <w:jc w:val="right"/>
              <w:rPr>
                <w:rFonts w:cs="Calibri"/>
                <w:sz w:val="15"/>
                <w:szCs w:val="15"/>
              </w:rPr>
            </w:pPr>
            <w:r w:rsidRPr="00D96063">
              <w:rPr>
                <w:rFonts w:cs="Calibri"/>
                <w:sz w:val="15"/>
                <w:szCs w:val="15"/>
              </w:rPr>
              <w:t>3.7</w:t>
            </w:r>
          </w:p>
        </w:tc>
      </w:tr>
      <w:tr w:rsidR="00C15F2E" w:rsidRPr="00D96063" w14:paraId="1A4B74E9" w14:textId="77777777" w:rsidTr="0009597E">
        <w:trPr>
          <w:trHeight w:val="240"/>
        </w:trPr>
        <w:tc>
          <w:tcPr>
            <w:tcW w:w="704" w:type="dxa"/>
            <w:tcBorders>
              <w:top w:val="nil"/>
              <w:bottom w:val="nil"/>
              <w:right w:val="nil"/>
            </w:tcBorders>
            <w:noWrap/>
            <w:hideMark/>
          </w:tcPr>
          <w:p w14:paraId="083CFABA"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266B70D0" w14:textId="77777777" w:rsidR="00C15F2E" w:rsidRPr="00D96063" w:rsidRDefault="00C15F2E" w:rsidP="0009597E">
            <w:pPr>
              <w:jc w:val="left"/>
              <w:rPr>
                <w:rFonts w:cs="Calibri"/>
                <w:sz w:val="15"/>
                <w:szCs w:val="15"/>
              </w:rPr>
            </w:pPr>
            <w:r w:rsidRPr="00D96063">
              <w:rPr>
                <w:rFonts w:cs="Calibri"/>
                <w:sz w:val="15"/>
                <w:szCs w:val="15"/>
              </w:rPr>
              <w:t>72 Iron and steel</w:t>
            </w:r>
          </w:p>
        </w:tc>
        <w:tc>
          <w:tcPr>
            <w:tcW w:w="890" w:type="dxa"/>
            <w:noWrap/>
            <w:hideMark/>
          </w:tcPr>
          <w:p w14:paraId="02D39ABB" w14:textId="77777777" w:rsidR="00C15F2E" w:rsidRPr="00D96063" w:rsidRDefault="00C15F2E" w:rsidP="00053198">
            <w:pPr>
              <w:jc w:val="right"/>
              <w:rPr>
                <w:rFonts w:cs="Calibri"/>
                <w:sz w:val="15"/>
                <w:szCs w:val="15"/>
              </w:rPr>
            </w:pPr>
            <w:r w:rsidRPr="00D96063">
              <w:rPr>
                <w:rFonts w:cs="Calibri"/>
                <w:sz w:val="15"/>
                <w:szCs w:val="15"/>
              </w:rPr>
              <w:t>3.1</w:t>
            </w:r>
          </w:p>
        </w:tc>
        <w:tc>
          <w:tcPr>
            <w:tcW w:w="890" w:type="dxa"/>
            <w:noWrap/>
            <w:hideMark/>
          </w:tcPr>
          <w:p w14:paraId="0AE3B022" w14:textId="77777777" w:rsidR="00C15F2E" w:rsidRPr="00D96063" w:rsidRDefault="00C15F2E" w:rsidP="00053198">
            <w:pPr>
              <w:jc w:val="right"/>
              <w:rPr>
                <w:rFonts w:cs="Calibri"/>
                <w:sz w:val="15"/>
                <w:szCs w:val="15"/>
              </w:rPr>
            </w:pPr>
            <w:r w:rsidRPr="00D96063">
              <w:rPr>
                <w:rFonts w:cs="Calibri"/>
                <w:sz w:val="15"/>
                <w:szCs w:val="15"/>
              </w:rPr>
              <w:t>3.3</w:t>
            </w:r>
          </w:p>
        </w:tc>
        <w:tc>
          <w:tcPr>
            <w:tcW w:w="890" w:type="dxa"/>
            <w:noWrap/>
            <w:hideMark/>
          </w:tcPr>
          <w:p w14:paraId="5BE8C4AB" w14:textId="77777777" w:rsidR="00C15F2E" w:rsidRPr="00D96063" w:rsidRDefault="00C15F2E" w:rsidP="00053198">
            <w:pPr>
              <w:jc w:val="right"/>
              <w:rPr>
                <w:rFonts w:cs="Calibri"/>
                <w:sz w:val="15"/>
                <w:szCs w:val="15"/>
              </w:rPr>
            </w:pPr>
            <w:r w:rsidRPr="00D96063">
              <w:rPr>
                <w:rFonts w:cs="Calibri"/>
                <w:sz w:val="15"/>
                <w:szCs w:val="15"/>
              </w:rPr>
              <w:t>2.8</w:t>
            </w:r>
          </w:p>
        </w:tc>
        <w:tc>
          <w:tcPr>
            <w:tcW w:w="890" w:type="dxa"/>
            <w:noWrap/>
            <w:hideMark/>
          </w:tcPr>
          <w:p w14:paraId="0BCDCD6D" w14:textId="77777777" w:rsidR="00C15F2E" w:rsidRPr="00D96063" w:rsidRDefault="00C15F2E" w:rsidP="00053198">
            <w:pPr>
              <w:jc w:val="right"/>
              <w:rPr>
                <w:rFonts w:cs="Calibri"/>
                <w:sz w:val="15"/>
                <w:szCs w:val="15"/>
              </w:rPr>
            </w:pPr>
            <w:r w:rsidRPr="00D96063">
              <w:rPr>
                <w:rFonts w:cs="Calibri"/>
                <w:sz w:val="15"/>
                <w:szCs w:val="15"/>
              </w:rPr>
              <w:t>3.2</w:t>
            </w:r>
          </w:p>
        </w:tc>
        <w:tc>
          <w:tcPr>
            <w:tcW w:w="890" w:type="dxa"/>
            <w:noWrap/>
            <w:hideMark/>
          </w:tcPr>
          <w:p w14:paraId="714E75B5" w14:textId="77777777" w:rsidR="00C15F2E" w:rsidRPr="00D96063" w:rsidRDefault="00C15F2E" w:rsidP="00053198">
            <w:pPr>
              <w:jc w:val="right"/>
              <w:rPr>
                <w:rFonts w:cs="Calibri"/>
                <w:sz w:val="15"/>
                <w:szCs w:val="15"/>
              </w:rPr>
            </w:pPr>
            <w:r w:rsidRPr="00D96063">
              <w:rPr>
                <w:rFonts w:cs="Calibri"/>
                <w:sz w:val="15"/>
                <w:szCs w:val="15"/>
              </w:rPr>
              <w:t>3.6</w:t>
            </w:r>
          </w:p>
        </w:tc>
        <w:tc>
          <w:tcPr>
            <w:tcW w:w="890" w:type="dxa"/>
            <w:noWrap/>
            <w:hideMark/>
          </w:tcPr>
          <w:p w14:paraId="6A0699E9" w14:textId="77777777" w:rsidR="00C15F2E" w:rsidRPr="00D96063" w:rsidRDefault="00C15F2E" w:rsidP="00053198">
            <w:pPr>
              <w:jc w:val="right"/>
              <w:rPr>
                <w:rFonts w:cs="Calibri"/>
                <w:sz w:val="15"/>
                <w:szCs w:val="15"/>
              </w:rPr>
            </w:pPr>
            <w:r w:rsidRPr="00D96063">
              <w:rPr>
                <w:rFonts w:cs="Calibri"/>
                <w:sz w:val="15"/>
                <w:szCs w:val="15"/>
              </w:rPr>
              <w:t>3.4</w:t>
            </w:r>
          </w:p>
        </w:tc>
      </w:tr>
      <w:tr w:rsidR="00C15F2E" w:rsidRPr="00D96063" w14:paraId="7EAF9E3E"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hideMark/>
          </w:tcPr>
          <w:p w14:paraId="5BD0CC62" w14:textId="77777777" w:rsidR="00C15F2E" w:rsidRPr="00D96063" w:rsidRDefault="00C15F2E" w:rsidP="0009597E">
            <w:pPr>
              <w:jc w:val="left"/>
              <w:rPr>
                <w:rFonts w:cs="Calibri"/>
                <w:sz w:val="15"/>
                <w:szCs w:val="15"/>
              </w:rPr>
            </w:pPr>
            <w:r w:rsidRPr="00D96063">
              <w:rPr>
                <w:rFonts w:cs="Calibri"/>
                <w:sz w:val="15"/>
                <w:szCs w:val="15"/>
              </w:rPr>
              <w:t>16 Machinery, electrical equipment</w:t>
            </w:r>
          </w:p>
        </w:tc>
        <w:tc>
          <w:tcPr>
            <w:tcW w:w="890" w:type="dxa"/>
            <w:noWrap/>
            <w:hideMark/>
          </w:tcPr>
          <w:p w14:paraId="743DBF37" w14:textId="77777777" w:rsidR="00C15F2E" w:rsidRPr="00D96063" w:rsidRDefault="00C15F2E" w:rsidP="00053198">
            <w:pPr>
              <w:jc w:val="right"/>
              <w:rPr>
                <w:rFonts w:cs="Calibri"/>
                <w:sz w:val="15"/>
                <w:szCs w:val="15"/>
              </w:rPr>
            </w:pPr>
            <w:r w:rsidRPr="00D96063">
              <w:rPr>
                <w:rFonts w:cs="Calibri"/>
                <w:sz w:val="15"/>
                <w:szCs w:val="15"/>
              </w:rPr>
              <w:t>20.5</w:t>
            </w:r>
          </w:p>
        </w:tc>
        <w:tc>
          <w:tcPr>
            <w:tcW w:w="890" w:type="dxa"/>
            <w:noWrap/>
            <w:hideMark/>
          </w:tcPr>
          <w:p w14:paraId="7FDD853B" w14:textId="77777777" w:rsidR="00C15F2E" w:rsidRPr="00D96063" w:rsidRDefault="00C15F2E" w:rsidP="00053198">
            <w:pPr>
              <w:jc w:val="right"/>
              <w:rPr>
                <w:rFonts w:cs="Calibri"/>
                <w:sz w:val="15"/>
                <w:szCs w:val="15"/>
              </w:rPr>
            </w:pPr>
            <w:r w:rsidRPr="00D96063">
              <w:rPr>
                <w:rFonts w:cs="Calibri"/>
                <w:sz w:val="15"/>
                <w:szCs w:val="15"/>
              </w:rPr>
              <w:t>20.0</w:t>
            </w:r>
          </w:p>
        </w:tc>
        <w:tc>
          <w:tcPr>
            <w:tcW w:w="890" w:type="dxa"/>
            <w:noWrap/>
            <w:hideMark/>
          </w:tcPr>
          <w:p w14:paraId="704D2A22" w14:textId="77777777" w:rsidR="00C15F2E" w:rsidRPr="00D96063" w:rsidRDefault="00C15F2E" w:rsidP="00053198">
            <w:pPr>
              <w:jc w:val="right"/>
              <w:rPr>
                <w:rFonts w:cs="Calibri"/>
                <w:sz w:val="15"/>
                <w:szCs w:val="15"/>
              </w:rPr>
            </w:pPr>
            <w:r w:rsidRPr="00D96063">
              <w:rPr>
                <w:rFonts w:cs="Calibri"/>
                <w:sz w:val="15"/>
                <w:szCs w:val="15"/>
              </w:rPr>
              <w:t>22.2</w:t>
            </w:r>
          </w:p>
        </w:tc>
        <w:tc>
          <w:tcPr>
            <w:tcW w:w="890" w:type="dxa"/>
            <w:noWrap/>
            <w:hideMark/>
          </w:tcPr>
          <w:p w14:paraId="5B564460" w14:textId="77777777" w:rsidR="00C15F2E" w:rsidRPr="00D96063" w:rsidRDefault="00C15F2E" w:rsidP="00053198">
            <w:pPr>
              <w:jc w:val="right"/>
              <w:rPr>
                <w:rFonts w:cs="Calibri"/>
                <w:sz w:val="15"/>
                <w:szCs w:val="15"/>
              </w:rPr>
            </w:pPr>
            <w:r w:rsidRPr="00D96063">
              <w:rPr>
                <w:rFonts w:cs="Calibri"/>
                <w:sz w:val="15"/>
                <w:szCs w:val="15"/>
              </w:rPr>
              <w:t>17.1</w:t>
            </w:r>
          </w:p>
        </w:tc>
        <w:tc>
          <w:tcPr>
            <w:tcW w:w="890" w:type="dxa"/>
            <w:noWrap/>
            <w:hideMark/>
          </w:tcPr>
          <w:p w14:paraId="1789F19E" w14:textId="77777777" w:rsidR="00C15F2E" w:rsidRPr="00D96063" w:rsidRDefault="00C15F2E" w:rsidP="00053198">
            <w:pPr>
              <w:jc w:val="right"/>
              <w:rPr>
                <w:rFonts w:cs="Calibri"/>
                <w:sz w:val="15"/>
                <w:szCs w:val="15"/>
              </w:rPr>
            </w:pPr>
            <w:r w:rsidRPr="00D96063">
              <w:rPr>
                <w:rFonts w:cs="Calibri"/>
                <w:sz w:val="15"/>
                <w:szCs w:val="15"/>
              </w:rPr>
              <w:t>19.1</w:t>
            </w:r>
          </w:p>
        </w:tc>
        <w:tc>
          <w:tcPr>
            <w:tcW w:w="890" w:type="dxa"/>
            <w:noWrap/>
            <w:hideMark/>
          </w:tcPr>
          <w:p w14:paraId="2206EC9A" w14:textId="77777777" w:rsidR="00C15F2E" w:rsidRPr="00D96063" w:rsidRDefault="00C15F2E" w:rsidP="00053198">
            <w:pPr>
              <w:jc w:val="right"/>
              <w:rPr>
                <w:rFonts w:cs="Calibri"/>
                <w:sz w:val="15"/>
                <w:szCs w:val="15"/>
              </w:rPr>
            </w:pPr>
            <w:r w:rsidRPr="00D96063">
              <w:rPr>
                <w:rFonts w:cs="Calibri"/>
                <w:sz w:val="15"/>
                <w:szCs w:val="15"/>
              </w:rPr>
              <w:t>19.6</w:t>
            </w:r>
          </w:p>
        </w:tc>
      </w:tr>
      <w:tr w:rsidR="00C15F2E" w:rsidRPr="00D96063" w14:paraId="2E7E69FA" w14:textId="77777777" w:rsidTr="0009597E">
        <w:trPr>
          <w:trHeight w:val="240"/>
        </w:trPr>
        <w:tc>
          <w:tcPr>
            <w:tcW w:w="704" w:type="dxa"/>
            <w:tcBorders>
              <w:top w:val="nil"/>
              <w:bottom w:val="nil"/>
              <w:right w:val="nil"/>
            </w:tcBorders>
            <w:noWrap/>
            <w:hideMark/>
          </w:tcPr>
          <w:p w14:paraId="3256A99C"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41B58D87" w14:textId="77777777" w:rsidR="00C15F2E" w:rsidRPr="00D96063" w:rsidRDefault="00C15F2E" w:rsidP="0009597E">
            <w:pPr>
              <w:jc w:val="left"/>
              <w:rPr>
                <w:rFonts w:cs="Calibri"/>
                <w:sz w:val="15"/>
                <w:szCs w:val="15"/>
              </w:rPr>
            </w:pPr>
            <w:r w:rsidRPr="00D96063">
              <w:rPr>
                <w:rFonts w:cs="Calibri"/>
                <w:sz w:val="15"/>
                <w:szCs w:val="15"/>
              </w:rPr>
              <w:t>84 Machinery and mechanical appliances; parts thereof</w:t>
            </w:r>
          </w:p>
        </w:tc>
        <w:tc>
          <w:tcPr>
            <w:tcW w:w="890" w:type="dxa"/>
            <w:noWrap/>
            <w:hideMark/>
          </w:tcPr>
          <w:p w14:paraId="6D03554C" w14:textId="77777777" w:rsidR="00C15F2E" w:rsidRPr="00D96063" w:rsidRDefault="00C15F2E" w:rsidP="00053198">
            <w:pPr>
              <w:jc w:val="right"/>
              <w:rPr>
                <w:rFonts w:cs="Calibri"/>
                <w:sz w:val="15"/>
                <w:szCs w:val="15"/>
              </w:rPr>
            </w:pPr>
            <w:r w:rsidRPr="00D96063">
              <w:rPr>
                <w:rFonts w:cs="Calibri"/>
                <w:sz w:val="15"/>
                <w:szCs w:val="15"/>
              </w:rPr>
              <w:t>10.9</w:t>
            </w:r>
          </w:p>
        </w:tc>
        <w:tc>
          <w:tcPr>
            <w:tcW w:w="890" w:type="dxa"/>
            <w:noWrap/>
            <w:hideMark/>
          </w:tcPr>
          <w:p w14:paraId="33EC3BF9" w14:textId="77777777" w:rsidR="00C15F2E" w:rsidRPr="00D96063" w:rsidRDefault="00C15F2E" w:rsidP="00053198">
            <w:pPr>
              <w:jc w:val="right"/>
              <w:rPr>
                <w:rFonts w:cs="Calibri"/>
                <w:sz w:val="15"/>
                <w:szCs w:val="15"/>
              </w:rPr>
            </w:pPr>
            <w:r w:rsidRPr="00D96063">
              <w:rPr>
                <w:rFonts w:cs="Calibri"/>
                <w:sz w:val="15"/>
                <w:szCs w:val="15"/>
              </w:rPr>
              <w:t>11.3</w:t>
            </w:r>
          </w:p>
        </w:tc>
        <w:tc>
          <w:tcPr>
            <w:tcW w:w="890" w:type="dxa"/>
            <w:noWrap/>
            <w:hideMark/>
          </w:tcPr>
          <w:p w14:paraId="08C58093" w14:textId="77777777" w:rsidR="00C15F2E" w:rsidRPr="00D96063" w:rsidRDefault="00C15F2E" w:rsidP="00053198">
            <w:pPr>
              <w:jc w:val="right"/>
              <w:rPr>
                <w:rFonts w:cs="Calibri"/>
                <w:sz w:val="15"/>
                <w:szCs w:val="15"/>
              </w:rPr>
            </w:pPr>
            <w:r w:rsidRPr="00D96063">
              <w:rPr>
                <w:rFonts w:cs="Calibri"/>
                <w:sz w:val="15"/>
                <w:szCs w:val="15"/>
              </w:rPr>
              <w:t>13.3</w:t>
            </w:r>
          </w:p>
        </w:tc>
        <w:tc>
          <w:tcPr>
            <w:tcW w:w="890" w:type="dxa"/>
            <w:noWrap/>
            <w:hideMark/>
          </w:tcPr>
          <w:p w14:paraId="1BE234F6" w14:textId="77777777" w:rsidR="00C15F2E" w:rsidRPr="00D96063" w:rsidRDefault="00C15F2E" w:rsidP="00053198">
            <w:pPr>
              <w:jc w:val="right"/>
              <w:rPr>
                <w:rFonts w:cs="Calibri"/>
                <w:sz w:val="15"/>
                <w:szCs w:val="15"/>
              </w:rPr>
            </w:pPr>
            <w:r w:rsidRPr="00D96063">
              <w:rPr>
                <w:rFonts w:cs="Calibri"/>
                <w:sz w:val="15"/>
                <w:szCs w:val="15"/>
              </w:rPr>
              <w:t>11.0</w:t>
            </w:r>
          </w:p>
        </w:tc>
        <w:tc>
          <w:tcPr>
            <w:tcW w:w="890" w:type="dxa"/>
            <w:noWrap/>
            <w:hideMark/>
          </w:tcPr>
          <w:p w14:paraId="501685A0" w14:textId="77777777" w:rsidR="00C15F2E" w:rsidRPr="00D96063" w:rsidRDefault="00C15F2E" w:rsidP="00053198">
            <w:pPr>
              <w:jc w:val="right"/>
              <w:rPr>
                <w:rFonts w:cs="Calibri"/>
                <w:sz w:val="15"/>
                <w:szCs w:val="15"/>
              </w:rPr>
            </w:pPr>
            <w:r w:rsidRPr="00D96063">
              <w:rPr>
                <w:rFonts w:cs="Calibri"/>
                <w:sz w:val="15"/>
                <w:szCs w:val="15"/>
              </w:rPr>
              <w:t>12.9</w:t>
            </w:r>
          </w:p>
        </w:tc>
        <w:tc>
          <w:tcPr>
            <w:tcW w:w="890" w:type="dxa"/>
            <w:noWrap/>
            <w:hideMark/>
          </w:tcPr>
          <w:p w14:paraId="0B11372D" w14:textId="77777777" w:rsidR="00C15F2E" w:rsidRPr="00D96063" w:rsidRDefault="00C15F2E" w:rsidP="00053198">
            <w:pPr>
              <w:jc w:val="right"/>
              <w:rPr>
                <w:rFonts w:cs="Calibri"/>
                <w:sz w:val="15"/>
                <w:szCs w:val="15"/>
              </w:rPr>
            </w:pPr>
            <w:r w:rsidRPr="00D96063">
              <w:rPr>
                <w:rFonts w:cs="Calibri"/>
                <w:sz w:val="15"/>
                <w:szCs w:val="15"/>
              </w:rPr>
              <w:t>13.0</w:t>
            </w:r>
          </w:p>
        </w:tc>
      </w:tr>
      <w:tr w:rsidR="00C15F2E" w:rsidRPr="00D96063" w14:paraId="662765A3"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704" w:type="dxa"/>
            <w:tcBorders>
              <w:top w:val="nil"/>
              <w:bottom w:val="nil"/>
              <w:right w:val="nil"/>
            </w:tcBorders>
            <w:noWrap/>
            <w:hideMark/>
          </w:tcPr>
          <w:p w14:paraId="42B4713D"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1F690DB3" w14:textId="77777777" w:rsidR="00C15F2E" w:rsidRPr="00D96063" w:rsidRDefault="00C15F2E" w:rsidP="0009597E">
            <w:pPr>
              <w:jc w:val="left"/>
              <w:rPr>
                <w:rFonts w:cs="Calibri"/>
                <w:sz w:val="15"/>
                <w:szCs w:val="15"/>
              </w:rPr>
            </w:pPr>
            <w:r w:rsidRPr="00D96063">
              <w:rPr>
                <w:rFonts w:cs="Calibri"/>
                <w:sz w:val="15"/>
                <w:szCs w:val="15"/>
              </w:rPr>
              <w:t>85 Electrical machinery and equipment and parts thereof</w:t>
            </w:r>
          </w:p>
        </w:tc>
        <w:tc>
          <w:tcPr>
            <w:tcW w:w="890" w:type="dxa"/>
            <w:noWrap/>
            <w:hideMark/>
          </w:tcPr>
          <w:p w14:paraId="1C3F4C05" w14:textId="77777777" w:rsidR="00C15F2E" w:rsidRPr="00D96063" w:rsidRDefault="00C15F2E" w:rsidP="00053198">
            <w:pPr>
              <w:jc w:val="right"/>
              <w:rPr>
                <w:rFonts w:cs="Calibri"/>
                <w:sz w:val="15"/>
                <w:szCs w:val="15"/>
              </w:rPr>
            </w:pPr>
            <w:r w:rsidRPr="00D96063">
              <w:rPr>
                <w:rFonts w:cs="Calibri"/>
                <w:sz w:val="15"/>
                <w:szCs w:val="15"/>
              </w:rPr>
              <w:t>9.6</w:t>
            </w:r>
          </w:p>
        </w:tc>
        <w:tc>
          <w:tcPr>
            <w:tcW w:w="890" w:type="dxa"/>
            <w:noWrap/>
            <w:hideMark/>
          </w:tcPr>
          <w:p w14:paraId="435413F0" w14:textId="77777777" w:rsidR="00C15F2E" w:rsidRPr="00D96063" w:rsidRDefault="00C15F2E" w:rsidP="00053198">
            <w:pPr>
              <w:jc w:val="right"/>
              <w:rPr>
                <w:rFonts w:cs="Calibri"/>
                <w:sz w:val="15"/>
                <w:szCs w:val="15"/>
              </w:rPr>
            </w:pPr>
            <w:r w:rsidRPr="00D96063">
              <w:rPr>
                <w:rFonts w:cs="Calibri"/>
                <w:sz w:val="15"/>
                <w:szCs w:val="15"/>
              </w:rPr>
              <w:t>8.7</w:t>
            </w:r>
          </w:p>
        </w:tc>
        <w:tc>
          <w:tcPr>
            <w:tcW w:w="890" w:type="dxa"/>
            <w:noWrap/>
            <w:hideMark/>
          </w:tcPr>
          <w:p w14:paraId="0B8DB9E7" w14:textId="77777777" w:rsidR="00C15F2E" w:rsidRPr="00D96063" w:rsidRDefault="00C15F2E" w:rsidP="00053198">
            <w:pPr>
              <w:jc w:val="right"/>
              <w:rPr>
                <w:rFonts w:cs="Calibri"/>
                <w:sz w:val="15"/>
                <w:szCs w:val="15"/>
              </w:rPr>
            </w:pPr>
            <w:r w:rsidRPr="00D96063">
              <w:rPr>
                <w:rFonts w:cs="Calibri"/>
                <w:sz w:val="15"/>
                <w:szCs w:val="15"/>
              </w:rPr>
              <w:t>8.9</w:t>
            </w:r>
          </w:p>
        </w:tc>
        <w:tc>
          <w:tcPr>
            <w:tcW w:w="890" w:type="dxa"/>
            <w:noWrap/>
            <w:hideMark/>
          </w:tcPr>
          <w:p w14:paraId="572192FB" w14:textId="77777777" w:rsidR="00C15F2E" w:rsidRPr="00D96063" w:rsidRDefault="00C15F2E" w:rsidP="00053198">
            <w:pPr>
              <w:jc w:val="right"/>
              <w:rPr>
                <w:rFonts w:cs="Calibri"/>
                <w:sz w:val="15"/>
                <w:szCs w:val="15"/>
              </w:rPr>
            </w:pPr>
            <w:r w:rsidRPr="00D96063">
              <w:rPr>
                <w:rFonts w:cs="Calibri"/>
                <w:sz w:val="15"/>
                <w:szCs w:val="15"/>
              </w:rPr>
              <w:t>6.2</w:t>
            </w:r>
          </w:p>
        </w:tc>
        <w:tc>
          <w:tcPr>
            <w:tcW w:w="890" w:type="dxa"/>
            <w:noWrap/>
            <w:hideMark/>
          </w:tcPr>
          <w:p w14:paraId="3E108CA3" w14:textId="77777777" w:rsidR="00C15F2E" w:rsidRPr="00D96063" w:rsidRDefault="00C15F2E" w:rsidP="00053198">
            <w:pPr>
              <w:jc w:val="right"/>
              <w:rPr>
                <w:rFonts w:cs="Calibri"/>
                <w:sz w:val="15"/>
                <w:szCs w:val="15"/>
              </w:rPr>
            </w:pPr>
            <w:r w:rsidRPr="00D96063">
              <w:rPr>
                <w:rFonts w:cs="Calibri"/>
                <w:sz w:val="15"/>
                <w:szCs w:val="15"/>
              </w:rPr>
              <w:t>6.2</w:t>
            </w:r>
          </w:p>
        </w:tc>
        <w:tc>
          <w:tcPr>
            <w:tcW w:w="890" w:type="dxa"/>
            <w:noWrap/>
            <w:hideMark/>
          </w:tcPr>
          <w:p w14:paraId="1BF020CF" w14:textId="77777777" w:rsidR="00C15F2E" w:rsidRPr="00D96063" w:rsidRDefault="00C15F2E" w:rsidP="00053198">
            <w:pPr>
              <w:jc w:val="right"/>
              <w:rPr>
                <w:rFonts w:cs="Calibri"/>
                <w:sz w:val="15"/>
                <w:szCs w:val="15"/>
              </w:rPr>
            </w:pPr>
            <w:r w:rsidRPr="00D96063">
              <w:rPr>
                <w:rFonts w:cs="Calibri"/>
                <w:sz w:val="15"/>
                <w:szCs w:val="15"/>
              </w:rPr>
              <w:t>6.6</w:t>
            </w:r>
          </w:p>
        </w:tc>
      </w:tr>
      <w:tr w:rsidR="00C15F2E" w:rsidRPr="00D96063" w14:paraId="0BD11604" w14:textId="77777777" w:rsidTr="00053198">
        <w:trPr>
          <w:trHeight w:val="240"/>
        </w:trPr>
        <w:tc>
          <w:tcPr>
            <w:tcW w:w="3681" w:type="dxa"/>
            <w:gridSpan w:val="2"/>
            <w:noWrap/>
            <w:hideMark/>
          </w:tcPr>
          <w:p w14:paraId="10730026" w14:textId="77777777" w:rsidR="00C15F2E" w:rsidRPr="00D96063" w:rsidRDefault="00C15F2E" w:rsidP="0009597E">
            <w:pPr>
              <w:jc w:val="left"/>
              <w:rPr>
                <w:rFonts w:cs="Calibri"/>
                <w:sz w:val="15"/>
                <w:szCs w:val="15"/>
              </w:rPr>
            </w:pPr>
            <w:r w:rsidRPr="00D96063">
              <w:rPr>
                <w:rFonts w:cs="Calibri"/>
                <w:sz w:val="15"/>
                <w:szCs w:val="15"/>
              </w:rPr>
              <w:t>17 Transport equipment</w:t>
            </w:r>
          </w:p>
        </w:tc>
        <w:tc>
          <w:tcPr>
            <w:tcW w:w="890" w:type="dxa"/>
            <w:noWrap/>
            <w:hideMark/>
          </w:tcPr>
          <w:p w14:paraId="26D974CB" w14:textId="77777777" w:rsidR="00C15F2E" w:rsidRPr="00D96063" w:rsidRDefault="00C15F2E" w:rsidP="00053198">
            <w:pPr>
              <w:jc w:val="right"/>
              <w:rPr>
                <w:rFonts w:cs="Calibri"/>
                <w:sz w:val="15"/>
                <w:szCs w:val="15"/>
              </w:rPr>
            </w:pPr>
            <w:r w:rsidRPr="00D96063">
              <w:rPr>
                <w:rFonts w:cs="Calibri"/>
                <w:sz w:val="15"/>
                <w:szCs w:val="15"/>
              </w:rPr>
              <w:t>13.4</w:t>
            </w:r>
          </w:p>
        </w:tc>
        <w:tc>
          <w:tcPr>
            <w:tcW w:w="890" w:type="dxa"/>
            <w:noWrap/>
            <w:hideMark/>
          </w:tcPr>
          <w:p w14:paraId="7F62520E" w14:textId="77777777" w:rsidR="00C15F2E" w:rsidRPr="00D96063" w:rsidRDefault="00C15F2E" w:rsidP="00053198">
            <w:pPr>
              <w:jc w:val="right"/>
              <w:rPr>
                <w:rFonts w:cs="Calibri"/>
                <w:sz w:val="15"/>
                <w:szCs w:val="15"/>
              </w:rPr>
            </w:pPr>
            <w:r w:rsidRPr="00D96063">
              <w:rPr>
                <w:rFonts w:cs="Calibri"/>
                <w:sz w:val="15"/>
                <w:szCs w:val="15"/>
              </w:rPr>
              <w:t>13.0</w:t>
            </w:r>
          </w:p>
        </w:tc>
        <w:tc>
          <w:tcPr>
            <w:tcW w:w="890" w:type="dxa"/>
            <w:noWrap/>
            <w:hideMark/>
          </w:tcPr>
          <w:p w14:paraId="79F2D9C5" w14:textId="77777777" w:rsidR="00C15F2E" w:rsidRPr="00D96063" w:rsidRDefault="00C15F2E" w:rsidP="00053198">
            <w:pPr>
              <w:jc w:val="right"/>
              <w:rPr>
                <w:rFonts w:cs="Calibri"/>
                <w:sz w:val="15"/>
                <w:szCs w:val="15"/>
              </w:rPr>
            </w:pPr>
            <w:r w:rsidRPr="00D96063">
              <w:rPr>
                <w:rFonts w:cs="Calibri"/>
                <w:sz w:val="15"/>
                <w:szCs w:val="15"/>
              </w:rPr>
              <w:t>16.1</w:t>
            </w:r>
          </w:p>
        </w:tc>
        <w:tc>
          <w:tcPr>
            <w:tcW w:w="890" w:type="dxa"/>
            <w:noWrap/>
            <w:hideMark/>
          </w:tcPr>
          <w:p w14:paraId="74994FFA" w14:textId="77777777" w:rsidR="00C15F2E" w:rsidRPr="00D96063" w:rsidRDefault="00C15F2E" w:rsidP="00053198">
            <w:pPr>
              <w:jc w:val="right"/>
              <w:rPr>
                <w:rFonts w:cs="Calibri"/>
                <w:sz w:val="15"/>
                <w:szCs w:val="15"/>
              </w:rPr>
            </w:pPr>
            <w:r w:rsidRPr="00D96063">
              <w:rPr>
                <w:rFonts w:cs="Calibri"/>
                <w:sz w:val="15"/>
                <w:szCs w:val="15"/>
              </w:rPr>
              <w:t>15.0</w:t>
            </w:r>
          </w:p>
        </w:tc>
        <w:tc>
          <w:tcPr>
            <w:tcW w:w="890" w:type="dxa"/>
            <w:noWrap/>
            <w:hideMark/>
          </w:tcPr>
          <w:p w14:paraId="389E1BF0" w14:textId="77777777" w:rsidR="00C15F2E" w:rsidRPr="00D96063" w:rsidRDefault="00C15F2E" w:rsidP="00053198">
            <w:pPr>
              <w:jc w:val="right"/>
              <w:rPr>
                <w:rFonts w:cs="Calibri"/>
                <w:sz w:val="15"/>
                <w:szCs w:val="15"/>
              </w:rPr>
            </w:pPr>
            <w:r w:rsidRPr="00D96063">
              <w:rPr>
                <w:rFonts w:cs="Calibri"/>
                <w:sz w:val="15"/>
                <w:szCs w:val="15"/>
              </w:rPr>
              <w:t>15.7</w:t>
            </w:r>
          </w:p>
        </w:tc>
        <w:tc>
          <w:tcPr>
            <w:tcW w:w="890" w:type="dxa"/>
            <w:noWrap/>
            <w:hideMark/>
          </w:tcPr>
          <w:p w14:paraId="24A2923E" w14:textId="77777777" w:rsidR="00C15F2E" w:rsidRPr="00D96063" w:rsidRDefault="00C15F2E" w:rsidP="00053198">
            <w:pPr>
              <w:jc w:val="right"/>
              <w:rPr>
                <w:rFonts w:cs="Calibri"/>
                <w:sz w:val="15"/>
                <w:szCs w:val="15"/>
              </w:rPr>
            </w:pPr>
            <w:r w:rsidRPr="00D96063">
              <w:rPr>
                <w:rFonts w:cs="Calibri"/>
                <w:sz w:val="15"/>
                <w:szCs w:val="15"/>
              </w:rPr>
              <w:t>16.4</w:t>
            </w:r>
          </w:p>
        </w:tc>
      </w:tr>
      <w:tr w:rsidR="00C15F2E" w:rsidRPr="00D96063" w14:paraId="61E3DC7B"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704" w:type="dxa"/>
            <w:tcBorders>
              <w:top w:val="nil"/>
              <w:bottom w:val="nil"/>
              <w:right w:val="nil"/>
            </w:tcBorders>
            <w:noWrap/>
            <w:hideMark/>
          </w:tcPr>
          <w:p w14:paraId="6F46417C"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754B2E6D" w14:textId="77777777" w:rsidR="00C15F2E" w:rsidRPr="00D96063" w:rsidRDefault="00C15F2E" w:rsidP="0009597E">
            <w:pPr>
              <w:jc w:val="left"/>
              <w:rPr>
                <w:rFonts w:cs="Calibri"/>
                <w:sz w:val="15"/>
                <w:szCs w:val="15"/>
              </w:rPr>
            </w:pPr>
            <w:r w:rsidRPr="00D96063">
              <w:rPr>
                <w:rFonts w:cs="Calibri"/>
                <w:sz w:val="15"/>
                <w:szCs w:val="15"/>
              </w:rPr>
              <w:t xml:space="preserve">87 Vehicles </w:t>
            </w:r>
          </w:p>
        </w:tc>
        <w:tc>
          <w:tcPr>
            <w:tcW w:w="890" w:type="dxa"/>
            <w:noWrap/>
            <w:hideMark/>
          </w:tcPr>
          <w:p w14:paraId="6040F984" w14:textId="77777777" w:rsidR="00C15F2E" w:rsidRPr="00D96063" w:rsidRDefault="00C15F2E" w:rsidP="00053198">
            <w:pPr>
              <w:jc w:val="right"/>
              <w:rPr>
                <w:rFonts w:cs="Calibri"/>
                <w:sz w:val="15"/>
                <w:szCs w:val="15"/>
              </w:rPr>
            </w:pPr>
            <w:r w:rsidRPr="00D96063">
              <w:rPr>
                <w:rFonts w:cs="Calibri"/>
                <w:sz w:val="15"/>
                <w:szCs w:val="15"/>
              </w:rPr>
              <w:t>13.1</w:t>
            </w:r>
          </w:p>
        </w:tc>
        <w:tc>
          <w:tcPr>
            <w:tcW w:w="890" w:type="dxa"/>
            <w:noWrap/>
            <w:hideMark/>
          </w:tcPr>
          <w:p w14:paraId="37B128C7" w14:textId="77777777" w:rsidR="00C15F2E" w:rsidRPr="00D96063" w:rsidRDefault="00C15F2E" w:rsidP="00053198">
            <w:pPr>
              <w:jc w:val="right"/>
              <w:rPr>
                <w:rFonts w:cs="Calibri"/>
                <w:sz w:val="15"/>
                <w:szCs w:val="15"/>
              </w:rPr>
            </w:pPr>
            <w:r w:rsidRPr="00D96063">
              <w:rPr>
                <w:rFonts w:cs="Calibri"/>
                <w:sz w:val="15"/>
                <w:szCs w:val="15"/>
              </w:rPr>
              <w:t>12.1</w:t>
            </w:r>
          </w:p>
        </w:tc>
        <w:tc>
          <w:tcPr>
            <w:tcW w:w="890" w:type="dxa"/>
            <w:noWrap/>
            <w:hideMark/>
          </w:tcPr>
          <w:p w14:paraId="22761C62" w14:textId="77777777" w:rsidR="00C15F2E" w:rsidRPr="00D96063" w:rsidRDefault="00C15F2E" w:rsidP="00053198">
            <w:pPr>
              <w:jc w:val="right"/>
              <w:rPr>
                <w:rFonts w:cs="Calibri"/>
                <w:sz w:val="15"/>
                <w:szCs w:val="15"/>
              </w:rPr>
            </w:pPr>
            <w:r w:rsidRPr="00D96063">
              <w:rPr>
                <w:rFonts w:cs="Calibri"/>
                <w:sz w:val="15"/>
                <w:szCs w:val="15"/>
              </w:rPr>
              <w:t>15.7</w:t>
            </w:r>
          </w:p>
        </w:tc>
        <w:tc>
          <w:tcPr>
            <w:tcW w:w="890" w:type="dxa"/>
            <w:noWrap/>
            <w:hideMark/>
          </w:tcPr>
          <w:p w14:paraId="282B9705" w14:textId="77777777" w:rsidR="00C15F2E" w:rsidRPr="00D96063" w:rsidRDefault="00C15F2E" w:rsidP="00053198">
            <w:pPr>
              <w:jc w:val="right"/>
              <w:rPr>
                <w:rFonts w:cs="Calibri"/>
                <w:sz w:val="15"/>
                <w:szCs w:val="15"/>
              </w:rPr>
            </w:pPr>
            <w:r w:rsidRPr="00D96063">
              <w:rPr>
                <w:rFonts w:cs="Calibri"/>
                <w:sz w:val="15"/>
                <w:szCs w:val="15"/>
              </w:rPr>
              <w:t>14.7</w:t>
            </w:r>
          </w:p>
        </w:tc>
        <w:tc>
          <w:tcPr>
            <w:tcW w:w="890" w:type="dxa"/>
            <w:noWrap/>
            <w:hideMark/>
          </w:tcPr>
          <w:p w14:paraId="2B4D763B" w14:textId="77777777" w:rsidR="00C15F2E" w:rsidRPr="00D96063" w:rsidRDefault="00C15F2E" w:rsidP="00053198">
            <w:pPr>
              <w:jc w:val="right"/>
              <w:rPr>
                <w:rFonts w:cs="Calibri"/>
                <w:sz w:val="15"/>
                <w:szCs w:val="15"/>
              </w:rPr>
            </w:pPr>
            <w:r w:rsidRPr="00D96063">
              <w:rPr>
                <w:rFonts w:cs="Calibri"/>
                <w:sz w:val="15"/>
                <w:szCs w:val="15"/>
              </w:rPr>
              <w:t>15.6</w:t>
            </w:r>
          </w:p>
        </w:tc>
        <w:tc>
          <w:tcPr>
            <w:tcW w:w="890" w:type="dxa"/>
            <w:noWrap/>
            <w:hideMark/>
          </w:tcPr>
          <w:p w14:paraId="55BD7FFC" w14:textId="77777777" w:rsidR="00C15F2E" w:rsidRPr="00D96063" w:rsidRDefault="00C15F2E" w:rsidP="00053198">
            <w:pPr>
              <w:jc w:val="right"/>
              <w:rPr>
                <w:rFonts w:cs="Calibri"/>
                <w:sz w:val="15"/>
                <w:szCs w:val="15"/>
              </w:rPr>
            </w:pPr>
            <w:r w:rsidRPr="00D96063">
              <w:rPr>
                <w:rFonts w:cs="Calibri"/>
                <w:sz w:val="15"/>
                <w:szCs w:val="15"/>
              </w:rPr>
              <w:t>16.2</w:t>
            </w:r>
          </w:p>
        </w:tc>
      </w:tr>
      <w:tr w:rsidR="00C15F2E" w:rsidRPr="00D96063" w14:paraId="5507934B" w14:textId="77777777" w:rsidTr="0009597E">
        <w:trPr>
          <w:trHeight w:val="240"/>
        </w:trPr>
        <w:tc>
          <w:tcPr>
            <w:tcW w:w="704" w:type="dxa"/>
            <w:tcBorders>
              <w:top w:val="nil"/>
              <w:bottom w:val="nil"/>
              <w:right w:val="nil"/>
            </w:tcBorders>
            <w:noWrap/>
            <w:hideMark/>
          </w:tcPr>
          <w:p w14:paraId="7D8E5723"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58B1CE9A" w14:textId="77777777" w:rsidR="00C15F2E" w:rsidRPr="00D96063" w:rsidRDefault="00C15F2E" w:rsidP="0009597E">
            <w:pPr>
              <w:jc w:val="left"/>
              <w:rPr>
                <w:rFonts w:cs="Calibri"/>
                <w:sz w:val="15"/>
                <w:szCs w:val="15"/>
              </w:rPr>
            </w:pPr>
            <w:r w:rsidRPr="00D96063">
              <w:rPr>
                <w:rFonts w:cs="Calibri"/>
                <w:sz w:val="15"/>
                <w:szCs w:val="15"/>
              </w:rPr>
              <w:t xml:space="preserve">   8703 Motor cars and other motor vehicles principally designed for the transport of persons</w:t>
            </w:r>
          </w:p>
        </w:tc>
        <w:tc>
          <w:tcPr>
            <w:tcW w:w="890" w:type="dxa"/>
            <w:noWrap/>
            <w:hideMark/>
          </w:tcPr>
          <w:p w14:paraId="384FD192" w14:textId="77777777" w:rsidR="00C15F2E" w:rsidRPr="00D96063" w:rsidRDefault="00C15F2E" w:rsidP="00053198">
            <w:pPr>
              <w:jc w:val="right"/>
              <w:rPr>
                <w:rFonts w:cs="Calibri"/>
                <w:sz w:val="15"/>
                <w:szCs w:val="15"/>
              </w:rPr>
            </w:pPr>
            <w:r w:rsidRPr="00D96063">
              <w:rPr>
                <w:rFonts w:cs="Calibri"/>
                <w:sz w:val="15"/>
                <w:szCs w:val="15"/>
              </w:rPr>
              <w:t>4.6</w:t>
            </w:r>
          </w:p>
        </w:tc>
        <w:tc>
          <w:tcPr>
            <w:tcW w:w="890" w:type="dxa"/>
            <w:noWrap/>
            <w:hideMark/>
          </w:tcPr>
          <w:p w14:paraId="6927AFE5" w14:textId="77777777" w:rsidR="00C15F2E" w:rsidRPr="00D96063" w:rsidRDefault="00C15F2E" w:rsidP="00053198">
            <w:pPr>
              <w:jc w:val="right"/>
              <w:rPr>
                <w:rFonts w:cs="Calibri"/>
                <w:sz w:val="15"/>
                <w:szCs w:val="15"/>
              </w:rPr>
            </w:pPr>
            <w:r w:rsidRPr="00D96063">
              <w:rPr>
                <w:rFonts w:cs="Calibri"/>
                <w:sz w:val="15"/>
                <w:szCs w:val="15"/>
              </w:rPr>
              <w:t>6.8</w:t>
            </w:r>
          </w:p>
        </w:tc>
        <w:tc>
          <w:tcPr>
            <w:tcW w:w="890" w:type="dxa"/>
            <w:noWrap/>
            <w:hideMark/>
          </w:tcPr>
          <w:p w14:paraId="3293C693" w14:textId="77777777" w:rsidR="00C15F2E" w:rsidRPr="00D96063" w:rsidRDefault="00C15F2E" w:rsidP="00053198">
            <w:pPr>
              <w:jc w:val="right"/>
              <w:rPr>
                <w:rFonts w:cs="Calibri"/>
                <w:sz w:val="15"/>
                <w:szCs w:val="15"/>
              </w:rPr>
            </w:pPr>
            <w:r w:rsidRPr="00D96063">
              <w:rPr>
                <w:rFonts w:cs="Calibri"/>
                <w:sz w:val="15"/>
                <w:szCs w:val="15"/>
              </w:rPr>
              <w:t>8.1</w:t>
            </w:r>
          </w:p>
        </w:tc>
        <w:tc>
          <w:tcPr>
            <w:tcW w:w="890" w:type="dxa"/>
            <w:noWrap/>
            <w:hideMark/>
          </w:tcPr>
          <w:p w14:paraId="6A35BBD5" w14:textId="77777777" w:rsidR="00C15F2E" w:rsidRPr="00D96063" w:rsidRDefault="00C15F2E" w:rsidP="00053198">
            <w:pPr>
              <w:jc w:val="right"/>
              <w:rPr>
                <w:rFonts w:cs="Calibri"/>
                <w:sz w:val="15"/>
                <w:szCs w:val="15"/>
              </w:rPr>
            </w:pPr>
            <w:r w:rsidRPr="00D96063">
              <w:rPr>
                <w:rFonts w:cs="Calibri"/>
                <w:sz w:val="15"/>
                <w:szCs w:val="15"/>
              </w:rPr>
              <w:t>7.9</w:t>
            </w:r>
          </w:p>
        </w:tc>
        <w:tc>
          <w:tcPr>
            <w:tcW w:w="890" w:type="dxa"/>
            <w:noWrap/>
            <w:hideMark/>
          </w:tcPr>
          <w:p w14:paraId="2A73D0B1" w14:textId="77777777" w:rsidR="00C15F2E" w:rsidRPr="00D96063" w:rsidRDefault="00C15F2E" w:rsidP="00053198">
            <w:pPr>
              <w:jc w:val="right"/>
              <w:rPr>
                <w:rFonts w:cs="Calibri"/>
                <w:sz w:val="15"/>
                <w:szCs w:val="15"/>
              </w:rPr>
            </w:pPr>
            <w:r w:rsidRPr="00D96063">
              <w:rPr>
                <w:rFonts w:cs="Calibri"/>
                <w:sz w:val="15"/>
                <w:szCs w:val="15"/>
              </w:rPr>
              <w:t>8.0</w:t>
            </w:r>
          </w:p>
        </w:tc>
        <w:tc>
          <w:tcPr>
            <w:tcW w:w="890" w:type="dxa"/>
            <w:noWrap/>
            <w:hideMark/>
          </w:tcPr>
          <w:p w14:paraId="3819E8DF" w14:textId="77777777" w:rsidR="00C15F2E" w:rsidRPr="00D96063" w:rsidRDefault="00C15F2E" w:rsidP="00053198">
            <w:pPr>
              <w:jc w:val="right"/>
              <w:rPr>
                <w:rFonts w:cs="Calibri"/>
                <w:sz w:val="15"/>
                <w:szCs w:val="15"/>
              </w:rPr>
            </w:pPr>
            <w:r w:rsidRPr="00D96063">
              <w:rPr>
                <w:rFonts w:cs="Calibri"/>
                <w:sz w:val="15"/>
                <w:szCs w:val="15"/>
              </w:rPr>
              <w:t>8.4</w:t>
            </w:r>
          </w:p>
        </w:tc>
      </w:tr>
      <w:tr w:rsidR="00C15F2E" w:rsidRPr="00D96063" w14:paraId="75243C01" w14:textId="77777777" w:rsidTr="0009597E">
        <w:trPr>
          <w:cnfStyle w:val="000000010000" w:firstRow="0" w:lastRow="0" w:firstColumn="0" w:lastColumn="0" w:oddVBand="0" w:evenVBand="0" w:oddHBand="0" w:evenHBand="1" w:firstRowFirstColumn="0" w:firstRowLastColumn="0" w:lastRowFirstColumn="0" w:lastRowLastColumn="0"/>
          <w:trHeight w:val="240"/>
        </w:trPr>
        <w:tc>
          <w:tcPr>
            <w:tcW w:w="704" w:type="dxa"/>
            <w:tcBorders>
              <w:top w:val="nil"/>
              <w:bottom w:val="nil"/>
              <w:right w:val="nil"/>
            </w:tcBorders>
            <w:noWrap/>
            <w:hideMark/>
          </w:tcPr>
          <w:p w14:paraId="1EAA8DBF" w14:textId="77777777" w:rsidR="00C15F2E" w:rsidRPr="00D96063" w:rsidRDefault="00C15F2E" w:rsidP="0009597E">
            <w:pPr>
              <w:jc w:val="left"/>
              <w:rPr>
                <w:rFonts w:cs="Calibri"/>
                <w:sz w:val="15"/>
                <w:szCs w:val="15"/>
              </w:rPr>
            </w:pPr>
            <w:r w:rsidRPr="00D96063">
              <w:rPr>
                <w:rFonts w:cs="Calibri"/>
                <w:sz w:val="15"/>
                <w:szCs w:val="15"/>
              </w:rPr>
              <w:t> </w:t>
            </w:r>
          </w:p>
        </w:tc>
        <w:tc>
          <w:tcPr>
            <w:tcW w:w="2977" w:type="dxa"/>
            <w:tcBorders>
              <w:left w:val="nil"/>
            </w:tcBorders>
            <w:noWrap/>
            <w:hideMark/>
          </w:tcPr>
          <w:p w14:paraId="100CA8A3" w14:textId="77777777" w:rsidR="00C15F2E" w:rsidRPr="00D96063" w:rsidRDefault="00C15F2E" w:rsidP="0009597E">
            <w:pPr>
              <w:jc w:val="left"/>
              <w:rPr>
                <w:rFonts w:cs="Calibri"/>
                <w:sz w:val="15"/>
                <w:szCs w:val="15"/>
              </w:rPr>
            </w:pPr>
            <w:r w:rsidRPr="00D96063">
              <w:rPr>
                <w:rFonts w:cs="Calibri"/>
                <w:sz w:val="15"/>
                <w:szCs w:val="15"/>
              </w:rPr>
              <w:t xml:space="preserve">   8704 Motor vehicles for the transport of goods</w:t>
            </w:r>
          </w:p>
        </w:tc>
        <w:tc>
          <w:tcPr>
            <w:tcW w:w="890" w:type="dxa"/>
            <w:noWrap/>
            <w:hideMark/>
          </w:tcPr>
          <w:p w14:paraId="50AE3D4C" w14:textId="77777777" w:rsidR="00C15F2E" w:rsidRPr="00D96063" w:rsidRDefault="00C15F2E" w:rsidP="00053198">
            <w:pPr>
              <w:jc w:val="right"/>
              <w:rPr>
                <w:rFonts w:cs="Calibri"/>
                <w:sz w:val="15"/>
                <w:szCs w:val="15"/>
              </w:rPr>
            </w:pPr>
            <w:r w:rsidRPr="00D96063">
              <w:rPr>
                <w:rFonts w:cs="Calibri"/>
                <w:sz w:val="15"/>
                <w:szCs w:val="15"/>
              </w:rPr>
              <w:t>2.8</w:t>
            </w:r>
          </w:p>
        </w:tc>
        <w:tc>
          <w:tcPr>
            <w:tcW w:w="890" w:type="dxa"/>
            <w:noWrap/>
            <w:hideMark/>
          </w:tcPr>
          <w:p w14:paraId="47725C68" w14:textId="77777777" w:rsidR="00C15F2E" w:rsidRPr="00D96063" w:rsidRDefault="00C15F2E" w:rsidP="00053198">
            <w:pPr>
              <w:jc w:val="right"/>
              <w:rPr>
                <w:rFonts w:cs="Calibri"/>
                <w:sz w:val="15"/>
                <w:szCs w:val="15"/>
              </w:rPr>
            </w:pPr>
            <w:r w:rsidRPr="00D96063">
              <w:rPr>
                <w:rFonts w:cs="Calibri"/>
                <w:sz w:val="15"/>
                <w:szCs w:val="15"/>
              </w:rPr>
              <w:t>3.0</w:t>
            </w:r>
          </w:p>
        </w:tc>
        <w:tc>
          <w:tcPr>
            <w:tcW w:w="890" w:type="dxa"/>
            <w:noWrap/>
            <w:hideMark/>
          </w:tcPr>
          <w:p w14:paraId="094FECC8" w14:textId="77777777" w:rsidR="00C15F2E" w:rsidRPr="00D96063" w:rsidRDefault="00C15F2E" w:rsidP="00053198">
            <w:pPr>
              <w:jc w:val="right"/>
              <w:rPr>
                <w:rFonts w:cs="Calibri"/>
                <w:sz w:val="15"/>
                <w:szCs w:val="15"/>
              </w:rPr>
            </w:pPr>
            <w:r w:rsidRPr="00D96063">
              <w:rPr>
                <w:rFonts w:cs="Calibri"/>
                <w:sz w:val="15"/>
                <w:szCs w:val="15"/>
              </w:rPr>
              <w:t>4.2</w:t>
            </w:r>
          </w:p>
        </w:tc>
        <w:tc>
          <w:tcPr>
            <w:tcW w:w="890" w:type="dxa"/>
            <w:noWrap/>
            <w:hideMark/>
          </w:tcPr>
          <w:p w14:paraId="5A3B76D1" w14:textId="77777777" w:rsidR="00C15F2E" w:rsidRPr="00D96063" w:rsidRDefault="00C15F2E" w:rsidP="00053198">
            <w:pPr>
              <w:jc w:val="right"/>
              <w:rPr>
                <w:rFonts w:cs="Calibri"/>
                <w:sz w:val="15"/>
                <w:szCs w:val="15"/>
              </w:rPr>
            </w:pPr>
            <w:r w:rsidRPr="00D96063">
              <w:rPr>
                <w:rFonts w:cs="Calibri"/>
                <w:sz w:val="15"/>
                <w:szCs w:val="15"/>
              </w:rPr>
              <w:t>4.3</w:t>
            </w:r>
          </w:p>
        </w:tc>
        <w:tc>
          <w:tcPr>
            <w:tcW w:w="890" w:type="dxa"/>
            <w:noWrap/>
            <w:hideMark/>
          </w:tcPr>
          <w:p w14:paraId="364A18AD" w14:textId="77777777" w:rsidR="00C15F2E" w:rsidRPr="00D96063" w:rsidRDefault="00C15F2E" w:rsidP="00053198">
            <w:pPr>
              <w:jc w:val="right"/>
              <w:rPr>
                <w:rFonts w:cs="Calibri"/>
                <w:sz w:val="15"/>
                <w:szCs w:val="15"/>
              </w:rPr>
            </w:pPr>
            <w:r w:rsidRPr="00D96063">
              <w:rPr>
                <w:rFonts w:cs="Calibri"/>
                <w:sz w:val="15"/>
                <w:szCs w:val="15"/>
              </w:rPr>
              <w:t>4.0</w:t>
            </w:r>
          </w:p>
        </w:tc>
        <w:tc>
          <w:tcPr>
            <w:tcW w:w="890" w:type="dxa"/>
            <w:noWrap/>
            <w:hideMark/>
          </w:tcPr>
          <w:p w14:paraId="53A17C23" w14:textId="77777777" w:rsidR="00C15F2E" w:rsidRPr="00D96063" w:rsidRDefault="00C15F2E" w:rsidP="00053198">
            <w:pPr>
              <w:jc w:val="right"/>
              <w:rPr>
                <w:rFonts w:cs="Calibri"/>
                <w:sz w:val="15"/>
                <w:szCs w:val="15"/>
              </w:rPr>
            </w:pPr>
            <w:r w:rsidRPr="00D96063">
              <w:rPr>
                <w:rFonts w:cs="Calibri"/>
                <w:sz w:val="15"/>
                <w:szCs w:val="15"/>
              </w:rPr>
              <w:t>4.2</w:t>
            </w:r>
          </w:p>
        </w:tc>
      </w:tr>
      <w:tr w:rsidR="00C15F2E" w:rsidRPr="00D96063" w14:paraId="44A5489B" w14:textId="77777777" w:rsidTr="00053198">
        <w:trPr>
          <w:trHeight w:val="240"/>
        </w:trPr>
        <w:tc>
          <w:tcPr>
            <w:tcW w:w="3681" w:type="dxa"/>
            <w:gridSpan w:val="2"/>
            <w:noWrap/>
            <w:hideMark/>
          </w:tcPr>
          <w:p w14:paraId="0A1EE4C8" w14:textId="77777777" w:rsidR="00C15F2E" w:rsidRPr="00D96063" w:rsidRDefault="00C15F2E" w:rsidP="0009597E">
            <w:pPr>
              <w:jc w:val="left"/>
              <w:rPr>
                <w:rFonts w:cs="Calibri"/>
                <w:sz w:val="15"/>
                <w:szCs w:val="15"/>
              </w:rPr>
            </w:pPr>
            <w:r w:rsidRPr="00D96063">
              <w:rPr>
                <w:rFonts w:cs="Calibri"/>
                <w:sz w:val="15"/>
                <w:szCs w:val="15"/>
              </w:rPr>
              <w:t>18 Precision equipment</w:t>
            </w:r>
          </w:p>
        </w:tc>
        <w:tc>
          <w:tcPr>
            <w:tcW w:w="890" w:type="dxa"/>
            <w:noWrap/>
            <w:hideMark/>
          </w:tcPr>
          <w:p w14:paraId="5E3B8E38" w14:textId="77777777" w:rsidR="00C15F2E" w:rsidRPr="00D96063" w:rsidRDefault="00C15F2E" w:rsidP="00053198">
            <w:pPr>
              <w:jc w:val="right"/>
              <w:rPr>
                <w:rFonts w:cs="Calibri"/>
                <w:sz w:val="15"/>
                <w:szCs w:val="15"/>
              </w:rPr>
            </w:pPr>
            <w:r w:rsidRPr="00D96063">
              <w:rPr>
                <w:rFonts w:cs="Calibri"/>
                <w:sz w:val="15"/>
                <w:szCs w:val="15"/>
              </w:rPr>
              <w:t>1.6</w:t>
            </w:r>
          </w:p>
        </w:tc>
        <w:tc>
          <w:tcPr>
            <w:tcW w:w="890" w:type="dxa"/>
            <w:noWrap/>
            <w:hideMark/>
          </w:tcPr>
          <w:p w14:paraId="2DCBD1B6" w14:textId="77777777" w:rsidR="00C15F2E" w:rsidRPr="00D96063" w:rsidRDefault="00C15F2E" w:rsidP="00053198">
            <w:pPr>
              <w:jc w:val="right"/>
              <w:rPr>
                <w:rFonts w:cs="Calibri"/>
                <w:sz w:val="15"/>
                <w:szCs w:val="15"/>
              </w:rPr>
            </w:pPr>
            <w:r w:rsidRPr="00D96063">
              <w:rPr>
                <w:rFonts w:cs="Calibri"/>
                <w:sz w:val="15"/>
                <w:szCs w:val="15"/>
              </w:rPr>
              <w:t>1.6</w:t>
            </w:r>
          </w:p>
        </w:tc>
        <w:tc>
          <w:tcPr>
            <w:tcW w:w="890" w:type="dxa"/>
            <w:noWrap/>
            <w:hideMark/>
          </w:tcPr>
          <w:p w14:paraId="7F390503" w14:textId="77777777" w:rsidR="00C15F2E" w:rsidRPr="00D96063" w:rsidRDefault="00C15F2E" w:rsidP="00053198">
            <w:pPr>
              <w:jc w:val="right"/>
              <w:rPr>
                <w:rFonts w:cs="Calibri"/>
                <w:sz w:val="15"/>
                <w:szCs w:val="15"/>
              </w:rPr>
            </w:pPr>
            <w:r w:rsidRPr="00D96063">
              <w:rPr>
                <w:rFonts w:cs="Calibri"/>
                <w:sz w:val="15"/>
                <w:szCs w:val="15"/>
              </w:rPr>
              <w:t>3.8</w:t>
            </w:r>
          </w:p>
        </w:tc>
        <w:tc>
          <w:tcPr>
            <w:tcW w:w="890" w:type="dxa"/>
            <w:noWrap/>
            <w:hideMark/>
          </w:tcPr>
          <w:p w14:paraId="49823262" w14:textId="77777777" w:rsidR="00C15F2E" w:rsidRPr="00D96063" w:rsidRDefault="00C15F2E" w:rsidP="00053198">
            <w:pPr>
              <w:jc w:val="right"/>
              <w:rPr>
                <w:rFonts w:cs="Calibri"/>
                <w:sz w:val="15"/>
                <w:szCs w:val="15"/>
              </w:rPr>
            </w:pPr>
            <w:r w:rsidRPr="00D96063">
              <w:rPr>
                <w:rFonts w:cs="Calibri"/>
                <w:sz w:val="15"/>
                <w:szCs w:val="15"/>
              </w:rPr>
              <w:t>1.6</w:t>
            </w:r>
          </w:p>
        </w:tc>
        <w:tc>
          <w:tcPr>
            <w:tcW w:w="890" w:type="dxa"/>
            <w:noWrap/>
            <w:hideMark/>
          </w:tcPr>
          <w:p w14:paraId="22D3C1D4" w14:textId="77777777" w:rsidR="00C15F2E" w:rsidRPr="00D96063" w:rsidRDefault="00C15F2E" w:rsidP="00053198">
            <w:pPr>
              <w:jc w:val="right"/>
              <w:rPr>
                <w:rFonts w:cs="Calibri"/>
                <w:sz w:val="15"/>
                <w:szCs w:val="15"/>
              </w:rPr>
            </w:pPr>
            <w:r w:rsidRPr="00D96063">
              <w:rPr>
                <w:rFonts w:cs="Calibri"/>
                <w:sz w:val="15"/>
                <w:szCs w:val="15"/>
              </w:rPr>
              <w:t>2.0</w:t>
            </w:r>
          </w:p>
        </w:tc>
        <w:tc>
          <w:tcPr>
            <w:tcW w:w="890" w:type="dxa"/>
            <w:noWrap/>
            <w:hideMark/>
          </w:tcPr>
          <w:p w14:paraId="30BFAEE5" w14:textId="77777777" w:rsidR="00C15F2E" w:rsidRPr="00D96063" w:rsidRDefault="00C15F2E" w:rsidP="00053198">
            <w:pPr>
              <w:jc w:val="right"/>
              <w:rPr>
                <w:rFonts w:cs="Calibri"/>
                <w:sz w:val="15"/>
                <w:szCs w:val="15"/>
              </w:rPr>
            </w:pPr>
            <w:r w:rsidRPr="00D96063">
              <w:rPr>
                <w:rFonts w:cs="Calibri"/>
                <w:sz w:val="15"/>
                <w:szCs w:val="15"/>
              </w:rPr>
              <w:t>1.6</w:t>
            </w:r>
          </w:p>
        </w:tc>
      </w:tr>
      <w:tr w:rsidR="00C15F2E" w:rsidRPr="00D96063" w14:paraId="5EA8971A"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hideMark/>
          </w:tcPr>
          <w:p w14:paraId="13DF2BBE" w14:textId="77777777" w:rsidR="00C15F2E" w:rsidRPr="00D96063" w:rsidRDefault="00C15F2E" w:rsidP="0009597E">
            <w:pPr>
              <w:jc w:val="left"/>
              <w:rPr>
                <w:rFonts w:cs="Calibri"/>
                <w:sz w:val="15"/>
                <w:szCs w:val="15"/>
              </w:rPr>
            </w:pPr>
            <w:r w:rsidRPr="00D96063">
              <w:rPr>
                <w:rFonts w:cs="Calibri"/>
                <w:sz w:val="15"/>
                <w:szCs w:val="15"/>
              </w:rPr>
              <w:t>19 Arms and ammunition</w:t>
            </w:r>
          </w:p>
        </w:tc>
        <w:tc>
          <w:tcPr>
            <w:tcW w:w="890" w:type="dxa"/>
            <w:noWrap/>
            <w:hideMark/>
          </w:tcPr>
          <w:p w14:paraId="739DCBCC" w14:textId="77777777" w:rsidR="00C15F2E" w:rsidRPr="00D96063" w:rsidRDefault="00C15F2E" w:rsidP="00053198">
            <w:pPr>
              <w:jc w:val="right"/>
              <w:rPr>
                <w:rFonts w:cs="Calibri"/>
                <w:sz w:val="15"/>
                <w:szCs w:val="15"/>
              </w:rPr>
            </w:pPr>
            <w:r w:rsidRPr="00D96063">
              <w:rPr>
                <w:rFonts w:cs="Calibri"/>
                <w:sz w:val="15"/>
                <w:szCs w:val="15"/>
              </w:rPr>
              <w:t>1.1</w:t>
            </w:r>
          </w:p>
        </w:tc>
        <w:tc>
          <w:tcPr>
            <w:tcW w:w="890" w:type="dxa"/>
            <w:noWrap/>
            <w:hideMark/>
          </w:tcPr>
          <w:p w14:paraId="07A03EA9" w14:textId="77777777" w:rsidR="00C15F2E" w:rsidRPr="00D96063" w:rsidRDefault="00C15F2E" w:rsidP="00053198">
            <w:pPr>
              <w:jc w:val="right"/>
              <w:rPr>
                <w:rFonts w:cs="Calibri"/>
                <w:sz w:val="15"/>
                <w:szCs w:val="15"/>
              </w:rPr>
            </w:pPr>
            <w:r w:rsidRPr="00D96063">
              <w:rPr>
                <w:rFonts w:cs="Calibri"/>
                <w:sz w:val="15"/>
                <w:szCs w:val="15"/>
              </w:rPr>
              <w:t>1.4</w:t>
            </w:r>
          </w:p>
        </w:tc>
        <w:tc>
          <w:tcPr>
            <w:tcW w:w="890" w:type="dxa"/>
            <w:noWrap/>
            <w:hideMark/>
          </w:tcPr>
          <w:p w14:paraId="29907C17" w14:textId="77777777" w:rsidR="00C15F2E" w:rsidRPr="00D96063" w:rsidRDefault="00C15F2E" w:rsidP="00053198">
            <w:pPr>
              <w:jc w:val="right"/>
              <w:rPr>
                <w:rFonts w:cs="Calibri"/>
                <w:sz w:val="15"/>
                <w:szCs w:val="15"/>
              </w:rPr>
            </w:pPr>
            <w:r w:rsidRPr="00D96063">
              <w:rPr>
                <w:rFonts w:cs="Calibri"/>
                <w:sz w:val="15"/>
                <w:szCs w:val="15"/>
              </w:rPr>
              <w:t>1.8</w:t>
            </w:r>
          </w:p>
        </w:tc>
        <w:tc>
          <w:tcPr>
            <w:tcW w:w="890" w:type="dxa"/>
            <w:noWrap/>
            <w:hideMark/>
          </w:tcPr>
          <w:p w14:paraId="26F535A8" w14:textId="77777777" w:rsidR="00C15F2E" w:rsidRPr="00D96063" w:rsidRDefault="00C15F2E" w:rsidP="00053198">
            <w:pPr>
              <w:jc w:val="right"/>
              <w:rPr>
                <w:rFonts w:cs="Calibri"/>
                <w:sz w:val="15"/>
                <w:szCs w:val="15"/>
              </w:rPr>
            </w:pPr>
            <w:r w:rsidRPr="00D96063">
              <w:rPr>
                <w:rFonts w:cs="Calibri"/>
                <w:sz w:val="15"/>
                <w:szCs w:val="15"/>
              </w:rPr>
              <w:t>0.1</w:t>
            </w:r>
          </w:p>
        </w:tc>
        <w:tc>
          <w:tcPr>
            <w:tcW w:w="890" w:type="dxa"/>
            <w:noWrap/>
            <w:hideMark/>
          </w:tcPr>
          <w:p w14:paraId="28182375" w14:textId="77777777" w:rsidR="00C15F2E" w:rsidRPr="00D96063" w:rsidRDefault="00C15F2E" w:rsidP="00053198">
            <w:pPr>
              <w:jc w:val="right"/>
              <w:rPr>
                <w:rFonts w:cs="Calibri"/>
                <w:sz w:val="15"/>
                <w:szCs w:val="15"/>
              </w:rPr>
            </w:pPr>
            <w:r w:rsidRPr="00D96063">
              <w:rPr>
                <w:rFonts w:cs="Calibri"/>
                <w:sz w:val="15"/>
                <w:szCs w:val="15"/>
              </w:rPr>
              <w:t>0.1</w:t>
            </w:r>
          </w:p>
        </w:tc>
        <w:tc>
          <w:tcPr>
            <w:tcW w:w="890" w:type="dxa"/>
            <w:noWrap/>
            <w:hideMark/>
          </w:tcPr>
          <w:p w14:paraId="41150689" w14:textId="77777777" w:rsidR="00C15F2E" w:rsidRPr="00D96063" w:rsidRDefault="00C15F2E" w:rsidP="00053198">
            <w:pPr>
              <w:jc w:val="right"/>
              <w:rPr>
                <w:rFonts w:cs="Calibri"/>
                <w:sz w:val="15"/>
                <w:szCs w:val="15"/>
              </w:rPr>
            </w:pPr>
            <w:r w:rsidRPr="00D96063">
              <w:rPr>
                <w:rFonts w:cs="Calibri"/>
                <w:sz w:val="15"/>
                <w:szCs w:val="15"/>
              </w:rPr>
              <w:t>0.1</w:t>
            </w:r>
          </w:p>
        </w:tc>
      </w:tr>
      <w:tr w:rsidR="00C15F2E" w:rsidRPr="00D96063" w14:paraId="04BE7952" w14:textId="77777777" w:rsidTr="00053198">
        <w:trPr>
          <w:trHeight w:val="240"/>
        </w:trPr>
        <w:tc>
          <w:tcPr>
            <w:tcW w:w="3681" w:type="dxa"/>
            <w:gridSpan w:val="2"/>
            <w:noWrap/>
            <w:hideMark/>
          </w:tcPr>
          <w:p w14:paraId="04B9986A" w14:textId="77777777" w:rsidR="00C15F2E" w:rsidRPr="00D96063" w:rsidRDefault="00C15F2E" w:rsidP="0009597E">
            <w:pPr>
              <w:jc w:val="left"/>
              <w:rPr>
                <w:rFonts w:cs="Calibri"/>
                <w:sz w:val="15"/>
                <w:szCs w:val="15"/>
              </w:rPr>
            </w:pPr>
            <w:r w:rsidRPr="00D96063">
              <w:rPr>
                <w:rFonts w:cs="Calibri"/>
                <w:sz w:val="15"/>
                <w:szCs w:val="15"/>
              </w:rPr>
              <w:t>20 Miscellaneous manufactured articles</w:t>
            </w:r>
          </w:p>
        </w:tc>
        <w:tc>
          <w:tcPr>
            <w:tcW w:w="890" w:type="dxa"/>
            <w:noWrap/>
            <w:hideMark/>
          </w:tcPr>
          <w:p w14:paraId="5F18D76C" w14:textId="77777777" w:rsidR="00C15F2E" w:rsidRPr="00D96063" w:rsidRDefault="00C15F2E" w:rsidP="00053198">
            <w:pPr>
              <w:jc w:val="right"/>
              <w:rPr>
                <w:rFonts w:cs="Calibri"/>
                <w:sz w:val="15"/>
                <w:szCs w:val="15"/>
              </w:rPr>
            </w:pPr>
            <w:r w:rsidRPr="00D96063">
              <w:rPr>
                <w:rFonts w:cs="Calibri"/>
                <w:sz w:val="15"/>
                <w:szCs w:val="15"/>
              </w:rPr>
              <w:t>1.1</w:t>
            </w:r>
          </w:p>
        </w:tc>
        <w:tc>
          <w:tcPr>
            <w:tcW w:w="890" w:type="dxa"/>
            <w:noWrap/>
            <w:hideMark/>
          </w:tcPr>
          <w:p w14:paraId="570D3DEC" w14:textId="77777777" w:rsidR="00C15F2E" w:rsidRPr="00D96063" w:rsidRDefault="00C15F2E" w:rsidP="00053198">
            <w:pPr>
              <w:jc w:val="right"/>
              <w:rPr>
                <w:rFonts w:cs="Calibri"/>
                <w:sz w:val="15"/>
                <w:szCs w:val="15"/>
              </w:rPr>
            </w:pPr>
            <w:r w:rsidRPr="00D96063">
              <w:rPr>
                <w:rFonts w:cs="Calibri"/>
                <w:sz w:val="15"/>
                <w:szCs w:val="15"/>
              </w:rPr>
              <w:t>1.3</w:t>
            </w:r>
          </w:p>
        </w:tc>
        <w:tc>
          <w:tcPr>
            <w:tcW w:w="890" w:type="dxa"/>
            <w:noWrap/>
            <w:hideMark/>
          </w:tcPr>
          <w:p w14:paraId="320D71F5" w14:textId="77777777" w:rsidR="00C15F2E" w:rsidRPr="00D96063" w:rsidRDefault="00C15F2E" w:rsidP="00053198">
            <w:pPr>
              <w:jc w:val="right"/>
              <w:rPr>
                <w:rFonts w:cs="Calibri"/>
                <w:sz w:val="15"/>
                <w:szCs w:val="15"/>
              </w:rPr>
            </w:pPr>
            <w:r w:rsidRPr="00D96063">
              <w:rPr>
                <w:rFonts w:cs="Calibri"/>
                <w:sz w:val="15"/>
                <w:szCs w:val="15"/>
              </w:rPr>
              <w:t>1.7</w:t>
            </w:r>
          </w:p>
        </w:tc>
        <w:tc>
          <w:tcPr>
            <w:tcW w:w="890" w:type="dxa"/>
            <w:noWrap/>
            <w:hideMark/>
          </w:tcPr>
          <w:p w14:paraId="48D99B12" w14:textId="77777777" w:rsidR="00C15F2E" w:rsidRPr="00D96063" w:rsidRDefault="00C15F2E" w:rsidP="00053198">
            <w:pPr>
              <w:jc w:val="right"/>
              <w:rPr>
                <w:rFonts w:cs="Calibri"/>
                <w:sz w:val="15"/>
                <w:szCs w:val="15"/>
              </w:rPr>
            </w:pPr>
            <w:r w:rsidRPr="00D96063">
              <w:rPr>
                <w:rFonts w:cs="Calibri"/>
                <w:sz w:val="15"/>
                <w:szCs w:val="15"/>
              </w:rPr>
              <w:t>1.4</w:t>
            </w:r>
          </w:p>
        </w:tc>
        <w:tc>
          <w:tcPr>
            <w:tcW w:w="890" w:type="dxa"/>
            <w:noWrap/>
            <w:hideMark/>
          </w:tcPr>
          <w:p w14:paraId="5F1EDDED" w14:textId="77777777" w:rsidR="00C15F2E" w:rsidRPr="00D96063" w:rsidRDefault="00C15F2E" w:rsidP="00053198">
            <w:pPr>
              <w:jc w:val="right"/>
              <w:rPr>
                <w:rFonts w:cs="Calibri"/>
                <w:sz w:val="15"/>
                <w:szCs w:val="15"/>
              </w:rPr>
            </w:pPr>
            <w:r w:rsidRPr="00D96063">
              <w:rPr>
                <w:rFonts w:cs="Calibri"/>
                <w:sz w:val="15"/>
                <w:szCs w:val="15"/>
              </w:rPr>
              <w:t>1.9</w:t>
            </w:r>
          </w:p>
        </w:tc>
        <w:tc>
          <w:tcPr>
            <w:tcW w:w="890" w:type="dxa"/>
            <w:noWrap/>
            <w:hideMark/>
          </w:tcPr>
          <w:p w14:paraId="3E34A583" w14:textId="77777777" w:rsidR="00C15F2E" w:rsidRPr="00D96063" w:rsidRDefault="00C15F2E" w:rsidP="00053198">
            <w:pPr>
              <w:jc w:val="right"/>
              <w:rPr>
                <w:rFonts w:cs="Calibri"/>
                <w:sz w:val="15"/>
                <w:szCs w:val="15"/>
              </w:rPr>
            </w:pPr>
            <w:r w:rsidRPr="00D96063">
              <w:rPr>
                <w:rFonts w:cs="Calibri"/>
                <w:sz w:val="15"/>
                <w:szCs w:val="15"/>
              </w:rPr>
              <w:t>1.3</w:t>
            </w:r>
          </w:p>
        </w:tc>
      </w:tr>
      <w:tr w:rsidR="00C15F2E" w:rsidRPr="00D96063" w14:paraId="7B3E7B08"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3681" w:type="dxa"/>
            <w:gridSpan w:val="2"/>
            <w:noWrap/>
            <w:hideMark/>
          </w:tcPr>
          <w:p w14:paraId="1A40F364" w14:textId="77777777" w:rsidR="00C15F2E" w:rsidRPr="00D96063" w:rsidRDefault="00C15F2E" w:rsidP="0009597E">
            <w:pPr>
              <w:jc w:val="left"/>
              <w:rPr>
                <w:rFonts w:cs="Calibri"/>
                <w:sz w:val="15"/>
                <w:szCs w:val="15"/>
              </w:rPr>
            </w:pPr>
            <w:r w:rsidRPr="00D96063">
              <w:rPr>
                <w:rFonts w:cs="Calibri"/>
                <w:sz w:val="15"/>
                <w:szCs w:val="15"/>
              </w:rPr>
              <w:t>21 Works of art, etc.</w:t>
            </w:r>
          </w:p>
        </w:tc>
        <w:tc>
          <w:tcPr>
            <w:tcW w:w="890" w:type="dxa"/>
            <w:noWrap/>
            <w:hideMark/>
          </w:tcPr>
          <w:p w14:paraId="48C60A6F"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708B2C9F"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263BC9F9"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5EC012D2"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099EF96E"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32D39D18" w14:textId="77777777" w:rsidR="00C15F2E" w:rsidRPr="00D96063" w:rsidRDefault="00C15F2E" w:rsidP="00053198">
            <w:pPr>
              <w:jc w:val="right"/>
              <w:rPr>
                <w:rFonts w:cs="Calibri"/>
                <w:sz w:val="15"/>
                <w:szCs w:val="15"/>
              </w:rPr>
            </w:pPr>
            <w:r w:rsidRPr="00D96063">
              <w:rPr>
                <w:rFonts w:cs="Calibri"/>
                <w:sz w:val="15"/>
                <w:szCs w:val="15"/>
              </w:rPr>
              <w:t>0.0</w:t>
            </w:r>
          </w:p>
        </w:tc>
      </w:tr>
      <w:tr w:rsidR="00C15F2E" w:rsidRPr="00D96063" w14:paraId="0AF3D559" w14:textId="77777777" w:rsidTr="0009597E">
        <w:trPr>
          <w:trHeight w:val="240"/>
        </w:trPr>
        <w:tc>
          <w:tcPr>
            <w:tcW w:w="704" w:type="dxa"/>
            <w:tcBorders>
              <w:top w:val="nil"/>
              <w:bottom w:val="single" w:sz="4" w:space="0" w:color="auto"/>
              <w:right w:val="nil"/>
            </w:tcBorders>
            <w:noWrap/>
            <w:hideMark/>
          </w:tcPr>
          <w:p w14:paraId="2702CF87" w14:textId="77777777" w:rsidR="00C15F2E" w:rsidRPr="00D96063" w:rsidRDefault="00C15F2E" w:rsidP="0009597E">
            <w:pPr>
              <w:jc w:val="left"/>
              <w:rPr>
                <w:rFonts w:cs="Calibri"/>
                <w:sz w:val="15"/>
                <w:szCs w:val="15"/>
              </w:rPr>
            </w:pPr>
            <w:r w:rsidRPr="00D96063">
              <w:rPr>
                <w:rFonts w:cs="Calibri"/>
                <w:sz w:val="15"/>
                <w:szCs w:val="15"/>
              </w:rPr>
              <w:t>Other</w:t>
            </w:r>
          </w:p>
        </w:tc>
        <w:tc>
          <w:tcPr>
            <w:tcW w:w="2977" w:type="dxa"/>
            <w:tcBorders>
              <w:left w:val="nil"/>
            </w:tcBorders>
            <w:noWrap/>
            <w:hideMark/>
          </w:tcPr>
          <w:p w14:paraId="31E03DFE" w14:textId="77777777" w:rsidR="00C15F2E" w:rsidRPr="00D96063" w:rsidRDefault="00C15F2E" w:rsidP="0009597E">
            <w:pPr>
              <w:jc w:val="left"/>
              <w:rPr>
                <w:rFonts w:cs="Calibri"/>
                <w:sz w:val="15"/>
                <w:szCs w:val="15"/>
              </w:rPr>
            </w:pPr>
            <w:r w:rsidRPr="00D96063">
              <w:rPr>
                <w:rFonts w:cs="Calibri"/>
                <w:sz w:val="15"/>
                <w:szCs w:val="15"/>
              </w:rPr>
              <w:t> </w:t>
            </w:r>
          </w:p>
        </w:tc>
        <w:tc>
          <w:tcPr>
            <w:tcW w:w="890" w:type="dxa"/>
            <w:noWrap/>
            <w:hideMark/>
          </w:tcPr>
          <w:p w14:paraId="02B70BD9"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434E3DC0"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2BA3D841"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47ABF680" w14:textId="77777777" w:rsidR="00C15F2E" w:rsidRPr="00D96063" w:rsidRDefault="00C15F2E" w:rsidP="00053198">
            <w:pPr>
              <w:jc w:val="right"/>
              <w:rPr>
                <w:rFonts w:cs="Calibri"/>
                <w:sz w:val="15"/>
                <w:szCs w:val="15"/>
              </w:rPr>
            </w:pPr>
            <w:r w:rsidRPr="00D96063">
              <w:rPr>
                <w:rFonts w:cs="Calibri"/>
                <w:sz w:val="15"/>
                <w:szCs w:val="15"/>
              </w:rPr>
              <w:t>0.0</w:t>
            </w:r>
          </w:p>
        </w:tc>
        <w:tc>
          <w:tcPr>
            <w:tcW w:w="890" w:type="dxa"/>
            <w:noWrap/>
            <w:hideMark/>
          </w:tcPr>
          <w:p w14:paraId="2B1C71E1" w14:textId="77777777" w:rsidR="00C15F2E" w:rsidRPr="00D96063" w:rsidRDefault="00C15F2E" w:rsidP="00053198">
            <w:pPr>
              <w:jc w:val="right"/>
              <w:rPr>
                <w:rFonts w:cs="Calibri"/>
                <w:sz w:val="15"/>
                <w:szCs w:val="15"/>
              </w:rPr>
            </w:pPr>
            <w:r w:rsidRPr="00D96063">
              <w:rPr>
                <w:rFonts w:cs="Calibri"/>
                <w:sz w:val="15"/>
                <w:szCs w:val="15"/>
              </w:rPr>
              <w:t>0.1</w:t>
            </w:r>
          </w:p>
        </w:tc>
        <w:tc>
          <w:tcPr>
            <w:tcW w:w="890" w:type="dxa"/>
            <w:noWrap/>
            <w:hideMark/>
          </w:tcPr>
          <w:p w14:paraId="7D49955C" w14:textId="77777777" w:rsidR="00C15F2E" w:rsidRPr="00D96063" w:rsidRDefault="00C15F2E" w:rsidP="00053198">
            <w:pPr>
              <w:jc w:val="right"/>
              <w:rPr>
                <w:rFonts w:cs="Calibri"/>
                <w:sz w:val="15"/>
                <w:szCs w:val="15"/>
              </w:rPr>
            </w:pPr>
            <w:r w:rsidRPr="00D96063">
              <w:rPr>
                <w:rFonts w:cs="Calibri"/>
                <w:sz w:val="15"/>
                <w:szCs w:val="15"/>
              </w:rPr>
              <w:t>0.0</w:t>
            </w:r>
          </w:p>
        </w:tc>
      </w:tr>
    </w:tbl>
    <w:p w14:paraId="474C729A" w14:textId="77777777" w:rsidR="00C15F2E" w:rsidRPr="00D96063" w:rsidRDefault="00C15F2E" w:rsidP="0038223D">
      <w:pPr>
        <w:pStyle w:val="NoteText"/>
        <w:spacing w:before="120" w:after="240"/>
        <w:rPr>
          <w:lang w:eastAsia="en-GB"/>
        </w:rPr>
      </w:pPr>
      <w:r w:rsidRPr="00D96063">
        <w:rPr>
          <w:lang w:eastAsia="en-GB"/>
        </w:rPr>
        <w:t>Source:</w:t>
      </w:r>
      <w:r w:rsidRPr="00D96063">
        <w:rPr>
          <w:lang w:eastAsia="en-GB"/>
        </w:rPr>
        <w:tab/>
        <w:t>WTO Secretariat calculations, based on UN Comtrade.</w:t>
      </w:r>
    </w:p>
    <w:p w14:paraId="5AD54B6B" w14:textId="77777777" w:rsidR="00C15F2E" w:rsidRPr="00D96063" w:rsidRDefault="00C15F2E" w:rsidP="0038223D">
      <w:pPr>
        <w:pStyle w:val="NoteText"/>
        <w:spacing w:before="120" w:after="240"/>
        <w:rPr>
          <w:lang w:eastAsia="en-GB"/>
        </w:rPr>
      </w:pPr>
      <w:r w:rsidRPr="00D96063">
        <w:rPr>
          <w:lang w:eastAsia="en-GB"/>
        </w:rPr>
        <w:br w:type="page"/>
      </w:r>
    </w:p>
    <w:p w14:paraId="43BB4108" w14:textId="1F320304" w:rsidR="00C15F2E" w:rsidRPr="00D96063" w:rsidRDefault="00C15F2E" w:rsidP="0038223D">
      <w:pPr>
        <w:pStyle w:val="Caption"/>
      </w:pPr>
      <w:bookmarkStart w:id="281" w:name="_Toc103607999"/>
      <w:r w:rsidRPr="00D96063">
        <w:lastRenderedPageBreak/>
        <w:t>Table A1.</w:t>
      </w:r>
      <w:fldSimple w:instr=" SEQ Table_A1. \* ARABIC ">
        <w:r w:rsidR="004B63B1">
          <w:rPr>
            <w:noProof/>
          </w:rPr>
          <w:t>3</w:t>
        </w:r>
      </w:fldSimple>
      <w:r w:rsidRPr="00D96063">
        <w:t xml:space="preserve"> Merchandise exports by destination, 2014-19</w:t>
      </w:r>
      <w:bookmarkEnd w:id="281"/>
    </w:p>
    <w:tbl>
      <w:tblPr>
        <w:tblStyle w:val="WTOTable1"/>
        <w:tblW w:w="5000" w:type="pct"/>
        <w:tblLook w:val="04A0" w:firstRow="1" w:lastRow="0" w:firstColumn="1" w:lastColumn="0" w:noHBand="0" w:noVBand="1"/>
      </w:tblPr>
      <w:tblGrid>
        <w:gridCol w:w="3120"/>
        <w:gridCol w:w="983"/>
        <w:gridCol w:w="983"/>
        <w:gridCol w:w="983"/>
        <w:gridCol w:w="983"/>
        <w:gridCol w:w="983"/>
        <w:gridCol w:w="981"/>
      </w:tblGrid>
      <w:tr w:rsidR="00C15F2E" w:rsidRPr="00D96063" w14:paraId="6EA4DD07" w14:textId="77777777" w:rsidTr="00053198">
        <w:trPr>
          <w:cnfStyle w:val="100000000000" w:firstRow="1" w:lastRow="0" w:firstColumn="0" w:lastColumn="0" w:oddVBand="0" w:evenVBand="0" w:oddHBand="0" w:evenHBand="0" w:firstRowFirstColumn="0" w:firstRowLastColumn="0" w:lastRowFirstColumn="0" w:lastRowLastColumn="0"/>
          <w:trHeight w:val="240"/>
        </w:trPr>
        <w:tc>
          <w:tcPr>
            <w:tcW w:w="1731" w:type="pct"/>
            <w:noWrap/>
            <w:hideMark/>
          </w:tcPr>
          <w:p w14:paraId="01BA9EBC" w14:textId="77777777" w:rsidR="00C15F2E" w:rsidRPr="00D96063" w:rsidRDefault="00C15F2E" w:rsidP="00053198">
            <w:pPr>
              <w:jc w:val="center"/>
              <w:rPr>
                <w:rFonts w:cs="Arial"/>
                <w:sz w:val="16"/>
                <w:szCs w:val="16"/>
              </w:rPr>
            </w:pPr>
          </w:p>
        </w:tc>
        <w:tc>
          <w:tcPr>
            <w:tcW w:w="545" w:type="pct"/>
            <w:noWrap/>
            <w:hideMark/>
          </w:tcPr>
          <w:p w14:paraId="6F684911" w14:textId="77777777" w:rsidR="00C15F2E" w:rsidRPr="00D96063" w:rsidRDefault="00C15F2E" w:rsidP="0009597E">
            <w:pPr>
              <w:jc w:val="right"/>
              <w:rPr>
                <w:rFonts w:cs="Arial"/>
                <w:sz w:val="16"/>
                <w:szCs w:val="16"/>
              </w:rPr>
            </w:pPr>
            <w:r w:rsidRPr="00D96063">
              <w:rPr>
                <w:rFonts w:cs="Arial"/>
                <w:sz w:val="16"/>
                <w:szCs w:val="16"/>
              </w:rPr>
              <w:t>2014</w:t>
            </w:r>
          </w:p>
        </w:tc>
        <w:tc>
          <w:tcPr>
            <w:tcW w:w="545" w:type="pct"/>
            <w:noWrap/>
            <w:hideMark/>
          </w:tcPr>
          <w:p w14:paraId="0EC808EB" w14:textId="77777777" w:rsidR="00C15F2E" w:rsidRPr="00D96063" w:rsidRDefault="00C15F2E" w:rsidP="0009597E">
            <w:pPr>
              <w:jc w:val="right"/>
              <w:rPr>
                <w:rFonts w:cs="Arial"/>
                <w:sz w:val="16"/>
                <w:szCs w:val="16"/>
              </w:rPr>
            </w:pPr>
            <w:r w:rsidRPr="00D96063">
              <w:rPr>
                <w:rFonts w:cs="Arial"/>
                <w:sz w:val="16"/>
                <w:szCs w:val="16"/>
              </w:rPr>
              <w:t>2015</w:t>
            </w:r>
          </w:p>
        </w:tc>
        <w:tc>
          <w:tcPr>
            <w:tcW w:w="545" w:type="pct"/>
            <w:noWrap/>
            <w:hideMark/>
          </w:tcPr>
          <w:p w14:paraId="2B0ACD9A" w14:textId="77777777" w:rsidR="00C15F2E" w:rsidRPr="00D96063" w:rsidRDefault="00C15F2E" w:rsidP="0009597E">
            <w:pPr>
              <w:jc w:val="right"/>
              <w:rPr>
                <w:rFonts w:cs="Arial"/>
                <w:sz w:val="16"/>
                <w:szCs w:val="16"/>
              </w:rPr>
            </w:pPr>
            <w:r w:rsidRPr="00D96063">
              <w:rPr>
                <w:rFonts w:cs="Arial"/>
                <w:sz w:val="16"/>
                <w:szCs w:val="16"/>
              </w:rPr>
              <w:t>2016</w:t>
            </w:r>
          </w:p>
        </w:tc>
        <w:tc>
          <w:tcPr>
            <w:tcW w:w="545" w:type="pct"/>
            <w:noWrap/>
            <w:hideMark/>
          </w:tcPr>
          <w:p w14:paraId="587E698E" w14:textId="77777777" w:rsidR="00C15F2E" w:rsidRPr="00D96063" w:rsidRDefault="00C15F2E" w:rsidP="0009597E">
            <w:pPr>
              <w:jc w:val="right"/>
              <w:rPr>
                <w:rFonts w:cs="Arial"/>
                <w:sz w:val="16"/>
                <w:szCs w:val="16"/>
              </w:rPr>
            </w:pPr>
            <w:r w:rsidRPr="00D96063">
              <w:rPr>
                <w:rFonts w:cs="Arial"/>
                <w:sz w:val="16"/>
                <w:szCs w:val="16"/>
              </w:rPr>
              <w:t>2017</w:t>
            </w:r>
          </w:p>
        </w:tc>
        <w:tc>
          <w:tcPr>
            <w:tcW w:w="545" w:type="pct"/>
            <w:noWrap/>
            <w:hideMark/>
          </w:tcPr>
          <w:p w14:paraId="04A459E9" w14:textId="77777777" w:rsidR="00C15F2E" w:rsidRPr="00D96063" w:rsidRDefault="00C15F2E" w:rsidP="0009597E">
            <w:pPr>
              <w:jc w:val="right"/>
              <w:rPr>
                <w:rFonts w:cs="Arial"/>
                <w:sz w:val="16"/>
                <w:szCs w:val="16"/>
              </w:rPr>
            </w:pPr>
            <w:r w:rsidRPr="00D96063">
              <w:rPr>
                <w:rFonts w:cs="Arial"/>
                <w:sz w:val="16"/>
                <w:szCs w:val="16"/>
              </w:rPr>
              <w:t>2018</w:t>
            </w:r>
          </w:p>
        </w:tc>
        <w:tc>
          <w:tcPr>
            <w:tcW w:w="545" w:type="pct"/>
            <w:noWrap/>
            <w:hideMark/>
          </w:tcPr>
          <w:p w14:paraId="3019F3A5" w14:textId="77777777" w:rsidR="00C15F2E" w:rsidRPr="00D96063" w:rsidRDefault="00C15F2E" w:rsidP="0009597E">
            <w:pPr>
              <w:jc w:val="right"/>
              <w:rPr>
                <w:rFonts w:cs="Arial"/>
                <w:sz w:val="16"/>
                <w:szCs w:val="16"/>
              </w:rPr>
            </w:pPr>
            <w:r w:rsidRPr="00D96063">
              <w:rPr>
                <w:rFonts w:cs="Arial"/>
                <w:sz w:val="16"/>
                <w:szCs w:val="16"/>
              </w:rPr>
              <w:t>2019</w:t>
            </w:r>
          </w:p>
        </w:tc>
      </w:tr>
      <w:tr w:rsidR="00C15F2E" w:rsidRPr="00D96063" w14:paraId="4BFDB8E1" w14:textId="77777777" w:rsidTr="00053198">
        <w:trPr>
          <w:trHeight w:val="240"/>
        </w:trPr>
        <w:tc>
          <w:tcPr>
            <w:tcW w:w="1731" w:type="pct"/>
            <w:noWrap/>
            <w:hideMark/>
          </w:tcPr>
          <w:p w14:paraId="45C03873" w14:textId="77777777" w:rsidR="00C15F2E" w:rsidRPr="00D96063" w:rsidRDefault="00C15F2E" w:rsidP="00053198">
            <w:pPr>
              <w:jc w:val="left"/>
              <w:rPr>
                <w:rFonts w:cs="Arial"/>
                <w:b/>
                <w:bCs/>
                <w:sz w:val="16"/>
                <w:szCs w:val="16"/>
              </w:rPr>
            </w:pPr>
            <w:r w:rsidRPr="00D96063">
              <w:rPr>
                <w:rFonts w:cs="Arial"/>
                <w:b/>
                <w:bCs/>
                <w:sz w:val="16"/>
                <w:szCs w:val="16"/>
              </w:rPr>
              <w:t>Total exports (USD million)</w:t>
            </w:r>
          </w:p>
        </w:tc>
        <w:tc>
          <w:tcPr>
            <w:tcW w:w="545" w:type="pct"/>
            <w:noWrap/>
            <w:hideMark/>
          </w:tcPr>
          <w:p w14:paraId="7A42649F" w14:textId="77777777" w:rsidR="00C15F2E" w:rsidRPr="00D96063" w:rsidRDefault="00C15F2E" w:rsidP="00053198">
            <w:pPr>
              <w:jc w:val="right"/>
              <w:rPr>
                <w:rFonts w:cs="Arial"/>
                <w:b/>
                <w:bCs/>
                <w:sz w:val="16"/>
                <w:szCs w:val="16"/>
              </w:rPr>
            </w:pPr>
            <w:r w:rsidRPr="00D96063">
              <w:rPr>
                <w:rFonts w:cs="Arial"/>
                <w:b/>
                <w:bCs/>
                <w:sz w:val="16"/>
                <w:szCs w:val="16"/>
              </w:rPr>
              <w:t>15,504</w:t>
            </w:r>
          </w:p>
        </w:tc>
        <w:tc>
          <w:tcPr>
            <w:tcW w:w="545" w:type="pct"/>
            <w:noWrap/>
            <w:hideMark/>
          </w:tcPr>
          <w:p w14:paraId="601B2796" w14:textId="77777777" w:rsidR="00C15F2E" w:rsidRPr="00D96063" w:rsidRDefault="00C15F2E" w:rsidP="00053198">
            <w:pPr>
              <w:jc w:val="right"/>
              <w:rPr>
                <w:rFonts w:cs="Arial"/>
                <w:b/>
                <w:bCs/>
                <w:sz w:val="16"/>
                <w:szCs w:val="16"/>
              </w:rPr>
            </w:pPr>
            <w:r w:rsidRPr="00D96063">
              <w:rPr>
                <w:rFonts w:cs="Arial"/>
                <w:b/>
                <w:bCs/>
                <w:sz w:val="16"/>
                <w:szCs w:val="16"/>
              </w:rPr>
              <w:t>13,756</w:t>
            </w:r>
          </w:p>
        </w:tc>
        <w:tc>
          <w:tcPr>
            <w:tcW w:w="545" w:type="pct"/>
            <w:noWrap/>
            <w:hideMark/>
          </w:tcPr>
          <w:p w14:paraId="0CCAA134" w14:textId="77777777" w:rsidR="00C15F2E" w:rsidRPr="00D96063" w:rsidRDefault="00C15F2E" w:rsidP="00053198">
            <w:pPr>
              <w:jc w:val="right"/>
              <w:rPr>
                <w:rFonts w:cs="Arial"/>
                <w:b/>
                <w:bCs/>
                <w:sz w:val="16"/>
                <w:szCs w:val="16"/>
              </w:rPr>
            </w:pPr>
            <w:r w:rsidRPr="00D96063">
              <w:rPr>
                <w:rFonts w:cs="Arial"/>
                <w:b/>
                <w:bCs/>
                <w:sz w:val="16"/>
                <w:szCs w:val="16"/>
              </w:rPr>
              <w:t>10,656</w:t>
            </w:r>
          </w:p>
        </w:tc>
        <w:tc>
          <w:tcPr>
            <w:tcW w:w="545" w:type="pct"/>
            <w:noWrap/>
            <w:hideMark/>
          </w:tcPr>
          <w:p w14:paraId="5496F718" w14:textId="77777777" w:rsidR="00C15F2E" w:rsidRPr="00D96063" w:rsidRDefault="00C15F2E" w:rsidP="00053198">
            <w:pPr>
              <w:jc w:val="right"/>
              <w:rPr>
                <w:rFonts w:cs="Arial"/>
                <w:b/>
                <w:bCs/>
                <w:sz w:val="16"/>
                <w:szCs w:val="16"/>
              </w:rPr>
            </w:pPr>
            <w:r w:rsidRPr="00D96063">
              <w:rPr>
                <w:rFonts w:cs="Arial"/>
                <w:b/>
                <w:bCs/>
                <w:sz w:val="16"/>
                <w:szCs w:val="16"/>
              </w:rPr>
              <w:t>14,358</w:t>
            </w:r>
          </w:p>
        </w:tc>
        <w:tc>
          <w:tcPr>
            <w:tcW w:w="545" w:type="pct"/>
            <w:noWrap/>
            <w:hideMark/>
          </w:tcPr>
          <w:p w14:paraId="3E923E31" w14:textId="77777777" w:rsidR="00C15F2E" w:rsidRPr="00D96063" w:rsidRDefault="00C15F2E" w:rsidP="00053198">
            <w:pPr>
              <w:jc w:val="right"/>
              <w:rPr>
                <w:rFonts w:cs="Arial"/>
                <w:b/>
                <w:bCs/>
                <w:sz w:val="16"/>
                <w:szCs w:val="16"/>
              </w:rPr>
            </w:pPr>
            <w:r w:rsidRPr="00D96063">
              <w:rPr>
                <w:rFonts w:cs="Arial"/>
                <w:b/>
                <w:bCs/>
                <w:sz w:val="16"/>
                <w:szCs w:val="16"/>
              </w:rPr>
              <w:t>17,100</w:t>
            </w:r>
          </w:p>
        </w:tc>
        <w:tc>
          <w:tcPr>
            <w:tcW w:w="545" w:type="pct"/>
            <w:noWrap/>
            <w:hideMark/>
          </w:tcPr>
          <w:p w14:paraId="0B68BBEA" w14:textId="77777777" w:rsidR="00C15F2E" w:rsidRPr="00D96063" w:rsidRDefault="00C15F2E" w:rsidP="00053198">
            <w:pPr>
              <w:jc w:val="right"/>
              <w:rPr>
                <w:rFonts w:cs="Arial"/>
                <w:b/>
                <w:bCs/>
                <w:sz w:val="16"/>
                <w:szCs w:val="16"/>
              </w:rPr>
            </w:pPr>
            <w:r w:rsidRPr="00D96063">
              <w:rPr>
                <w:rFonts w:cs="Arial"/>
                <w:b/>
                <w:bCs/>
                <w:sz w:val="16"/>
                <w:szCs w:val="16"/>
              </w:rPr>
              <w:t>16,768</w:t>
            </w:r>
          </w:p>
        </w:tc>
      </w:tr>
      <w:tr w:rsidR="00C15F2E" w:rsidRPr="00D96063" w14:paraId="33052B9F"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tcPr>
          <w:p w14:paraId="5FAA6468" w14:textId="77777777" w:rsidR="00C15F2E" w:rsidRPr="00D96063" w:rsidRDefault="00C15F2E" w:rsidP="00053198">
            <w:pPr>
              <w:jc w:val="left"/>
              <w:rPr>
                <w:rFonts w:cs="Arial"/>
                <w:b/>
                <w:bCs/>
                <w:sz w:val="16"/>
                <w:szCs w:val="16"/>
              </w:rPr>
            </w:pPr>
          </w:p>
        </w:tc>
        <w:tc>
          <w:tcPr>
            <w:tcW w:w="3269" w:type="pct"/>
            <w:gridSpan w:val="6"/>
            <w:noWrap/>
          </w:tcPr>
          <w:p w14:paraId="26DACD5D" w14:textId="77777777" w:rsidR="00C15F2E" w:rsidRPr="00D96063" w:rsidRDefault="00C15F2E" w:rsidP="00053198">
            <w:pPr>
              <w:jc w:val="center"/>
              <w:rPr>
                <w:rFonts w:cs="Arial"/>
                <w:sz w:val="16"/>
                <w:szCs w:val="16"/>
              </w:rPr>
            </w:pPr>
            <w:r w:rsidRPr="00D96063">
              <w:rPr>
                <w:rFonts w:cs="Arial"/>
                <w:sz w:val="16"/>
                <w:szCs w:val="16"/>
              </w:rPr>
              <w:t>(% of total)</w:t>
            </w:r>
          </w:p>
        </w:tc>
      </w:tr>
      <w:tr w:rsidR="00C15F2E" w:rsidRPr="00D96063" w14:paraId="46C91731" w14:textId="77777777" w:rsidTr="00053198">
        <w:trPr>
          <w:trHeight w:val="240"/>
        </w:trPr>
        <w:tc>
          <w:tcPr>
            <w:tcW w:w="1731" w:type="pct"/>
            <w:noWrap/>
            <w:hideMark/>
          </w:tcPr>
          <w:p w14:paraId="68674D7F" w14:textId="77777777" w:rsidR="00C15F2E" w:rsidRPr="00D96063" w:rsidRDefault="00C15F2E" w:rsidP="00053198">
            <w:pPr>
              <w:jc w:val="left"/>
              <w:rPr>
                <w:rFonts w:cs="Arial"/>
                <w:b/>
                <w:bCs/>
                <w:sz w:val="16"/>
                <w:szCs w:val="16"/>
              </w:rPr>
            </w:pPr>
            <w:r w:rsidRPr="00D96063">
              <w:rPr>
                <w:rFonts w:cs="Arial"/>
                <w:b/>
                <w:bCs/>
                <w:sz w:val="16"/>
                <w:szCs w:val="16"/>
              </w:rPr>
              <w:t>Americas</w:t>
            </w:r>
          </w:p>
        </w:tc>
        <w:tc>
          <w:tcPr>
            <w:tcW w:w="545" w:type="pct"/>
            <w:noWrap/>
            <w:hideMark/>
          </w:tcPr>
          <w:p w14:paraId="5E150010" w14:textId="77777777" w:rsidR="00C15F2E" w:rsidRPr="00D96063" w:rsidRDefault="00C15F2E" w:rsidP="00053198">
            <w:pPr>
              <w:jc w:val="right"/>
              <w:rPr>
                <w:rFonts w:cs="Arial"/>
                <w:b/>
                <w:bCs/>
                <w:sz w:val="16"/>
                <w:szCs w:val="16"/>
              </w:rPr>
            </w:pPr>
            <w:r w:rsidRPr="00D96063">
              <w:rPr>
                <w:rFonts w:cs="Arial"/>
                <w:b/>
                <w:bCs/>
                <w:sz w:val="16"/>
                <w:szCs w:val="16"/>
              </w:rPr>
              <w:t>4.4</w:t>
            </w:r>
          </w:p>
        </w:tc>
        <w:tc>
          <w:tcPr>
            <w:tcW w:w="545" w:type="pct"/>
            <w:noWrap/>
            <w:hideMark/>
          </w:tcPr>
          <w:p w14:paraId="66B05A79" w14:textId="77777777" w:rsidR="00C15F2E" w:rsidRPr="00D96063" w:rsidRDefault="00C15F2E" w:rsidP="00053198">
            <w:pPr>
              <w:jc w:val="right"/>
              <w:rPr>
                <w:rFonts w:cs="Arial"/>
                <w:b/>
                <w:bCs/>
                <w:sz w:val="16"/>
                <w:szCs w:val="16"/>
              </w:rPr>
            </w:pPr>
            <w:r w:rsidRPr="00D96063">
              <w:rPr>
                <w:rFonts w:cs="Arial"/>
                <w:b/>
                <w:bCs/>
                <w:sz w:val="16"/>
                <w:szCs w:val="16"/>
              </w:rPr>
              <w:t>2.9</w:t>
            </w:r>
          </w:p>
        </w:tc>
        <w:tc>
          <w:tcPr>
            <w:tcW w:w="545" w:type="pct"/>
            <w:noWrap/>
            <w:hideMark/>
          </w:tcPr>
          <w:p w14:paraId="168BCD0B" w14:textId="77777777" w:rsidR="00C15F2E" w:rsidRPr="00D96063" w:rsidRDefault="00C15F2E" w:rsidP="00053198">
            <w:pPr>
              <w:jc w:val="right"/>
              <w:rPr>
                <w:rFonts w:cs="Arial"/>
                <w:b/>
                <w:bCs/>
                <w:sz w:val="16"/>
                <w:szCs w:val="16"/>
              </w:rPr>
            </w:pPr>
            <w:r w:rsidRPr="00D96063">
              <w:rPr>
                <w:rFonts w:cs="Arial"/>
                <w:b/>
                <w:bCs/>
                <w:sz w:val="16"/>
                <w:szCs w:val="16"/>
              </w:rPr>
              <w:t>4.1</w:t>
            </w:r>
          </w:p>
        </w:tc>
        <w:tc>
          <w:tcPr>
            <w:tcW w:w="545" w:type="pct"/>
            <w:noWrap/>
            <w:hideMark/>
          </w:tcPr>
          <w:p w14:paraId="0C45E6DB" w14:textId="77777777" w:rsidR="00C15F2E" w:rsidRPr="00D96063" w:rsidRDefault="00C15F2E" w:rsidP="00053198">
            <w:pPr>
              <w:jc w:val="right"/>
              <w:rPr>
                <w:rFonts w:cs="Arial"/>
                <w:b/>
                <w:bCs/>
                <w:sz w:val="16"/>
                <w:szCs w:val="16"/>
              </w:rPr>
            </w:pPr>
            <w:r w:rsidRPr="00D96063">
              <w:rPr>
                <w:rFonts w:cs="Arial"/>
                <w:b/>
                <w:bCs/>
                <w:sz w:val="16"/>
                <w:szCs w:val="16"/>
              </w:rPr>
              <w:t>7.0</w:t>
            </w:r>
          </w:p>
        </w:tc>
        <w:tc>
          <w:tcPr>
            <w:tcW w:w="545" w:type="pct"/>
            <w:noWrap/>
            <w:hideMark/>
          </w:tcPr>
          <w:p w14:paraId="70B61A73" w14:textId="77777777" w:rsidR="00C15F2E" w:rsidRPr="00D96063" w:rsidRDefault="00C15F2E" w:rsidP="00053198">
            <w:pPr>
              <w:jc w:val="right"/>
              <w:rPr>
                <w:rFonts w:cs="Arial"/>
                <w:b/>
                <w:bCs/>
                <w:sz w:val="16"/>
                <w:szCs w:val="16"/>
              </w:rPr>
            </w:pPr>
            <w:r w:rsidRPr="00D96063">
              <w:rPr>
                <w:rFonts w:cs="Arial"/>
                <w:b/>
                <w:bCs/>
                <w:sz w:val="16"/>
                <w:szCs w:val="16"/>
              </w:rPr>
              <w:t>5.5</w:t>
            </w:r>
          </w:p>
        </w:tc>
        <w:tc>
          <w:tcPr>
            <w:tcW w:w="545" w:type="pct"/>
            <w:noWrap/>
            <w:hideMark/>
          </w:tcPr>
          <w:p w14:paraId="1521A524" w14:textId="77777777" w:rsidR="00C15F2E" w:rsidRPr="00D96063" w:rsidRDefault="00C15F2E" w:rsidP="00053198">
            <w:pPr>
              <w:jc w:val="right"/>
              <w:rPr>
                <w:rFonts w:cs="Arial"/>
                <w:b/>
                <w:bCs/>
                <w:sz w:val="16"/>
                <w:szCs w:val="16"/>
              </w:rPr>
            </w:pPr>
            <w:r w:rsidRPr="00D96063">
              <w:rPr>
                <w:rFonts w:cs="Arial"/>
                <w:b/>
                <w:bCs/>
                <w:sz w:val="16"/>
                <w:szCs w:val="16"/>
              </w:rPr>
              <w:t>6.0</w:t>
            </w:r>
          </w:p>
        </w:tc>
      </w:tr>
      <w:tr w:rsidR="00C15F2E" w:rsidRPr="00D96063" w14:paraId="68F2F5EE"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2B8B86B9" w14:textId="77777777" w:rsidR="00C15F2E" w:rsidRPr="00D96063" w:rsidRDefault="00C15F2E" w:rsidP="00053198">
            <w:pPr>
              <w:ind w:left="113" w:hanging="113"/>
              <w:jc w:val="left"/>
              <w:rPr>
                <w:rFonts w:cs="Arial"/>
                <w:sz w:val="16"/>
                <w:szCs w:val="16"/>
              </w:rPr>
            </w:pPr>
            <w:r w:rsidRPr="00D96063">
              <w:rPr>
                <w:rFonts w:cs="Arial"/>
                <w:sz w:val="16"/>
                <w:szCs w:val="16"/>
              </w:rPr>
              <w:tab/>
              <w:t>United States</w:t>
            </w:r>
          </w:p>
        </w:tc>
        <w:tc>
          <w:tcPr>
            <w:tcW w:w="545" w:type="pct"/>
            <w:noWrap/>
            <w:hideMark/>
          </w:tcPr>
          <w:p w14:paraId="22BC2B78" w14:textId="77777777" w:rsidR="00C15F2E" w:rsidRPr="00D96063" w:rsidRDefault="00C15F2E" w:rsidP="00053198">
            <w:pPr>
              <w:jc w:val="right"/>
              <w:rPr>
                <w:rFonts w:cs="Arial"/>
                <w:sz w:val="16"/>
                <w:szCs w:val="16"/>
              </w:rPr>
            </w:pPr>
            <w:r w:rsidRPr="00D96063">
              <w:rPr>
                <w:rFonts w:cs="Arial"/>
                <w:sz w:val="16"/>
                <w:szCs w:val="16"/>
              </w:rPr>
              <w:t>2.0</w:t>
            </w:r>
          </w:p>
        </w:tc>
        <w:tc>
          <w:tcPr>
            <w:tcW w:w="545" w:type="pct"/>
            <w:noWrap/>
            <w:hideMark/>
          </w:tcPr>
          <w:p w14:paraId="27DC6047" w14:textId="77777777" w:rsidR="00C15F2E" w:rsidRPr="00D96063" w:rsidRDefault="00C15F2E" w:rsidP="00053198">
            <w:pPr>
              <w:jc w:val="right"/>
              <w:rPr>
                <w:rFonts w:cs="Arial"/>
                <w:sz w:val="16"/>
                <w:szCs w:val="16"/>
              </w:rPr>
            </w:pPr>
            <w:r w:rsidRPr="00D96063">
              <w:rPr>
                <w:rFonts w:cs="Arial"/>
                <w:sz w:val="16"/>
                <w:szCs w:val="16"/>
              </w:rPr>
              <w:t>2.3</w:t>
            </w:r>
          </w:p>
        </w:tc>
        <w:tc>
          <w:tcPr>
            <w:tcW w:w="545" w:type="pct"/>
            <w:noWrap/>
            <w:hideMark/>
          </w:tcPr>
          <w:p w14:paraId="4C665AC9" w14:textId="77777777" w:rsidR="00C15F2E" w:rsidRPr="00D96063" w:rsidRDefault="00C15F2E" w:rsidP="00053198">
            <w:pPr>
              <w:jc w:val="right"/>
              <w:rPr>
                <w:rFonts w:cs="Arial"/>
                <w:sz w:val="16"/>
                <w:szCs w:val="16"/>
              </w:rPr>
            </w:pPr>
            <w:r w:rsidRPr="00D96063">
              <w:rPr>
                <w:rFonts w:cs="Arial"/>
                <w:sz w:val="16"/>
                <w:szCs w:val="16"/>
              </w:rPr>
              <w:t>1.8</w:t>
            </w:r>
          </w:p>
        </w:tc>
        <w:tc>
          <w:tcPr>
            <w:tcW w:w="545" w:type="pct"/>
            <w:noWrap/>
            <w:hideMark/>
          </w:tcPr>
          <w:p w14:paraId="0DB5A671" w14:textId="77777777" w:rsidR="00C15F2E" w:rsidRPr="00D96063" w:rsidRDefault="00C15F2E" w:rsidP="00053198">
            <w:pPr>
              <w:jc w:val="right"/>
              <w:rPr>
                <w:rFonts w:cs="Arial"/>
                <w:sz w:val="16"/>
                <w:szCs w:val="16"/>
              </w:rPr>
            </w:pPr>
            <w:r w:rsidRPr="00D96063">
              <w:rPr>
                <w:rFonts w:cs="Arial"/>
                <w:sz w:val="16"/>
                <w:szCs w:val="16"/>
              </w:rPr>
              <w:t>2.8</w:t>
            </w:r>
          </w:p>
        </w:tc>
        <w:tc>
          <w:tcPr>
            <w:tcW w:w="545" w:type="pct"/>
            <w:noWrap/>
            <w:hideMark/>
          </w:tcPr>
          <w:p w14:paraId="0CBEF33A" w14:textId="77777777" w:rsidR="00C15F2E" w:rsidRPr="00D96063" w:rsidRDefault="00C15F2E" w:rsidP="00053198">
            <w:pPr>
              <w:jc w:val="right"/>
              <w:rPr>
                <w:rFonts w:cs="Arial"/>
                <w:sz w:val="16"/>
                <w:szCs w:val="16"/>
              </w:rPr>
            </w:pPr>
            <w:r w:rsidRPr="00D96063">
              <w:rPr>
                <w:rFonts w:cs="Arial"/>
                <w:sz w:val="16"/>
                <w:szCs w:val="16"/>
              </w:rPr>
              <w:t>3.6</w:t>
            </w:r>
          </w:p>
        </w:tc>
        <w:tc>
          <w:tcPr>
            <w:tcW w:w="545" w:type="pct"/>
            <w:noWrap/>
            <w:hideMark/>
          </w:tcPr>
          <w:p w14:paraId="1485B810" w14:textId="77777777" w:rsidR="00C15F2E" w:rsidRPr="00D96063" w:rsidRDefault="00C15F2E" w:rsidP="00053198">
            <w:pPr>
              <w:jc w:val="right"/>
              <w:rPr>
                <w:rFonts w:cs="Arial"/>
                <w:sz w:val="16"/>
                <w:szCs w:val="16"/>
              </w:rPr>
            </w:pPr>
            <w:r w:rsidRPr="00D96063">
              <w:rPr>
                <w:rFonts w:cs="Arial"/>
                <w:sz w:val="16"/>
                <w:szCs w:val="16"/>
              </w:rPr>
              <w:t>4.2</w:t>
            </w:r>
          </w:p>
        </w:tc>
      </w:tr>
      <w:tr w:rsidR="00C15F2E" w:rsidRPr="00D96063" w14:paraId="29A49B95" w14:textId="77777777" w:rsidTr="00053198">
        <w:trPr>
          <w:trHeight w:val="240"/>
        </w:trPr>
        <w:tc>
          <w:tcPr>
            <w:tcW w:w="1731" w:type="pct"/>
            <w:noWrap/>
            <w:hideMark/>
          </w:tcPr>
          <w:p w14:paraId="4BD1AD89" w14:textId="77777777" w:rsidR="00C15F2E" w:rsidRPr="00D96063" w:rsidRDefault="00C15F2E" w:rsidP="00053198">
            <w:pPr>
              <w:ind w:left="113" w:hanging="113"/>
              <w:jc w:val="left"/>
              <w:rPr>
                <w:rFonts w:cs="Arial"/>
                <w:sz w:val="16"/>
                <w:szCs w:val="16"/>
              </w:rPr>
            </w:pPr>
            <w:r w:rsidRPr="00D96063">
              <w:rPr>
                <w:rFonts w:cs="Arial"/>
                <w:sz w:val="16"/>
                <w:szCs w:val="16"/>
              </w:rPr>
              <w:tab/>
              <w:t>Other America</w:t>
            </w:r>
          </w:p>
        </w:tc>
        <w:tc>
          <w:tcPr>
            <w:tcW w:w="545" w:type="pct"/>
            <w:noWrap/>
            <w:hideMark/>
          </w:tcPr>
          <w:p w14:paraId="45FB4732" w14:textId="77777777" w:rsidR="00C15F2E" w:rsidRPr="00D96063" w:rsidRDefault="00C15F2E" w:rsidP="00053198">
            <w:pPr>
              <w:jc w:val="right"/>
              <w:rPr>
                <w:rFonts w:cs="Arial"/>
                <w:sz w:val="16"/>
                <w:szCs w:val="16"/>
              </w:rPr>
            </w:pPr>
            <w:r w:rsidRPr="00D96063">
              <w:rPr>
                <w:rFonts w:cs="Arial"/>
                <w:sz w:val="16"/>
                <w:szCs w:val="16"/>
              </w:rPr>
              <w:t>2.4</w:t>
            </w:r>
          </w:p>
        </w:tc>
        <w:tc>
          <w:tcPr>
            <w:tcW w:w="545" w:type="pct"/>
            <w:noWrap/>
            <w:hideMark/>
          </w:tcPr>
          <w:p w14:paraId="53E72E9E" w14:textId="77777777" w:rsidR="00C15F2E" w:rsidRPr="00D96063" w:rsidRDefault="00C15F2E" w:rsidP="00053198">
            <w:pPr>
              <w:jc w:val="right"/>
              <w:rPr>
                <w:rFonts w:cs="Arial"/>
                <w:sz w:val="16"/>
                <w:szCs w:val="16"/>
              </w:rPr>
            </w:pPr>
            <w:r w:rsidRPr="00D96063">
              <w:rPr>
                <w:rFonts w:cs="Arial"/>
                <w:sz w:val="16"/>
                <w:szCs w:val="16"/>
              </w:rPr>
              <w:t>0.6</w:t>
            </w:r>
          </w:p>
        </w:tc>
        <w:tc>
          <w:tcPr>
            <w:tcW w:w="545" w:type="pct"/>
            <w:noWrap/>
            <w:hideMark/>
          </w:tcPr>
          <w:p w14:paraId="66F43AFD" w14:textId="77777777" w:rsidR="00C15F2E" w:rsidRPr="00D96063" w:rsidRDefault="00C15F2E" w:rsidP="00053198">
            <w:pPr>
              <w:jc w:val="right"/>
              <w:rPr>
                <w:rFonts w:cs="Arial"/>
                <w:sz w:val="16"/>
                <w:szCs w:val="16"/>
              </w:rPr>
            </w:pPr>
            <w:r w:rsidRPr="00D96063">
              <w:rPr>
                <w:rFonts w:cs="Arial"/>
                <w:sz w:val="16"/>
                <w:szCs w:val="16"/>
              </w:rPr>
              <w:t>2.2</w:t>
            </w:r>
          </w:p>
        </w:tc>
        <w:tc>
          <w:tcPr>
            <w:tcW w:w="545" w:type="pct"/>
            <w:noWrap/>
            <w:hideMark/>
          </w:tcPr>
          <w:p w14:paraId="4287E2B6" w14:textId="77777777" w:rsidR="00C15F2E" w:rsidRPr="00D96063" w:rsidRDefault="00C15F2E" w:rsidP="00053198">
            <w:pPr>
              <w:jc w:val="right"/>
              <w:rPr>
                <w:rFonts w:cs="Arial"/>
                <w:sz w:val="16"/>
                <w:szCs w:val="16"/>
              </w:rPr>
            </w:pPr>
            <w:r w:rsidRPr="00D96063">
              <w:rPr>
                <w:rFonts w:cs="Arial"/>
                <w:sz w:val="16"/>
                <w:szCs w:val="16"/>
              </w:rPr>
              <w:t>4.2</w:t>
            </w:r>
          </w:p>
        </w:tc>
        <w:tc>
          <w:tcPr>
            <w:tcW w:w="545" w:type="pct"/>
            <w:noWrap/>
            <w:hideMark/>
          </w:tcPr>
          <w:p w14:paraId="7211420C" w14:textId="77777777" w:rsidR="00C15F2E" w:rsidRPr="00D96063" w:rsidRDefault="00C15F2E" w:rsidP="00053198">
            <w:pPr>
              <w:jc w:val="right"/>
              <w:rPr>
                <w:rFonts w:cs="Arial"/>
                <w:sz w:val="16"/>
                <w:szCs w:val="16"/>
              </w:rPr>
            </w:pPr>
            <w:r w:rsidRPr="00D96063">
              <w:rPr>
                <w:rFonts w:cs="Arial"/>
                <w:sz w:val="16"/>
                <w:szCs w:val="16"/>
              </w:rPr>
              <w:t>1.9</w:t>
            </w:r>
          </w:p>
        </w:tc>
        <w:tc>
          <w:tcPr>
            <w:tcW w:w="545" w:type="pct"/>
            <w:noWrap/>
            <w:hideMark/>
          </w:tcPr>
          <w:p w14:paraId="1B1FAFB6" w14:textId="77777777" w:rsidR="00C15F2E" w:rsidRPr="00D96063" w:rsidRDefault="00C15F2E" w:rsidP="00053198">
            <w:pPr>
              <w:jc w:val="right"/>
              <w:rPr>
                <w:rFonts w:cs="Arial"/>
                <w:sz w:val="16"/>
                <w:szCs w:val="16"/>
              </w:rPr>
            </w:pPr>
            <w:r w:rsidRPr="00D96063">
              <w:rPr>
                <w:rFonts w:cs="Arial"/>
                <w:sz w:val="16"/>
                <w:szCs w:val="16"/>
              </w:rPr>
              <w:t>1.8</w:t>
            </w:r>
          </w:p>
        </w:tc>
      </w:tr>
      <w:tr w:rsidR="00C15F2E" w:rsidRPr="00D96063" w14:paraId="4695D774"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2AF15B07" w14:textId="77777777" w:rsidR="00C15F2E" w:rsidRPr="00D96063" w:rsidRDefault="00C15F2E" w:rsidP="00053198">
            <w:pPr>
              <w:jc w:val="left"/>
              <w:rPr>
                <w:rFonts w:cs="Arial"/>
                <w:sz w:val="16"/>
                <w:szCs w:val="16"/>
              </w:rPr>
            </w:pPr>
            <w:r w:rsidRPr="00D96063">
              <w:rPr>
                <w:rFonts w:cs="Arial"/>
                <w:sz w:val="16"/>
                <w:szCs w:val="16"/>
              </w:rPr>
              <w:tab/>
              <w:t>Canada</w:t>
            </w:r>
          </w:p>
        </w:tc>
        <w:tc>
          <w:tcPr>
            <w:tcW w:w="545" w:type="pct"/>
            <w:noWrap/>
            <w:hideMark/>
          </w:tcPr>
          <w:p w14:paraId="083DE25B" w14:textId="77777777" w:rsidR="00C15F2E" w:rsidRPr="00D96063" w:rsidRDefault="00C15F2E" w:rsidP="00053198">
            <w:pPr>
              <w:jc w:val="right"/>
              <w:rPr>
                <w:rFonts w:cs="Arial"/>
                <w:sz w:val="16"/>
                <w:szCs w:val="16"/>
              </w:rPr>
            </w:pPr>
            <w:r w:rsidRPr="00D96063">
              <w:rPr>
                <w:rFonts w:cs="Arial"/>
                <w:sz w:val="16"/>
                <w:szCs w:val="16"/>
              </w:rPr>
              <w:t>0.0</w:t>
            </w:r>
          </w:p>
        </w:tc>
        <w:tc>
          <w:tcPr>
            <w:tcW w:w="545" w:type="pct"/>
            <w:noWrap/>
            <w:hideMark/>
          </w:tcPr>
          <w:p w14:paraId="4921631F" w14:textId="77777777" w:rsidR="00C15F2E" w:rsidRPr="00D96063" w:rsidRDefault="00C15F2E" w:rsidP="00053198">
            <w:pPr>
              <w:jc w:val="right"/>
              <w:rPr>
                <w:rFonts w:cs="Arial"/>
                <w:sz w:val="16"/>
                <w:szCs w:val="16"/>
              </w:rPr>
            </w:pPr>
            <w:r w:rsidRPr="00D96063">
              <w:rPr>
                <w:rFonts w:cs="Arial"/>
                <w:sz w:val="16"/>
                <w:szCs w:val="16"/>
              </w:rPr>
              <w:t>0.2</w:t>
            </w:r>
          </w:p>
        </w:tc>
        <w:tc>
          <w:tcPr>
            <w:tcW w:w="545" w:type="pct"/>
            <w:noWrap/>
            <w:hideMark/>
          </w:tcPr>
          <w:p w14:paraId="20E48098" w14:textId="77777777" w:rsidR="00C15F2E" w:rsidRPr="00D96063" w:rsidRDefault="00C15F2E" w:rsidP="00053198">
            <w:pPr>
              <w:jc w:val="right"/>
              <w:rPr>
                <w:rFonts w:cs="Arial"/>
                <w:sz w:val="16"/>
                <w:szCs w:val="16"/>
              </w:rPr>
            </w:pPr>
            <w:r w:rsidRPr="00D96063">
              <w:rPr>
                <w:rFonts w:cs="Arial"/>
                <w:sz w:val="16"/>
                <w:szCs w:val="16"/>
              </w:rPr>
              <w:t>0.3</w:t>
            </w:r>
          </w:p>
        </w:tc>
        <w:tc>
          <w:tcPr>
            <w:tcW w:w="545" w:type="pct"/>
            <w:noWrap/>
            <w:hideMark/>
          </w:tcPr>
          <w:p w14:paraId="79260302" w14:textId="77777777" w:rsidR="00C15F2E" w:rsidRPr="00D96063" w:rsidRDefault="00C15F2E" w:rsidP="00053198">
            <w:pPr>
              <w:jc w:val="right"/>
              <w:rPr>
                <w:rFonts w:cs="Arial"/>
                <w:sz w:val="16"/>
                <w:szCs w:val="16"/>
              </w:rPr>
            </w:pPr>
            <w:r w:rsidRPr="00D96063">
              <w:rPr>
                <w:rFonts w:cs="Arial"/>
                <w:sz w:val="16"/>
                <w:szCs w:val="16"/>
              </w:rPr>
              <w:t>2.0</w:t>
            </w:r>
          </w:p>
        </w:tc>
        <w:tc>
          <w:tcPr>
            <w:tcW w:w="545" w:type="pct"/>
            <w:noWrap/>
            <w:hideMark/>
          </w:tcPr>
          <w:p w14:paraId="424E61FB" w14:textId="77777777" w:rsidR="00C15F2E" w:rsidRPr="00D96063" w:rsidRDefault="00C15F2E" w:rsidP="00053198">
            <w:pPr>
              <w:jc w:val="right"/>
              <w:rPr>
                <w:rFonts w:cs="Arial"/>
                <w:sz w:val="16"/>
                <w:szCs w:val="16"/>
              </w:rPr>
            </w:pPr>
            <w:r w:rsidRPr="00D96063">
              <w:rPr>
                <w:rFonts w:cs="Arial"/>
                <w:sz w:val="16"/>
                <w:szCs w:val="16"/>
              </w:rPr>
              <w:t>0.7</w:t>
            </w:r>
          </w:p>
        </w:tc>
        <w:tc>
          <w:tcPr>
            <w:tcW w:w="545" w:type="pct"/>
            <w:noWrap/>
            <w:hideMark/>
          </w:tcPr>
          <w:p w14:paraId="5411B692" w14:textId="77777777" w:rsidR="00C15F2E" w:rsidRPr="00D96063" w:rsidRDefault="00C15F2E" w:rsidP="00053198">
            <w:pPr>
              <w:jc w:val="right"/>
              <w:rPr>
                <w:rFonts w:cs="Arial"/>
                <w:sz w:val="16"/>
                <w:szCs w:val="16"/>
              </w:rPr>
            </w:pPr>
            <w:r w:rsidRPr="00D96063">
              <w:rPr>
                <w:rFonts w:cs="Arial"/>
                <w:sz w:val="16"/>
                <w:szCs w:val="16"/>
              </w:rPr>
              <w:t>1.6</w:t>
            </w:r>
          </w:p>
        </w:tc>
      </w:tr>
      <w:tr w:rsidR="00C15F2E" w:rsidRPr="00D96063" w14:paraId="28667996" w14:textId="77777777" w:rsidTr="00053198">
        <w:trPr>
          <w:trHeight w:val="240"/>
        </w:trPr>
        <w:tc>
          <w:tcPr>
            <w:tcW w:w="1731" w:type="pct"/>
            <w:noWrap/>
            <w:hideMark/>
          </w:tcPr>
          <w:p w14:paraId="7D7763DD" w14:textId="77777777" w:rsidR="00C15F2E" w:rsidRPr="00D96063" w:rsidRDefault="00C15F2E" w:rsidP="00053198">
            <w:pPr>
              <w:jc w:val="left"/>
              <w:rPr>
                <w:rFonts w:cs="Arial"/>
                <w:b/>
                <w:bCs/>
                <w:sz w:val="16"/>
                <w:szCs w:val="16"/>
              </w:rPr>
            </w:pPr>
            <w:r w:rsidRPr="00D96063">
              <w:rPr>
                <w:rFonts w:cs="Arial"/>
                <w:b/>
                <w:bCs/>
                <w:sz w:val="16"/>
                <w:szCs w:val="16"/>
              </w:rPr>
              <w:t>Europe</w:t>
            </w:r>
          </w:p>
        </w:tc>
        <w:tc>
          <w:tcPr>
            <w:tcW w:w="545" w:type="pct"/>
            <w:noWrap/>
            <w:hideMark/>
          </w:tcPr>
          <w:p w14:paraId="683F169C" w14:textId="77777777" w:rsidR="00C15F2E" w:rsidRPr="00D96063" w:rsidRDefault="00C15F2E" w:rsidP="00053198">
            <w:pPr>
              <w:jc w:val="right"/>
              <w:rPr>
                <w:rFonts w:cs="Arial"/>
                <w:b/>
                <w:bCs/>
                <w:sz w:val="16"/>
                <w:szCs w:val="16"/>
              </w:rPr>
            </w:pPr>
            <w:r w:rsidRPr="00D96063">
              <w:rPr>
                <w:rFonts w:cs="Arial"/>
                <w:b/>
                <w:bCs/>
                <w:sz w:val="16"/>
                <w:szCs w:val="16"/>
              </w:rPr>
              <w:t>38.2</w:t>
            </w:r>
          </w:p>
        </w:tc>
        <w:tc>
          <w:tcPr>
            <w:tcW w:w="545" w:type="pct"/>
            <w:noWrap/>
            <w:hideMark/>
          </w:tcPr>
          <w:p w14:paraId="57534C4A" w14:textId="77777777" w:rsidR="00C15F2E" w:rsidRPr="00D96063" w:rsidRDefault="00C15F2E" w:rsidP="00053198">
            <w:pPr>
              <w:jc w:val="right"/>
              <w:rPr>
                <w:rFonts w:cs="Arial"/>
                <w:b/>
                <w:bCs/>
                <w:sz w:val="16"/>
                <w:szCs w:val="16"/>
              </w:rPr>
            </w:pPr>
            <w:r w:rsidRPr="00D96063">
              <w:rPr>
                <w:rFonts w:cs="Arial"/>
                <w:b/>
                <w:bCs/>
                <w:sz w:val="16"/>
                <w:szCs w:val="16"/>
              </w:rPr>
              <w:t>41.4</w:t>
            </w:r>
          </w:p>
        </w:tc>
        <w:tc>
          <w:tcPr>
            <w:tcW w:w="545" w:type="pct"/>
            <w:noWrap/>
            <w:hideMark/>
          </w:tcPr>
          <w:p w14:paraId="31A2A91F" w14:textId="77777777" w:rsidR="00C15F2E" w:rsidRPr="00D96063" w:rsidRDefault="00C15F2E" w:rsidP="00053198">
            <w:pPr>
              <w:jc w:val="right"/>
              <w:rPr>
                <w:rFonts w:cs="Arial"/>
                <w:b/>
                <w:bCs/>
                <w:sz w:val="16"/>
                <w:szCs w:val="16"/>
              </w:rPr>
            </w:pPr>
            <w:r w:rsidRPr="00D96063">
              <w:rPr>
                <w:rFonts w:cs="Arial"/>
                <w:b/>
                <w:bCs/>
                <w:sz w:val="16"/>
                <w:szCs w:val="16"/>
              </w:rPr>
              <w:t>31.9</w:t>
            </w:r>
          </w:p>
        </w:tc>
        <w:tc>
          <w:tcPr>
            <w:tcW w:w="545" w:type="pct"/>
            <w:noWrap/>
            <w:hideMark/>
          </w:tcPr>
          <w:p w14:paraId="483ED5DD" w14:textId="77777777" w:rsidR="00C15F2E" w:rsidRPr="00D96063" w:rsidRDefault="00C15F2E" w:rsidP="00053198">
            <w:pPr>
              <w:jc w:val="right"/>
              <w:rPr>
                <w:rFonts w:cs="Arial"/>
                <w:b/>
                <w:bCs/>
                <w:sz w:val="16"/>
                <w:szCs w:val="16"/>
              </w:rPr>
            </w:pPr>
            <w:r w:rsidRPr="00D96063">
              <w:rPr>
                <w:rFonts w:cs="Arial"/>
                <w:b/>
                <w:bCs/>
                <w:sz w:val="16"/>
                <w:szCs w:val="16"/>
              </w:rPr>
              <w:t>30.0</w:t>
            </w:r>
          </w:p>
        </w:tc>
        <w:tc>
          <w:tcPr>
            <w:tcW w:w="545" w:type="pct"/>
            <w:noWrap/>
            <w:hideMark/>
          </w:tcPr>
          <w:p w14:paraId="2D9F63B1" w14:textId="77777777" w:rsidR="00C15F2E" w:rsidRPr="00D96063" w:rsidRDefault="00C15F2E" w:rsidP="00053198">
            <w:pPr>
              <w:jc w:val="right"/>
              <w:rPr>
                <w:rFonts w:cs="Arial"/>
                <w:b/>
                <w:bCs/>
                <w:sz w:val="16"/>
                <w:szCs w:val="16"/>
              </w:rPr>
            </w:pPr>
            <w:r w:rsidRPr="00D96063">
              <w:rPr>
                <w:rFonts w:cs="Arial"/>
                <w:b/>
                <w:bCs/>
                <w:sz w:val="16"/>
                <w:szCs w:val="16"/>
              </w:rPr>
              <w:t>31.8</w:t>
            </w:r>
          </w:p>
        </w:tc>
        <w:tc>
          <w:tcPr>
            <w:tcW w:w="545" w:type="pct"/>
            <w:noWrap/>
            <w:hideMark/>
          </w:tcPr>
          <w:p w14:paraId="56C04010" w14:textId="77777777" w:rsidR="00C15F2E" w:rsidRPr="00D96063" w:rsidRDefault="00C15F2E" w:rsidP="00053198">
            <w:pPr>
              <w:jc w:val="right"/>
              <w:rPr>
                <w:rFonts w:cs="Arial"/>
                <w:b/>
                <w:bCs/>
                <w:sz w:val="16"/>
                <w:szCs w:val="16"/>
              </w:rPr>
            </w:pPr>
            <w:r w:rsidRPr="00D96063">
              <w:rPr>
                <w:rFonts w:cs="Arial"/>
                <w:b/>
                <w:bCs/>
                <w:sz w:val="16"/>
                <w:szCs w:val="16"/>
              </w:rPr>
              <w:t>33.4</w:t>
            </w:r>
          </w:p>
        </w:tc>
      </w:tr>
      <w:tr w:rsidR="00C15F2E" w:rsidRPr="00D96063" w14:paraId="36E03ED4"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7E5325D0" w14:textId="77777777" w:rsidR="00C15F2E" w:rsidRPr="00D96063" w:rsidRDefault="00C15F2E" w:rsidP="00053198">
            <w:pPr>
              <w:ind w:left="113" w:hanging="113"/>
              <w:jc w:val="left"/>
              <w:rPr>
                <w:rFonts w:cs="Arial"/>
                <w:sz w:val="16"/>
                <w:szCs w:val="16"/>
              </w:rPr>
            </w:pPr>
            <w:r w:rsidRPr="00D96063">
              <w:rPr>
                <w:rFonts w:cs="Arial"/>
                <w:sz w:val="16"/>
                <w:szCs w:val="16"/>
              </w:rPr>
              <w:tab/>
              <w:t>EU-27</w:t>
            </w:r>
          </w:p>
        </w:tc>
        <w:tc>
          <w:tcPr>
            <w:tcW w:w="545" w:type="pct"/>
            <w:noWrap/>
            <w:hideMark/>
          </w:tcPr>
          <w:p w14:paraId="56DE90DA" w14:textId="77777777" w:rsidR="00C15F2E" w:rsidRPr="00D96063" w:rsidRDefault="00C15F2E" w:rsidP="00053198">
            <w:pPr>
              <w:jc w:val="right"/>
              <w:rPr>
                <w:rFonts w:cs="Arial"/>
                <w:sz w:val="16"/>
                <w:szCs w:val="16"/>
              </w:rPr>
            </w:pPr>
            <w:r w:rsidRPr="00D96063">
              <w:rPr>
                <w:rFonts w:cs="Arial"/>
                <w:sz w:val="16"/>
                <w:szCs w:val="16"/>
              </w:rPr>
              <w:t>26.2</w:t>
            </w:r>
          </w:p>
        </w:tc>
        <w:tc>
          <w:tcPr>
            <w:tcW w:w="545" w:type="pct"/>
            <w:noWrap/>
            <w:hideMark/>
          </w:tcPr>
          <w:p w14:paraId="3367D170" w14:textId="77777777" w:rsidR="00C15F2E" w:rsidRPr="00D96063" w:rsidRDefault="00C15F2E" w:rsidP="00053198">
            <w:pPr>
              <w:jc w:val="right"/>
              <w:rPr>
                <w:rFonts w:cs="Arial"/>
                <w:sz w:val="16"/>
                <w:szCs w:val="16"/>
              </w:rPr>
            </w:pPr>
            <w:r w:rsidRPr="00D96063">
              <w:rPr>
                <w:rFonts w:cs="Arial"/>
                <w:sz w:val="16"/>
                <w:szCs w:val="16"/>
              </w:rPr>
              <w:t>28.0</w:t>
            </w:r>
          </w:p>
        </w:tc>
        <w:tc>
          <w:tcPr>
            <w:tcW w:w="545" w:type="pct"/>
            <w:noWrap/>
            <w:hideMark/>
          </w:tcPr>
          <w:p w14:paraId="30DA9226" w14:textId="77777777" w:rsidR="00C15F2E" w:rsidRPr="00D96063" w:rsidRDefault="00C15F2E" w:rsidP="00053198">
            <w:pPr>
              <w:jc w:val="right"/>
              <w:rPr>
                <w:rFonts w:cs="Arial"/>
                <w:sz w:val="16"/>
                <w:szCs w:val="16"/>
              </w:rPr>
            </w:pPr>
            <w:r w:rsidRPr="00D96063">
              <w:rPr>
                <w:rFonts w:cs="Arial"/>
                <w:sz w:val="16"/>
                <w:szCs w:val="16"/>
              </w:rPr>
              <w:t>12.4</w:t>
            </w:r>
          </w:p>
        </w:tc>
        <w:tc>
          <w:tcPr>
            <w:tcW w:w="545" w:type="pct"/>
            <w:noWrap/>
            <w:hideMark/>
          </w:tcPr>
          <w:p w14:paraId="4C259B30" w14:textId="77777777" w:rsidR="00C15F2E" w:rsidRPr="00D96063" w:rsidRDefault="00C15F2E" w:rsidP="00053198">
            <w:pPr>
              <w:jc w:val="right"/>
              <w:rPr>
                <w:rFonts w:cs="Arial"/>
                <w:sz w:val="16"/>
                <w:szCs w:val="16"/>
              </w:rPr>
            </w:pPr>
            <w:r w:rsidRPr="00D96063">
              <w:rPr>
                <w:rFonts w:cs="Arial"/>
                <w:sz w:val="16"/>
                <w:szCs w:val="16"/>
              </w:rPr>
              <w:t>15.2</w:t>
            </w:r>
          </w:p>
        </w:tc>
        <w:tc>
          <w:tcPr>
            <w:tcW w:w="545" w:type="pct"/>
            <w:noWrap/>
            <w:hideMark/>
          </w:tcPr>
          <w:p w14:paraId="59BF630B" w14:textId="77777777" w:rsidR="00C15F2E" w:rsidRPr="00D96063" w:rsidRDefault="00C15F2E" w:rsidP="00053198">
            <w:pPr>
              <w:jc w:val="right"/>
              <w:rPr>
                <w:rFonts w:cs="Arial"/>
                <w:sz w:val="16"/>
                <w:szCs w:val="16"/>
              </w:rPr>
            </w:pPr>
            <w:r w:rsidRPr="00D96063">
              <w:rPr>
                <w:rFonts w:cs="Arial"/>
                <w:sz w:val="16"/>
                <w:szCs w:val="16"/>
              </w:rPr>
              <w:t>18.7</w:t>
            </w:r>
          </w:p>
        </w:tc>
        <w:tc>
          <w:tcPr>
            <w:tcW w:w="545" w:type="pct"/>
            <w:noWrap/>
            <w:hideMark/>
          </w:tcPr>
          <w:p w14:paraId="1E477856" w14:textId="77777777" w:rsidR="00C15F2E" w:rsidRPr="00D96063" w:rsidRDefault="00C15F2E" w:rsidP="00053198">
            <w:pPr>
              <w:jc w:val="right"/>
              <w:rPr>
                <w:rFonts w:cs="Arial"/>
                <w:sz w:val="16"/>
                <w:szCs w:val="16"/>
              </w:rPr>
            </w:pPr>
            <w:r w:rsidRPr="00D96063">
              <w:rPr>
                <w:rFonts w:cs="Arial"/>
                <w:sz w:val="16"/>
                <w:szCs w:val="16"/>
              </w:rPr>
              <w:t>15.2</w:t>
            </w:r>
          </w:p>
        </w:tc>
      </w:tr>
      <w:tr w:rsidR="00C15F2E" w:rsidRPr="00D96063" w14:paraId="1E5D8C40" w14:textId="77777777" w:rsidTr="00053198">
        <w:trPr>
          <w:trHeight w:val="240"/>
        </w:trPr>
        <w:tc>
          <w:tcPr>
            <w:tcW w:w="1731" w:type="pct"/>
            <w:noWrap/>
            <w:hideMark/>
          </w:tcPr>
          <w:p w14:paraId="53D71EB6" w14:textId="77777777" w:rsidR="00C15F2E" w:rsidRPr="00D96063" w:rsidRDefault="00C15F2E" w:rsidP="00053198">
            <w:pPr>
              <w:jc w:val="left"/>
              <w:rPr>
                <w:rFonts w:cs="Arial"/>
                <w:sz w:val="16"/>
                <w:szCs w:val="16"/>
              </w:rPr>
            </w:pPr>
            <w:r w:rsidRPr="00D96063">
              <w:rPr>
                <w:rFonts w:cs="Arial"/>
                <w:sz w:val="16"/>
                <w:szCs w:val="16"/>
              </w:rPr>
              <w:tab/>
              <w:t>Netherlands</w:t>
            </w:r>
          </w:p>
        </w:tc>
        <w:tc>
          <w:tcPr>
            <w:tcW w:w="545" w:type="pct"/>
            <w:noWrap/>
            <w:hideMark/>
          </w:tcPr>
          <w:p w14:paraId="7EC201D5" w14:textId="77777777" w:rsidR="00C15F2E" w:rsidRPr="00D96063" w:rsidRDefault="00C15F2E" w:rsidP="00053198">
            <w:pPr>
              <w:jc w:val="right"/>
              <w:rPr>
                <w:rFonts w:cs="Arial"/>
                <w:sz w:val="16"/>
                <w:szCs w:val="16"/>
              </w:rPr>
            </w:pPr>
            <w:r w:rsidRPr="00D96063">
              <w:rPr>
                <w:rFonts w:cs="Arial"/>
                <w:sz w:val="16"/>
                <w:szCs w:val="16"/>
              </w:rPr>
              <w:t>5.9</w:t>
            </w:r>
          </w:p>
        </w:tc>
        <w:tc>
          <w:tcPr>
            <w:tcW w:w="545" w:type="pct"/>
            <w:noWrap/>
            <w:hideMark/>
          </w:tcPr>
          <w:p w14:paraId="73CD40C9" w14:textId="77777777" w:rsidR="00C15F2E" w:rsidRPr="00D96063" w:rsidRDefault="00C15F2E" w:rsidP="00053198">
            <w:pPr>
              <w:jc w:val="right"/>
              <w:rPr>
                <w:rFonts w:cs="Arial"/>
                <w:sz w:val="16"/>
                <w:szCs w:val="16"/>
              </w:rPr>
            </w:pPr>
            <w:r w:rsidRPr="00D96063">
              <w:rPr>
                <w:rFonts w:cs="Arial"/>
                <w:sz w:val="16"/>
                <w:szCs w:val="16"/>
              </w:rPr>
              <w:t>8.0</w:t>
            </w:r>
          </w:p>
        </w:tc>
        <w:tc>
          <w:tcPr>
            <w:tcW w:w="545" w:type="pct"/>
            <w:noWrap/>
            <w:hideMark/>
          </w:tcPr>
          <w:p w14:paraId="243B5B54" w14:textId="77777777" w:rsidR="00C15F2E" w:rsidRPr="00D96063" w:rsidRDefault="00C15F2E" w:rsidP="00053198">
            <w:pPr>
              <w:jc w:val="right"/>
              <w:rPr>
                <w:rFonts w:cs="Arial"/>
                <w:sz w:val="16"/>
                <w:szCs w:val="16"/>
              </w:rPr>
            </w:pPr>
            <w:r w:rsidRPr="00D96063">
              <w:rPr>
                <w:rFonts w:cs="Arial"/>
                <w:sz w:val="16"/>
                <w:szCs w:val="16"/>
              </w:rPr>
              <w:t>4.2</w:t>
            </w:r>
          </w:p>
        </w:tc>
        <w:tc>
          <w:tcPr>
            <w:tcW w:w="545" w:type="pct"/>
            <w:noWrap/>
            <w:hideMark/>
          </w:tcPr>
          <w:p w14:paraId="142B662F" w14:textId="77777777" w:rsidR="00C15F2E" w:rsidRPr="00D96063" w:rsidRDefault="00C15F2E" w:rsidP="00053198">
            <w:pPr>
              <w:jc w:val="right"/>
              <w:rPr>
                <w:rFonts w:cs="Arial"/>
                <w:sz w:val="16"/>
                <w:szCs w:val="16"/>
              </w:rPr>
            </w:pPr>
            <w:r w:rsidRPr="00D96063">
              <w:rPr>
                <w:rFonts w:cs="Arial"/>
                <w:sz w:val="16"/>
                <w:szCs w:val="16"/>
              </w:rPr>
              <w:t>6.2</w:t>
            </w:r>
          </w:p>
        </w:tc>
        <w:tc>
          <w:tcPr>
            <w:tcW w:w="545" w:type="pct"/>
            <w:noWrap/>
            <w:hideMark/>
          </w:tcPr>
          <w:p w14:paraId="5FFBC32F" w14:textId="77777777" w:rsidR="00C15F2E" w:rsidRPr="00D96063" w:rsidRDefault="00C15F2E" w:rsidP="00053198">
            <w:pPr>
              <w:jc w:val="right"/>
              <w:rPr>
                <w:rFonts w:cs="Arial"/>
                <w:sz w:val="16"/>
                <w:szCs w:val="16"/>
              </w:rPr>
            </w:pPr>
            <w:r w:rsidRPr="00D96063">
              <w:rPr>
                <w:rFonts w:cs="Arial"/>
                <w:sz w:val="16"/>
                <w:szCs w:val="16"/>
              </w:rPr>
              <w:t>7.2</w:t>
            </w:r>
          </w:p>
        </w:tc>
        <w:tc>
          <w:tcPr>
            <w:tcW w:w="545" w:type="pct"/>
            <w:noWrap/>
            <w:hideMark/>
          </w:tcPr>
          <w:p w14:paraId="587BBF0F" w14:textId="77777777" w:rsidR="00C15F2E" w:rsidRPr="00D96063" w:rsidRDefault="00C15F2E" w:rsidP="00053198">
            <w:pPr>
              <w:jc w:val="right"/>
              <w:rPr>
                <w:rFonts w:cs="Arial"/>
                <w:sz w:val="16"/>
                <w:szCs w:val="16"/>
              </w:rPr>
            </w:pPr>
            <w:r w:rsidRPr="00D96063">
              <w:rPr>
                <w:rFonts w:cs="Arial"/>
                <w:sz w:val="16"/>
                <w:szCs w:val="16"/>
              </w:rPr>
              <w:t>5.8</w:t>
            </w:r>
          </w:p>
        </w:tc>
      </w:tr>
      <w:tr w:rsidR="00C15F2E" w:rsidRPr="00D96063" w14:paraId="58B991E6"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05DA3903" w14:textId="77777777" w:rsidR="00C15F2E" w:rsidRPr="00D96063" w:rsidRDefault="00C15F2E" w:rsidP="00053198">
            <w:pPr>
              <w:jc w:val="left"/>
              <w:rPr>
                <w:rFonts w:cs="Arial"/>
                <w:sz w:val="16"/>
                <w:szCs w:val="16"/>
              </w:rPr>
            </w:pPr>
            <w:r w:rsidRPr="00D96063">
              <w:rPr>
                <w:rFonts w:cs="Arial"/>
                <w:sz w:val="16"/>
                <w:szCs w:val="16"/>
              </w:rPr>
              <w:tab/>
              <w:t>France</w:t>
            </w:r>
          </w:p>
        </w:tc>
        <w:tc>
          <w:tcPr>
            <w:tcW w:w="545" w:type="pct"/>
            <w:noWrap/>
            <w:hideMark/>
          </w:tcPr>
          <w:p w14:paraId="1FC9DFB0" w14:textId="77777777" w:rsidR="00C15F2E" w:rsidRPr="00D96063" w:rsidRDefault="00C15F2E" w:rsidP="00053198">
            <w:pPr>
              <w:jc w:val="right"/>
              <w:rPr>
                <w:rFonts w:cs="Arial"/>
                <w:sz w:val="16"/>
                <w:szCs w:val="16"/>
              </w:rPr>
            </w:pPr>
            <w:r w:rsidRPr="00D96063">
              <w:rPr>
                <w:rFonts w:cs="Arial"/>
                <w:sz w:val="16"/>
                <w:szCs w:val="16"/>
              </w:rPr>
              <w:t>6.4</w:t>
            </w:r>
          </w:p>
        </w:tc>
        <w:tc>
          <w:tcPr>
            <w:tcW w:w="545" w:type="pct"/>
            <w:noWrap/>
            <w:hideMark/>
          </w:tcPr>
          <w:p w14:paraId="1E97343D" w14:textId="77777777" w:rsidR="00C15F2E" w:rsidRPr="00D96063" w:rsidRDefault="00C15F2E" w:rsidP="00053198">
            <w:pPr>
              <w:jc w:val="right"/>
              <w:rPr>
                <w:rFonts w:cs="Arial"/>
                <w:sz w:val="16"/>
                <w:szCs w:val="16"/>
              </w:rPr>
            </w:pPr>
            <w:r w:rsidRPr="00D96063">
              <w:rPr>
                <w:rFonts w:cs="Arial"/>
                <w:sz w:val="16"/>
                <w:szCs w:val="16"/>
              </w:rPr>
              <w:t>5.8</w:t>
            </w:r>
          </w:p>
        </w:tc>
        <w:tc>
          <w:tcPr>
            <w:tcW w:w="545" w:type="pct"/>
            <w:noWrap/>
            <w:hideMark/>
          </w:tcPr>
          <w:p w14:paraId="29BBBEB6" w14:textId="77777777" w:rsidR="00C15F2E" w:rsidRPr="00D96063" w:rsidRDefault="00C15F2E" w:rsidP="00053198">
            <w:pPr>
              <w:jc w:val="right"/>
              <w:rPr>
                <w:rFonts w:cs="Arial"/>
                <w:sz w:val="16"/>
                <w:szCs w:val="16"/>
              </w:rPr>
            </w:pPr>
            <w:r w:rsidRPr="00D96063">
              <w:rPr>
                <w:rFonts w:cs="Arial"/>
                <w:sz w:val="16"/>
                <w:szCs w:val="16"/>
              </w:rPr>
              <w:t>1.3</w:t>
            </w:r>
          </w:p>
        </w:tc>
        <w:tc>
          <w:tcPr>
            <w:tcW w:w="545" w:type="pct"/>
            <w:noWrap/>
            <w:hideMark/>
          </w:tcPr>
          <w:p w14:paraId="22900896" w14:textId="77777777" w:rsidR="00C15F2E" w:rsidRPr="00D96063" w:rsidRDefault="00C15F2E" w:rsidP="00053198">
            <w:pPr>
              <w:jc w:val="right"/>
              <w:rPr>
                <w:rFonts w:cs="Arial"/>
                <w:sz w:val="16"/>
                <w:szCs w:val="16"/>
              </w:rPr>
            </w:pPr>
            <w:r w:rsidRPr="00D96063">
              <w:rPr>
                <w:rFonts w:cs="Arial"/>
                <w:sz w:val="16"/>
                <w:szCs w:val="16"/>
              </w:rPr>
              <w:t>1.8</w:t>
            </w:r>
          </w:p>
        </w:tc>
        <w:tc>
          <w:tcPr>
            <w:tcW w:w="545" w:type="pct"/>
            <w:noWrap/>
            <w:hideMark/>
          </w:tcPr>
          <w:p w14:paraId="0AA62C60" w14:textId="77777777" w:rsidR="00C15F2E" w:rsidRPr="00D96063" w:rsidRDefault="00C15F2E" w:rsidP="00053198">
            <w:pPr>
              <w:jc w:val="right"/>
              <w:rPr>
                <w:rFonts w:cs="Arial"/>
                <w:sz w:val="16"/>
                <w:szCs w:val="16"/>
              </w:rPr>
            </w:pPr>
            <w:r w:rsidRPr="00D96063">
              <w:rPr>
                <w:rFonts w:cs="Arial"/>
                <w:sz w:val="16"/>
                <w:szCs w:val="16"/>
              </w:rPr>
              <w:t>2.1</w:t>
            </w:r>
          </w:p>
        </w:tc>
        <w:tc>
          <w:tcPr>
            <w:tcW w:w="545" w:type="pct"/>
            <w:noWrap/>
            <w:hideMark/>
          </w:tcPr>
          <w:p w14:paraId="24011619" w14:textId="77777777" w:rsidR="00C15F2E" w:rsidRPr="00D96063" w:rsidRDefault="00C15F2E" w:rsidP="00053198">
            <w:pPr>
              <w:jc w:val="right"/>
              <w:rPr>
                <w:rFonts w:cs="Arial"/>
                <w:sz w:val="16"/>
                <w:szCs w:val="16"/>
              </w:rPr>
            </w:pPr>
            <w:r w:rsidRPr="00D96063">
              <w:rPr>
                <w:rFonts w:cs="Arial"/>
                <w:sz w:val="16"/>
                <w:szCs w:val="16"/>
              </w:rPr>
              <w:t>2.2</w:t>
            </w:r>
          </w:p>
        </w:tc>
      </w:tr>
      <w:tr w:rsidR="00C15F2E" w:rsidRPr="00D96063" w14:paraId="6C1C1448" w14:textId="77777777" w:rsidTr="00053198">
        <w:trPr>
          <w:trHeight w:val="240"/>
        </w:trPr>
        <w:tc>
          <w:tcPr>
            <w:tcW w:w="1731" w:type="pct"/>
            <w:noWrap/>
            <w:hideMark/>
          </w:tcPr>
          <w:p w14:paraId="621F1612" w14:textId="77777777" w:rsidR="00C15F2E" w:rsidRPr="00D96063" w:rsidRDefault="00C15F2E" w:rsidP="00053198">
            <w:pPr>
              <w:jc w:val="left"/>
              <w:rPr>
                <w:rFonts w:cs="Arial"/>
                <w:sz w:val="16"/>
                <w:szCs w:val="16"/>
              </w:rPr>
            </w:pPr>
            <w:r w:rsidRPr="00D96063">
              <w:rPr>
                <w:rFonts w:cs="Arial"/>
                <w:sz w:val="16"/>
                <w:szCs w:val="16"/>
              </w:rPr>
              <w:tab/>
              <w:t>Italy</w:t>
            </w:r>
          </w:p>
        </w:tc>
        <w:tc>
          <w:tcPr>
            <w:tcW w:w="545" w:type="pct"/>
            <w:noWrap/>
            <w:hideMark/>
          </w:tcPr>
          <w:p w14:paraId="5D9E917F" w14:textId="77777777" w:rsidR="00C15F2E" w:rsidRPr="00D96063" w:rsidRDefault="00C15F2E" w:rsidP="00053198">
            <w:pPr>
              <w:jc w:val="right"/>
              <w:rPr>
                <w:rFonts w:cs="Arial"/>
                <w:sz w:val="16"/>
                <w:szCs w:val="16"/>
              </w:rPr>
            </w:pPr>
            <w:r w:rsidRPr="00D96063">
              <w:rPr>
                <w:rFonts w:cs="Arial"/>
                <w:sz w:val="16"/>
                <w:szCs w:val="16"/>
              </w:rPr>
              <w:t>4.8</w:t>
            </w:r>
          </w:p>
        </w:tc>
        <w:tc>
          <w:tcPr>
            <w:tcW w:w="545" w:type="pct"/>
            <w:noWrap/>
            <w:hideMark/>
          </w:tcPr>
          <w:p w14:paraId="274090A0" w14:textId="77777777" w:rsidR="00C15F2E" w:rsidRPr="00D96063" w:rsidRDefault="00C15F2E" w:rsidP="00053198">
            <w:pPr>
              <w:jc w:val="right"/>
              <w:rPr>
                <w:rFonts w:cs="Arial"/>
                <w:sz w:val="16"/>
                <w:szCs w:val="16"/>
              </w:rPr>
            </w:pPr>
            <w:r w:rsidRPr="00D96063">
              <w:rPr>
                <w:rFonts w:cs="Arial"/>
                <w:sz w:val="16"/>
                <w:szCs w:val="16"/>
              </w:rPr>
              <w:t>4.9</w:t>
            </w:r>
          </w:p>
        </w:tc>
        <w:tc>
          <w:tcPr>
            <w:tcW w:w="545" w:type="pct"/>
            <w:noWrap/>
            <w:hideMark/>
          </w:tcPr>
          <w:p w14:paraId="72F91BA5" w14:textId="77777777" w:rsidR="00C15F2E" w:rsidRPr="00D96063" w:rsidRDefault="00C15F2E" w:rsidP="00053198">
            <w:pPr>
              <w:jc w:val="right"/>
              <w:rPr>
                <w:rFonts w:cs="Arial"/>
                <w:sz w:val="16"/>
                <w:szCs w:val="16"/>
              </w:rPr>
            </w:pPr>
            <w:r w:rsidRPr="00D96063">
              <w:rPr>
                <w:rFonts w:cs="Arial"/>
                <w:sz w:val="16"/>
                <w:szCs w:val="16"/>
              </w:rPr>
              <w:t>1.8</w:t>
            </w:r>
          </w:p>
        </w:tc>
        <w:tc>
          <w:tcPr>
            <w:tcW w:w="545" w:type="pct"/>
            <w:noWrap/>
            <w:hideMark/>
          </w:tcPr>
          <w:p w14:paraId="59A67AC2" w14:textId="77777777" w:rsidR="00C15F2E" w:rsidRPr="00D96063" w:rsidRDefault="00C15F2E" w:rsidP="00053198">
            <w:pPr>
              <w:jc w:val="right"/>
              <w:rPr>
                <w:rFonts w:cs="Arial"/>
                <w:sz w:val="16"/>
                <w:szCs w:val="16"/>
              </w:rPr>
            </w:pPr>
            <w:r w:rsidRPr="00D96063">
              <w:rPr>
                <w:rFonts w:cs="Arial"/>
                <w:sz w:val="16"/>
                <w:szCs w:val="16"/>
              </w:rPr>
              <w:t>1.3</w:t>
            </w:r>
          </w:p>
        </w:tc>
        <w:tc>
          <w:tcPr>
            <w:tcW w:w="545" w:type="pct"/>
            <w:noWrap/>
            <w:hideMark/>
          </w:tcPr>
          <w:p w14:paraId="62C03B04" w14:textId="77777777" w:rsidR="00C15F2E" w:rsidRPr="00D96063" w:rsidRDefault="00C15F2E" w:rsidP="00053198">
            <w:pPr>
              <w:jc w:val="right"/>
              <w:rPr>
                <w:rFonts w:cs="Arial"/>
                <w:sz w:val="16"/>
                <w:szCs w:val="16"/>
              </w:rPr>
            </w:pPr>
            <w:r w:rsidRPr="00D96063">
              <w:rPr>
                <w:rFonts w:cs="Arial"/>
                <w:sz w:val="16"/>
                <w:szCs w:val="16"/>
              </w:rPr>
              <w:t>1.8</w:t>
            </w:r>
          </w:p>
        </w:tc>
        <w:tc>
          <w:tcPr>
            <w:tcW w:w="545" w:type="pct"/>
            <w:noWrap/>
            <w:hideMark/>
          </w:tcPr>
          <w:p w14:paraId="03A500CB" w14:textId="77777777" w:rsidR="00C15F2E" w:rsidRPr="00D96063" w:rsidRDefault="00C15F2E" w:rsidP="00053198">
            <w:pPr>
              <w:jc w:val="right"/>
              <w:rPr>
                <w:rFonts w:cs="Arial"/>
                <w:sz w:val="16"/>
                <w:szCs w:val="16"/>
              </w:rPr>
            </w:pPr>
            <w:r w:rsidRPr="00D96063">
              <w:rPr>
                <w:rFonts w:cs="Arial"/>
                <w:sz w:val="16"/>
                <w:szCs w:val="16"/>
              </w:rPr>
              <w:t>1.8</w:t>
            </w:r>
          </w:p>
        </w:tc>
      </w:tr>
      <w:tr w:rsidR="00C15F2E" w:rsidRPr="00D96063" w14:paraId="137686BC"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0C42F244" w14:textId="77777777" w:rsidR="00C15F2E" w:rsidRPr="00D96063" w:rsidRDefault="00C15F2E" w:rsidP="00053198">
            <w:pPr>
              <w:jc w:val="left"/>
              <w:rPr>
                <w:rFonts w:cs="Arial"/>
                <w:sz w:val="16"/>
                <w:szCs w:val="16"/>
              </w:rPr>
            </w:pPr>
            <w:r w:rsidRPr="00D96063">
              <w:rPr>
                <w:rFonts w:cs="Arial"/>
                <w:sz w:val="16"/>
                <w:szCs w:val="16"/>
              </w:rPr>
              <w:tab/>
              <w:t>Germany</w:t>
            </w:r>
          </w:p>
        </w:tc>
        <w:tc>
          <w:tcPr>
            <w:tcW w:w="545" w:type="pct"/>
            <w:noWrap/>
            <w:hideMark/>
          </w:tcPr>
          <w:p w14:paraId="7F54C196" w14:textId="77777777" w:rsidR="00C15F2E" w:rsidRPr="00D96063" w:rsidRDefault="00C15F2E" w:rsidP="00053198">
            <w:pPr>
              <w:jc w:val="right"/>
              <w:rPr>
                <w:rFonts w:cs="Arial"/>
                <w:sz w:val="16"/>
                <w:szCs w:val="16"/>
              </w:rPr>
            </w:pPr>
            <w:r w:rsidRPr="00D96063">
              <w:rPr>
                <w:rFonts w:cs="Arial"/>
                <w:sz w:val="16"/>
                <w:szCs w:val="16"/>
              </w:rPr>
              <w:t>1.5</w:t>
            </w:r>
          </w:p>
        </w:tc>
        <w:tc>
          <w:tcPr>
            <w:tcW w:w="545" w:type="pct"/>
            <w:noWrap/>
            <w:hideMark/>
          </w:tcPr>
          <w:p w14:paraId="7193A21B" w14:textId="77777777" w:rsidR="00C15F2E" w:rsidRPr="00D96063" w:rsidRDefault="00C15F2E" w:rsidP="00053198">
            <w:pPr>
              <w:jc w:val="right"/>
              <w:rPr>
                <w:rFonts w:cs="Arial"/>
                <w:sz w:val="16"/>
                <w:szCs w:val="16"/>
              </w:rPr>
            </w:pPr>
            <w:r w:rsidRPr="00D96063">
              <w:rPr>
                <w:rFonts w:cs="Arial"/>
                <w:sz w:val="16"/>
                <w:szCs w:val="16"/>
              </w:rPr>
              <w:t>1.1</w:t>
            </w:r>
          </w:p>
        </w:tc>
        <w:tc>
          <w:tcPr>
            <w:tcW w:w="545" w:type="pct"/>
            <w:noWrap/>
            <w:hideMark/>
          </w:tcPr>
          <w:p w14:paraId="47BEE782" w14:textId="77777777" w:rsidR="00C15F2E" w:rsidRPr="00D96063" w:rsidRDefault="00C15F2E" w:rsidP="00053198">
            <w:pPr>
              <w:jc w:val="right"/>
              <w:rPr>
                <w:rFonts w:cs="Arial"/>
                <w:sz w:val="16"/>
                <w:szCs w:val="16"/>
              </w:rPr>
            </w:pPr>
            <w:r w:rsidRPr="00D96063">
              <w:rPr>
                <w:rFonts w:cs="Arial"/>
                <w:sz w:val="16"/>
                <w:szCs w:val="16"/>
              </w:rPr>
              <w:t>1.4</w:t>
            </w:r>
          </w:p>
        </w:tc>
        <w:tc>
          <w:tcPr>
            <w:tcW w:w="545" w:type="pct"/>
            <w:noWrap/>
            <w:hideMark/>
          </w:tcPr>
          <w:p w14:paraId="01C45041" w14:textId="77777777" w:rsidR="00C15F2E" w:rsidRPr="00D96063" w:rsidRDefault="00C15F2E" w:rsidP="00053198">
            <w:pPr>
              <w:jc w:val="right"/>
              <w:rPr>
                <w:rFonts w:cs="Arial"/>
                <w:sz w:val="16"/>
                <w:szCs w:val="16"/>
              </w:rPr>
            </w:pPr>
            <w:r w:rsidRPr="00D96063">
              <w:rPr>
                <w:rFonts w:cs="Arial"/>
                <w:sz w:val="16"/>
                <w:szCs w:val="16"/>
              </w:rPr>
              <w:t>1.6</w:t>
            </w:r>
          </w:p>
        </w:tc>
        <w:tc>
          <w:tcPr>
            <w:tcW w:w="545" w:type="pct"/>
            <w:noWrap/>
            <w:hideMark/>
          </w:tcPr>
          <w:p w14:paraId="634781E9" w14:textId="77777777" w:rsidR="00C15F2E" w:rsidRPr="00D96063" w:rsidRDefault="00C15F2E" w:rsidP="00053198">
            <w:pPr>
              <w:jc w:val="right"/>
              <w:rPr>
                <w:rFonts w:cs="Arial"/>
                <w:sz w:val="16"/>
                <w:szCs w:val="16"/>
              </w:rPr>
            </w:pPr>
            <w:r w:rsidRPr="00D96063">
              <w:rPr>
                <w:rFonts w:cs="Arial"/>
                <w:sz w:val="16"/>
                <w:szCs w:val="16"/>
              </w:rPr>
              <w:t>1.2</w:t>
            </w:r>
          </w:p>
        </w:tc>
        <w:tc>
          <w:tcPr>
            <w:tcW w:w="545" w:type="pct"/>
            <w:noWrap/>
            <w:hideMark/>
          </w:tcPr>
          <w:p w14:paraId="494FBF9B" w14:textId="77777777" w:rsidR="00C15F2E" w:rsidRPr="00D96063" w:rsidRDefault="00C15F2E" w:rsidP="00053198">
            <w:pPr>
              <w:jc w:val="right"/>
              <w:rPr>
                <w:rFonts w:cs="Arial"/>
                <w:sz w:val="16"/>
                <w:szCs w:val="16"/>
              </w:rPr>
            </w:pPr>
            <w:r w:rsidRPr="00D96063">
              <w:rPr>
                <w:rFonts w:cs="Arial"/>
                <w:sz w:val="16"/>
                <w:szCs w:val="16"/>
              </w:rPr>
              <w:t>1.3</w:t>
            </w:r>
          </w:p>
        </w:tc>
      </w:tr>
      <w:tr w:rsidR="00C15F2E" w:rsidRPr="00D96063" w14:paraId="7510C979" w14:textId="77777777" w:rsidTr="00053198">
        <w:trPr>
          <w:trHeight w:val="240"/>
        </w:trPr>
        <w:tc>
          <w:tcPr>
            <w:tcW w:w="1731" w:type="pct"/>
            <w:noWrap/>
            <w:hideMark/>
          </w:tcPr>
          <w:p w14:paraId="451BA394" w14:textId="77777777" w:rsidR="00C15F2E" w:rsidRPr="00D96063" w:rsidRDefault="00C15F2E" w:rsidP="00053198">
            <w:pPr>
              <w:jc w:val="left"/>
              <w:rPr>
                <w:rFonts w:cs="Arial"/>
                <w:sz w:val="16"/>
                <w:szCs w:val="16"/>
              </w:rPr>
            </w:pPr>
            <w:r w:rsidRPr="00D96063">
              <w:rPr>
                <w:rFonts w:cs="Arial"/>
                <w:sz w:val="16"/>
                <w:szCs w:val="16"/>
              </w:rPr>
              <w:tab/>
              <w:t>Belgium</w:t>
            </w:r>
          </w:p>
        </w:tc>
        <w:tc>
          <w:tcPr>
            <w:tcW w:w="545" w:type="pct"/>
            <w:noWrap/>
            <w:hideMark/>
          </w:tcPr>
          <w:p w14:paraId="505F30F8" w14:textId="77777777" w:rsidR="00C15F2E" w:rsidRPr="00D96063" w:rsidRDefault="00C15F2E" w:rsidP="00053198">
            <w:pPr>
              <w:jc w:val="right"/>
              <w:rPr>
                <w:rFonts w:cs="Arial"/>
                <w:sz w:val="16"/>
                <w:szCs w:val="16"/>
              </w:rPr>
            </w:pPr>
            <w:r w:rsidRPr="00D96063">
              <w:rPr>
                <w:rFonts w:cs="Arial"/>
                <w:sz w:val="16"/>
                <w:szCs w:val="16"/>
              </w:rPr>
              <w:t>1.5</w:t>
            </w:r>
          </w:p>
        </w:tc>
        <w:tc>
          <w:tcPr>
            <w:tcW w:w="545" w:type="pct"/>
            <w:noWrap/>
            <w:hideMark/>
          </w:tcPr>
          <w:p w14:paraId="6EE66984" w14:textId="77777777" w:rsidR="00C15F2E" w:rsidRPr="00D96063" w:rsidRDefault="00C15F2E" w:rsidP="00053198">
            <w:pPr>
              <w:jc w:val="right"/>
              <w:rPr>
                <w:rFonts w:cs="Arial"/>
                <w:sz w:val="16"/>
                <w:szCs w:val="16"/>
              </w:rPr>
            </w:pPr>
            <w:r w:rsidRPr="00D96063">
              <w:rPr>
                <w:rFonts w:cs="Arial"/>
                <w:sz w:val="16"/>
                <w:szCs w:val="16"/>
              </w:rPr>
              <w:t>2.6</w:t>
            </w:r>
          </w:p>
        </w:tc>
        <w:tc>
          <w:tcPr>
            <w:tcW w:w="545" w:type="pct"/>
            <w:noWrap/>
            <w:hideMark/>
          </w:tcPr>
          <w:p w14:paraId="186ADB7A" w14:textId="77777777" w:rsidR="00C15F2E" w:rsidRPr="00D96063" w:rsidRDefault="00C15F2E" w:rsidP="00053198">
            <w:pPr>
              <w:jc w:val="right"/>
              <w:rPr>
                <w:rFonts w:cs="Arial"/>
                <w:sz w:val="16"/>
                <w:szCs w:val="16"/>
              </w:rPr>
            </w:pPr>
            <w:r w:rsidRPr="00D96063">
              <w:rPr>
                <w:rFonts w:cs="Arial"/>
                <w:sz w:val="16"/>
                <w:szCs w:val="16"/>
              </w:rPr>
              <w:t>0.9</w:t>
            </w:r>
          </w:p>
        </w:tc>
        <w:tc>
          <w:tcPr>
            <w:tcW w:w="545" w:type="pct"/>
            <w:noWrap/>
            <w:hideMark/>
          </w:tcPr>
          <w:p w14:paraId="567287CC" w14:textId="77777777" w:rsidR="00C15F2E" w:rsidRPr="00D96063" w:rsidRDefault="00C15F2E" w:rsidP="00053198">
            <w:pPr>
              <w:jc w:val="right"/>
              <w:rPr>
                <w:rFonts w:cs="Arial"/>
                <w:sz w:val="16"/>
                <w:szCs w:val="16"/>
              </w:rPr>
            </w:pPr>
            <w:r w:rsidRPr="00D96063">
              <w:rPr>
                <w:rFonts w:cs="Arial"/>
                <w:sz w:val="16"/>
                <w:szCs w:val="16"/>
              </w:rPr>
              <w:t>1.1</w:t>
            </w:r>
          </w:p>
        </w:tc>
        <w:tc>
          <w:tcPr>
            <w:tcW w:w="545" w:type="pct"/>
            <w:noWrap/>
            <w:hideMark/>
          </w:tcPr>
          <w:p w14:paraId="02D08AF5" w14:textId="77777777" w:rsidR="00C15F2E" w:rsidRPr="00D96063" w:rsidRDefault="00C15F2E" w:rsidP="00053198">
            <w:pPr>
              <w:jc w:val="right"/>
              <w:rPr>
                <w:rFonts w:cs="Arial"/>
                <w:sz w:val="16"/>
                <w:szCs w:val="16"/>
              </w:rPr>
            </w:pPr>
            <w:r w:rsidRPr="00D96063">
              <w:rPr>
                <w:rFonts w:cs="Arial"/>
                <w:sz w:val="16"/>
                <w:szCs w:val="16"/>
              </w:rPr>
              <w:t>0.9</w:t>
            </w:r>
          </w:p>
        </w:tc>
        <w:tc>
          <w:tcPr>
            <w:tcW w:w="545" w:type="pct"/>
            <w:noWrap/>
            <w:hideMark/>
          </w:tcPr>
          <w:p w14:paraId="156F976C" w14:textId="77777777" w:rsidR="00C15F2E" w:rsidRPr="00D96063" w:rsidRDefault="00C15F2E" w:rsidP="00053198">
            <w:pPr>
              <w:jc w:val="right"/>
              <w:rPr>
                <w:rFonts w:cs="Arial"/>
                <w:sz w:val="16"/>
                <w:szCs w:val="16"/>
              </w:rPr>
            </w:pPr>
            <w:r w:rsidRPr="00D96063">
              <w:rPr>
                <w:rFonts w:cs="Arial"/>
                <w:sz w:val="16"/>
                <w:szCs w:val="16"/>
              </w:rPr>
              <w:t>1.2</w:t>
            </w:r>
          </w:p>
        </w:tc>
      </w:tr>
      <w:tr w:rsidR="00C15F2E" w:rsidRPr="00D96063" w14:paraId="16D871D9"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200E237D" w14:textId="77777777" w:rsidR="00C15F2E" w:rsidRPr="00D96063" w:rsidRDefault="00C15F2E" w:rsidP="00053198">
            <w:pPr>
              <w:jc w:val="left"/>
              <w:rPr>
                <w:rFonts w:cs="Arial"/>
                <w:sz w:val="16"/>
                <w:szCs w:val="16"/>
              </w:rPr>
            </w:pPr>
            <w:r w:rsidRPr="00D96063">
              <w:rPr>
                <w:rFonts w:cs="Arial"/>
                <w:sz w:val="16"/>
                <w:szCs w:val="16"/>
              </w:rPr>
              <w:tab/>
              <w:t>Spain</w:t>
            </w:r>
          </w:p>
        </w:tc>
        <w:tc>
          <w:tcPr>
            <w:tcW w:w="545" w:type="pct"/>
            <w:noWrap/>
            <w:hideMark/>
          </w:tcPr>
          <w:p w14:paraId="5974480D" w14:textId="77777777" w:rsidR="00C15F2E" w:rsidRPr="00D96063" w:rsidRDefault="00C15F2E" w:rsidP="00053198">
            <w:pPr>
              <w:jc w:val="right"/>
              <w:rPr>
                <w:rFonts w:cs="Arial"/>
                <w:sz w:val="16"/>
                <w:szCs w:val="16"/>
              </w:rPr>
            </w:pPr>
            <w:r w:rsidRPr="00D96063">
              <w:rPr>
                <w:rFonts w:cs="Arial"/>
                <w:sz w:val="16"/>
                <w:szCs w:val="16"/>
              </w:rPr>
              <w:t>3.7</w:t>
            </w:r>
          </w:p>
        </w:tc>
        <w:tc>
          <w:tcPr>
            <w:tcW w:w="545" w:type="pct"/>
            <w:noWrap/>
            <w:hideMark/>
          </w:tcPr>
          <w:p w14:paraId="5CFD0C2A" w14:textId="77777777" w:rsidR="00C15F2E" w:rsidRPr="00D96063" w:rsidRDefault="00C15F2E" w:rsidP="00053198">
            <w:pPr>
              <w:jc w:val="right"/>
              <w:rPr>
                <w:rFonts w:cs="Arial"/>
                <w:sz w:val="16"/>
                <w:szCs w:val="16"/>
              </w:rPr>
            </w:pPr>
            <w:r w:rsidRPr="00D96063">
              <w:rPr>
                <w:rFonts w:cs="Arial"/>
                <w:sz w:val="16"/>
                <w:szCs w:val="16"/>
              </w:rPr>
              <w:t>1.1</w:t>
            </w:r>
          </w:p>
        </w:tc>
        <w:tc>
          <w:tcPr>
            <w:tcW w:w="545" w:type="pct"/>
            <w:noWrap/>
            <w:hideMark/>
          </w:tcPr>
          <w:p w14:paraId="72C8813E" w14:textId="77777777" w:rsidR="00C15F2E" w:rsidRPr="00D96063" w:rsidRDefault="00C15F2E" w:rsidP="00053198">
            <w:pPr>
              <w:jc w:val="right"/>
              <w:rPr>
                <w:rFonts w:cs="Arial"/>
                <w:sz w:val="16"/>
                <w:szCs w:val="16"/>
              </w:rPr>
            </w:pPr>
            <w:r w:rsidRPr="00D96063">
              <w:rPr>
                <w:rFonts w:cs="Arial"/>
                <w:sz w:val="16"/>
                <w:szCs w:val="16"/>
              </w:rPr>
              <w:t>1.4</w:t>
            </w:r>
          </w:p>
        </w:tc>
        <w:tc>
          <w:tcPr>
            <w:tcW w:w="545" w:type="pct"/>
            <w:noWrap/>
            <w:hideMark/>
          </w:tcPr>
          <w:p w14:paraId="11132D80" w14:textId="77777777" w:rsidR="00C15F2E" w:rsidRPr="00D96063" w:rsidRDefault="00C15F2E" w:rsidP="00053198">
            <w:pPr>
              <w:jc w:val="right"/>
              <w:rPr>
                <w:rFonts w:cs="Arial"/>
                <w:sz w:val="16"/>
                <w:szCs w:val="16"/>
              </w:rPr>
            </w:pPr>
            <w:r w:rsidRPr="00D96063">
              <w:rPr>
                <w:rFonts w:cs="Arial"/>
                <w:sz w:val="16"/>
                <w:szCs w:val="16"/>
              </w:rPr>
              <w:t>1.5</w:t>
            </w:r>
          </w:p>
        </w:tc>
        <w:tc>
          <w:tcPr>
            <w:tcW w:w="545" w:type="pct"/>
            <w:noWrap/>
            <w:hideMark/>
          </w:tcPr>
          <w:p w14:paraId="27C53249" w14:textId="77777777" w:rsidR="00C15F2E" w:rsidRPr="00D96063" w:rsidRDefault="00C15F2E" w:rsidP="00053198">
            <w:pPr>
              <w:jc w:val="right"/>
              <w:rPr>
                <w:rFonts w:cs="Arial"/>
                <w:sz w:val="16"/>
                <w:szCs w:val="16"/>
              </w:rPr>
            </w:pPr>
            <w:r w:rsidRPr="00D96063">
              <w:rPr>
                <w:rFonts w:cs="Arial"/>
                <w:sz w:val="16"/>
                <w:szCs w:val="16"/>
              </w:rPr>
              <w:t>3.4</w:t>
            </w:r>
          </w:p>
        </w:tc>
        <w:tc>
          <w:tcPr>
            <w:tcW w:w="545" w:type="pct"/>
            <w:noWrap/>
            <w:hideMark/>
          </w:tcPr>
          <w:p w14:paraId="5326E97E" w14:textId="77777777" w:rsidR="00C15F2E" w:rsidRPr="00D96063" w:rsidRDefault="00C15F2E" w:rsidP="00053198">
            <w:pPr>
              <w:jc w:val="right"/>
              <w:rPr>
                <w:rFonts w:cs="Arial"/>
                <w:sz w:val="16"/>
                <w:szCs w:val="16"/>
              </w:rPr>
            </w:pPr>
            <w:r w:rsidRPr="00D96063">
              <w:rPr>
                <w:rFonts w:cs="Arial"/>
                <w:sz w:val="16"/>
                <w:szCs w:val="16"/>
              </w:rPr>
              <w:t>1.0</w:t>
            </w:r>
          </w:p>
        </w:tc>
      </w:tr>
      <w:tr w:rsidR="00C15F2E" w:rsidRPr="00D96063" w14:paraId="5AB25488" w14:textId="77777777" w:rsidTr="00053198">
        <w:trPr>
          <w:trHeight w:val="240"/>
        </w:trPr>
        <w:tc>
          <w:tcPr>
            <w:tcW w:w="1731" w:type="pct"/>
            <w:noWrap/>
            <w:hideMark/>
          </w:tcPr>
          <w:p w14:paraId="08945AF7" w14:textId="77777777" w:rsidR="00C15F2E" w:rsidRPr="00D96063" w:rsidRDefault="00C15F2E" w:rsidP="00053198">
            <w:pPr>
              <w:ind w:left="113" w:hanging="113"/>
              <w:jc w:val="left"/>
              <w:rPr>
                <w:rFonts w:cs="Arial"/>
                <w:sz w:val="16"/>
                <w:szCs w:val="16"/>
              </w:rPr>
            </w:pPr>
            <w:r w:rsidRPr="00D96063">
              <w:rPr>
                <w:rFonts w:cs="Arial"/>
                <w:sz w:val="16"/>
                <w:szCs w:val="16"/>
              </w:rPr>
              <w:tab/>
              <w:t>EFTA</w:t>
            </w:r>
          </w:p>
        </w:tc>
        <w:tc>
          <w:tcPr>
            <w:tcW w:w="545" w:type="pct"/>
            <w:noWrap/>
            <w:hideMark/>
          </w:tcPr>
          <w:p w14:paraId="3E7273FF" w14:textId="77777777" w:rsidR="00C15F2E" w:rsidRPr="00D96063" w:rsidRDefault="00C15F2E" w:rsidP="00053198">
            <w:pPr>
              <w:jc w:val="right"/>
              <w:rPr>
                <w:rFonts w:cs="Arial"/>
                <w:sz w:val="16"/>
                <w:szCs w:val="16"/>
              </w:rPr>
            </w:pPr>
            <w:r w:rsidRPr="00D96063">
              <w:rPr>
                <w:rFonts w:cs="Arial"/>
                <w:sz w:val="16"/>
                <w:szCs w:val="16"/>
              </w:rPr>
              <w:t>7.5</w:t>
            </w:r>
          </w:p>
        </w:tc>
        <w:tc>
          <w:tcPr>
            <w:tcW w:w="545" w:type="pct"/>
            <w:noWrap/>
            <w:hideMark/>
          </w:tcPr>
          <w:p w14:paraId="47D8D54D" w14:textId="77777777" w:rsidR="00C15F2E" w:rsidRPr="00D96063" w:rsidRDefault="00C15F2E" w:rsidP="00053198">
            <w:pPr>
              <w:jc w:val="right"/>
              <w:rPr>
                <w:rFonts w:cs="Arial"/>
                <w:sz w:val="16"/>
                <w:szCs w:val="16"/>
              </w:rPr>
            </w:pPr>
            <w:r w:rsidRPr="00D96063">
              <w:rPr>
                <w:rFonts w:cs="Arial"/>
                <w:sz w:val="16"/>
                <w:szCs w:val="16"/>
              </w:rPr>
              <w:t>9.9</w:t>
            </w:r>
          </w:p>
        </w:tc>
        <w:tc>
          <w:tcPr>
            <w:tcW w:w="545" w:type="pct"/>
            <w:noWrap/>
            <w:hideMark/>
          </w:tcPr>
          <w:p w14:paraId="647BD8BE" w14:textId="77777777" w:rsidR="00C15F2E" w:rsidRPr="00D96063" w:rsidRDefault="00C15F2E" w:rsidP="00053198">
            <w:pPr>
              <w:jc w:val="right"/>
              <w:rPr>
                <w:rFonts w:cs="Arial"/>
                <w:sz w:val="16"/>
                <w:szCs w:val="16"/>
              </w:rPr>
            </w:pPr>
            <w:r w:rsidRPr="00D96063">
              <w:rPr>
                <w:rFonts w:cs="Arial"/>
                <w:sz w:val="16"/>
                <w:szCs w:val="16"/>
              </w:rPr>
              <w:t>17.5</w:t>
            </w:r>
          </w:p>
        </w:tc>
        <w:tc>
          <w:tcPr>
            <w:tcW w:w="545" w:type="pct"/>
            <w:noWrap/>
            <w:hideMark/>
          </w:tcPr>
          <w:p w14:paraId="7E36CED5" w14:textId="77777777" w:rsidR="00C15F2E" w:rsidRPr="00D96063" w:rsidRDefault="00C15F2E" w:rsidP="00053198">
            <w:pPr>
              <w:jc w:val="right"/>
              <w:rPr>
                <w:rFonts w:cs="Arial"/>
                <w:sz w:val="16"/>
                <w:szCs w:val="16"/>
              </w:rPr>
            </w:pPr>
            <w:r w:rsidRPr="00D96063">
              <w:rPr>
                <w:rFonts w:cs="Arial"/>
                <w:sz w:val="16"/>
                <w:szCs w:val="16"/>
              </w:rPr>
              <w:t>11.6</w:t>
            </w:r>
          </w:p>
        </w:tc>
        <w:tc>
          <w:tcPr>
            <w:tcW w:w="545" w:type="pct"/>
            <w:noWrap/>
            <w:hideMark/>
          </w:tcPr>
          <w:p w14:paraId="17A9AB1B" w14:textId="77777777" w:rsidR="00C15F2E" w:rsidRPr="00D96063" w:rsidRDefault="00C15F2E" w:rsidP="00053198">
            <w:pPr>
              <w:jc w:val="right"/>
              <w:rPr>
                <w:rFonts w:cs="Arial"/>
                <w:sz w:val="16"/>
                <w:szCs w:val="16"/>
              </w:rPr>
            </w:pPr>
            <w:r w:rsidRPr="00D96063">
              <w:rPr>
                <w:rFonts w:cs="Arial"/>
                <w:sz w:val="16"/>
                <w:szCs w:val="16"/>
              </w:rPr>
              <w:t>9.6</w:t>
            </w:r>
          </w:p>
        </w:tc>
        <w:tc>
          <w:tcPr>
            <w:tcW w:w="545" w:type="pct"/>
            <w:noWrap/>
            <w:hideMark/>
          </w:tcPr>
          <w:p w14:paraId="6315E9AC" w14:textId="77777777" w:rsidR="00C15F2E" w:rsidRPr="00D96063" w:rsidRDefault="00C15F2E" w:rsidP="00053198">
            <w:pPr>
              <w:jc w:val="right"/>
              <w:rPr>
                <w:rFonts w:cs="Arial"/>
                <w:sz w:val="16"/>
                <w:szCs w:val="16"/>
              </w:rPr>
            </w:pPr>
            <w:r w:rsidRPr="00D96063">
              <w:rPr>
                <w:rFonts w:cs="Arial"/>
                <w:sz w:val="16"/>
                <w:szCs w:val="16"/>
              </w:rPr>
              <w:t>14.7</w:t>
            </w:r>
          </w:p>
        </w:tc>
      </w:tr>
      <w:tr w:rsidR="00C15F2E" w:rsidRPr="00D96063" w14:paraId="61CC75F3"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0661D893" w14:textId="77777777" w:rsidR="00C15F2E" w:rsidRPr="00D96063" w:rsidRDefault="00C15F2E" w:rsidP="00053198">
            <w:pPr>
              <w:jc w:val="left"/>
              <w:rPr>
                <w:rFonts w:cs="Arial"/>
                <w:sz w:val="16"/>
                <w:szCs w:val="16"/>
              </w:rPr>
            </w:pPr>
            <w:r w:rsidRPr="00D96063">
              <w:rPr>
                <w:rFonts w:cs="Arial"/>
                <w:sz w:val="16"/>
                <w:szCs w:val="16"/>
              </w:rPr>
              <w:tab/>
              <w:t>Switzerland</w:t>
            </w:r>
          </w:p>
        </w:tc>
        <w:tc>
          <w:tcPr>
            <w:tcW w:w="545" w:type="pct"/>
            <w:noWrap/>
            <w:hideMark/>
          </w:tcPr>
          <w:p w14:paraId="72BE39D8" w14:textId="77777777" w:rsidR="00C15F2E" w:rsidRPr="00D96063" w:rsidRDefault="00C15F2E" w:rsidP="00053198">
            <w:pPr>
              <w:jc w:val="right"/>
              <w:rPr>
                <w:rFonts w:cs="Arial"/>
                <w:sz w:val="16"/>
                <w:szCs w:val="16"/>
              </w:rPr>
            </w:pPr>
            <w:r w:rsidRPr="00D96063">
              <w:rPr>
                <w:rFonts w:cs="Arial"/>
                <w:sz w:val="16"/>
                <w:szCs w:val="16"/>
              </w:rPr>
              <w:t>7.4</w:t>
            </w:r>
          </w:p>
        </w:tc>
        <w:tc>
          <w:tcPr>
            <w:tcW w:w="545" w:type="pct"/>
            <w:noWrap/>
            <w:hideMark/>
          </w:tcPr>
          <w:p w14:paraId="06BE0763" w14:textId="77777777" w:rsidR="00C15F2E" w:rsidRPr="00D96063" w:rsidRDefault="00C15F2E" w:rsidP="00053198">
            <w:pPr>
              <w:jc w:val="right"/>
              <w:rPr>
                <w:rFonts w:cs="Arial"/>
                <w:sz w:val="16"/>
                <w:szCs w:val="16"/>
              </w:rPr>
            </w:pPr>
            <w:r w:rsidRPr="00D96063">
              <w:rPr>
                <w:rFonts w:cs="Arial"/>
                <w:sz w:val="16"/>
                <w:szCs w:val="16"/>
              </w:rPr>
              <w:t>9.9</w:t>
            </w:r>
          </w:p>
        </w:tc>
        <w:tc>
          <w:tcPr>
            <w:tcW w:w="545" w:type="pct"/>
            <w:noWrap/>
            <w:hideMark/>
          </w:tcPr>
          <w:p w14:paraId="432E1471" w14:textId="77777777" w:rsidR="00C15F2E" w:rsidRPr="00D96063" w:rsidRDefault="00C15F2E" w:rsidP="00053198">
            <w:pPr>
              <w:jc w:val="right"/>
              <w:rPr>
                <w:rFonts w:cs="Arial"/>
                <w:sz w:val="16"/>
                <w:szCs w:val="16"/>
              </w:rPr>
            </w:pPr>
            <w:r w:rsidRPr="00D96063">
              <w:rPr>
                <w:rFonts w:cs="Arial"/>
                <w:sz w:val="16"/>
                <w:szCs w:val="16"/>
              </w:rPr>
              <w:t>17.5</w:t>
            </w:r>
          </w:p>
        </w:tc>
        <w:tc>
          <w:tcPr>
            <w:tcW w:w="545" w:type="pct"/>
            <w:noWrap/>
            <w:hideMark/>
          </w:tcPr>
          <w:p w14:paraId="59D304B9" w14:textId="77777777" w:rsidR="00C15F2E" w:rsidRPr="00D96063" w:rsidRDefault="00C15F2E" w:rsidP="00053198">
            <w:pPr>
              <w:jc w:val="right"/>
              <w:rPr>
                <w:rFonts w:cs="Arial"/>
                <w:sz w:val="16"/>
                <w:szCs w:val="16"/>
              </w:rPr>
            </w:pPr>
            <w:r w:rsidRPr="00D96063">
              <w:rPr>
                <w:rFonts w:cs="Arial"/>
                <w:sz w:val="16"/>
                <w:szCs w:val="16"/>
              </w:rPr>
              <w:t>11.6</w:t>
            </w:r>
          </w:p>
        </w:tc>
        <w:tc>
          <w:tcPr>
            <w:tcW w:w="545" w:type="pct"/>
            <w:noWrap/>
            <w:hideMark/>
          </w:tcPr>
          <w:p w14:paraId="0F69069A" w14:textId="77777777" w:rsidR="00C15F2E" w:rsidRPr="00D96063" w:rsidRDefault="00C15F2E" w:rsidP="00053198">
            <w:pPr>
              <w:jc w:val="right"/>
              <w:rPr>
                <w:rFonts w:cs="Arial"/>
                <w:sz w:val="16"/>
                <w:szCs w:val="16"/>
              </w:rPr>
            </w:pPr>
            <w:r w:rsidRPr="00D96063">
              <w:rPr>
                <w:rFonts w:cs="Arial"/>
                <w:sz w:val="16"/>
                <w:szCs w:val="16"/>
              </w:rPr>
              <w:t>9.5</w:t>
            </w:r>
          </w:p>
        </w:tc>
        <w:tc>
          <w:tcPr>
            <w:tcW w:w="545" w:type="pct"/>
            <w:noWrap/>
            <w:hideMark/>
          </w:tcPr>
          <w:p w14:paraId="4B2EE9CF" w14:textId="77777777" w:rsidR="00C15F2E" w:rsidRPr="00D96063" w:rsidRDefault="00C15F2E" w:rsidP="00053198">
            <w:pPr>
              <w:jc w:val="right"/>
              <w:rPr>
                <w:rFonts w:cs="Arial"/>
                <w:sz w:val="16"/>
                <w:szCs w:val="16"/>
              </w:rPr>
            </w:pPr>
            <w:r w:rsidRPr="00D96063">
              <w:rPr>
                <w:rFonts w:cs="Arial"/>
                <w:sz w:val="16"/>
                <w:szCs w:val="16"/>
              </w:rPr>
              <w:t>14.7</w:t>
            </w:r>
          </w:p>
        </w:tc>
      </w:tr>
      <w:tr w:rsidR="00C15F2E" w:rsidRPr="00D96063" w14:paraId="00B9BFA2" w14:textId="77777777" w:rsidTr="00053198">
        <w:trPr>
          <w:trHeight w:val="240"/>
        </w:trPr>
        <w:tc>
          <w:tcPr>
            <w:tcW w:w="1731" w:type="pct"/>
            <w:noWrap/>
            <w:hideMark/>
          </w:tcPr>
          <w:p w14:paraId="7BD5DD9D" w14:textId="77777777" w:rsidR="00C15F2E" w:rsidRPr="00D96063" w:rsidRDefault="00C15F2E" w:rsidP="00053198">
            <w:pPr>
              <w:ind w:left="113" w:hanging="113"/>
              <w:jc w:val="left"/>
              <w:rPr>
                <w:rFonts w:cs="Arial"/>
                <w:sz w:val="16"/>
                <w:szCs w:val="16"/>
              </w:rPr>
            </w:pPr>
            <w:r w:rsidRPr="00D96063">
              <w:rPr>
                <w:rFonts w:cs="Arial"/>
                <w:sz w:val="16"/>
                <w:szCs w:val="16"/>
              </w:rPr>
              <w:tab/>
              <w:t>Other Europe</w:t>
            </w:r>
          </w:p>
        </w:tc>
        <w:tc>
          <w:tcPr>
            <w:tcW w:w="545" w:type="pct"/>
            <w:noWrap/>
            <w:hideMark/>
          </w:tcPr>
          <w:p w14:paraId="56A3D748" w14:textId="77777777" w:rsidR="00C15F2E" w:rsidRPr="00D96063" w:rsidRDefault="00C15F2E" w:rsidP="00053198">
            <w:pPr>
              <w:jc w:val="right"/>
              <w:rPr>
                <w:rFonts w:cs="Arial"/>
                <w:sz w:val="16"/>
                <w:szCs w:val="16"/>
              </w:rPr>
            </w:pPr>
            <w:r w:rsidRPr="00D96063">
              <w:rPr>
                <w:rFonts w:cs="Arial"/>
                <w:sz w:val="16"/>
                <w:szCs w:val="16"/>
              </w:rPr>
              <w:t>4.5</w:t>
            </w:r>
          </w:p>
        </w:tc>
        <w:tc>
          <w:tcPr>
            <w:tcW w:w="545" w:type="pct"/>
            <w:noWrap/>
            <w:hideMark/>
          </w:tcPr>
          <w:p w14:paraId="6686B9C0" w14:textId="77777777" w:rsidR="00C15F2E" w:rsidRPr="00D96063" w:rsidRDefault="00C15F2E" w:rsidP="00053198">
            <w:pPr>
              <w:jc w:val="right"/>
              <w:rPr>
                <w:rFonts w:cs="Arial"/>
                <w:sz w:val="16"/>
                <w:szCs w:val="16"/>
              </w:rPr>
            </w:pPr>
            <w:r w:rsidRPr="00D96063">
              <w:rPr>
                <w:rFonts w:cs="Arial"/>
                <w:sz w:val="16"/>
                <w:szCs w:val="16"/>
              </w:rPr>
              <w:t>3.5</w:t>
            </w:r>
          </w:p>
        </w:tc>
        <w:tc>
          <w:tcPr>
            <w:tcW w:w="545" w:type="pct"/>
            <w:noWrap/>
            <w:hideMark/>
          </w:tcPr>
          <w:p w14:paraId="5990D75C" w14:textId="77777777" w:rsidR="00C15F2E" w:rsidRPr="00D96063" w:rsidRDefault="00C15F2E" w:rsidP="00053198">
            <w:pPr>
              <w:jc w:val="right"/>
              <w:rPr>
                <w:rFonts w:cs="Arial"/>
                <w:sz w:val="16"/>
                <w:szCs w:val="16"/>
              </w:rPr>
            </w:pPr>
            <w:r w:rsidRPr="00D96063">
              <w:rPr>
                <w:rFonts w:cs="Arial"/>
                <w:sz w:val="16"/>
                <w:szCs w:val="16"/>
              </w:rPr>
              <w:t>2.0</w:t>
            </w:r>
          </w:p>
        </w:tc>
        <w:tc>
          <w:tcPr>
            <w:tcW w:w="545" w:type="pct"/>
            <w:noWrap/>
            <w:hideMark/>
          </w:tcPr>
          <w:p w14:paraId="24A2D1BF" w14:textId="77777777" w:rsidR="00C15F2E" w:rsidRPr="00D96063" w:rsidRDefault="00C15F2E" w:rsidP="00053198">
            <w:pPr>
              <w:jc w:val="right"/>
              <w:rPr>
                <w:rFonts w:cs="Arial"/>
                <w:sz w:val="16"/>
                <w:szCs w:val="16"/>
              </w:rPr>
            </w:pPr>
            <w:r w:rsidRPr="00D96063">
              <w:rPr>
                <w:rFonts w:cs="Arial"/>
                <w:sz w:val="16"/>
                <w:szCs w:val="16"/>
              </w:rPr>
              <w:t>3.3</w:t>
            </w:r>
          </w:p>
        </w:tc>
        <w:tc>
          <w:tcPr>
            <w:tcW w:w="545" w:type="pct"/>
            <w:noWrap/>
            <w:hideMark/>
          </w:tcPr>
          <w:p w14:paraId="15554064" w14:textId="77777777" w:rsidR="00C15F2E" w:rsidRPr="00D96063" w:rsidRDefault="00C15F2E" w:rsidP="00053198">
            <w:pPr>
              <w:jc w:val="right"/>
              <w:rPr>
                <w:rFonts w:cs="Arial"/>
                <w:sz w:val="16"/>
                <w:szCs w:val="16"/>
              </w:rPr>
            </w:pPr>
            <w:r w:rsidRPr="00D96063">
              <w:rPr>
                <w:rFonts w:cs="Arial"/>
                <w:sz w:val="16"/>
                <w:szCs w:val="16"/>
              </w:rPr>
              <w:t>3.6</w:t>
            </w:r>
          </w:p>
        </w:tc>
        <w:tc>
          <w:tcPr>
            <w:tcW w:w="545" w:type="pct"/>
            <w:noWrap/>
            <w:hideMark/>
          </w:tcPr>
          <w:p w14:paraId="0293F20E" w14:textId="77777777" w:rsidR="00C15F2E" w:rsidRPr="00D96063" w:rsidRDefault="00C15F2E" w:rsidP="00053198">
            <w:pPr>
              <w:jc w:val="right"/>
              <w:rPr>
                <w:rFonts w:cs="Arial"/>
                <w:sz w:val="16"/>
                <w:szCs w:val="16"/>
              </w:rPr>
            </w:pPr>
            <w:r w:rsidRPr="00D96063">
              <w:rPr>
                <w:rFonts w:cs="Arial"/>
                <w:sz w:val="16"/>
                <w:szCs w:val="16"/>
              </w:rPr>
              <w:t>3.5</w:t>
            </w:r>
          </w:p>
        </w:tc>
      </w:tr>
      <w:tr w:rsidR="00C15F2E" w:rsidRPr="00D96063" w14:paraId="3058ACC7"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70F95456" w14:textId="77777777" w:rsidR="00C15F2E" w:rsidRPr="00D96063" w:rsidRDefault="00C15F2E" w:rsidP="00053198">
            <w:pPr>
              <w:jc w:val="left"/>
              <w:rPr>
                <w:rFonts w:cs="Arial"/>
                <w:sz w:val="16"/>
                <w:szCs w:val="16"/>
              </w:rPr>
            </w:pPr>
            <w:r w:rsidRPr="00D96063">
              <w:rPr>
                <w:rFonts w:cs="Arial"/>
                <w:sz w:val="16"/>
                <w:szCs w:val="16"/>
              </w:rPr>
              <w:tab/>
              <w:t>United Kingdom</w:t>
            </w:r>
          </w:p>
        </w:tc>
        <w:tc>
          <w:tcPr>
            <w:tcW w:w="545" w:type="pct"/>
            <w:noWrap/>
            <w:hideMark/>
          </w:tcPr>
          <w:p w14:paraId="282557B5" w14:textId="77777777" w:rsidR="00C15F2E" w:rsidRPr="00D96063" w:rsidRDefault="00C15F2E" w:rsidP="00053198">
            <w:pPr>
              <w:jc w:val="right"/>
              <w:rPr>
                <w:rFonts w:cs="Arial"/>
                <w:sz w:val="16"/>
                <w:szCs w:val="16"/>
              </w:rPr>
            </w:pPr>
            <w:r w:rsidRPr="00D96063">
              <w:rPr>
                <w:rFonts w:cs="Arial"/>
                <w:sz w:val="16"/>
                <w:szCs w:val="16"/>
              </w:rPr>
              <w:t>3.3</w:t>
            </w:r>
          </w:p>
        </w:tc>
        <w:tc>
          <w:tcPr>
            <w:tcW w:w="545" w:type="pct"/>
            <w:noWrap/>
            <w:hideMark/>
          </w:tcPr>
          <w:p w14:paraId="3BA273C6" w14:textId="77777777" w:rsidR="00C15F2E" w:rsidRPr="00D96063" w:rsidRDefault="00C15F2E" w:rsidP="00053198">
            <w:pPr>
              <w:jc w:val="right"/>
              <w:rPr>
                <w:rFonts w:cs="Arial"/>
                <w:sz w:val="16"/>
                <w:szCs w:val="16"/>
              </w:rPr>
            </w:pPr>
            <w:r w:rsidRPr="00D96063">
              <w:rPr>
                <w:rFonts w:cs="Arial"/>
                <w:sz w:val="16"/>
                <w:szCs w:val="16"/>
              </w:rPr>
              <w:t>2.3</w:t>
            </w:r>
          </w:p>
        </w:tc>
        <w:tc>
          <w:tcPr>
            <w:tcW w:w="545" w:type="pct"/>
            <w:noWrap/>
            <w:hideMark/>
          </w:tcPr>
          <w:p w14:paraId="62405589" w14:textId="77777777" w:rsidR="00C15F2E" w:rsidRPr="00D96063" w:rsidRDefault="00C15F2E" w:rsidP="00053198">
            <w:pPr>
              <w:jc w:val="right"/>
              <w:rPr>
                <w:rFonts w:cs="Arial"/>
                <w:sz w:val="16"/>
                <w:szCs w:val="16"/>
              </w:rPr>
            </w:pPr>
            <w:r w:rsidRPr="00D96063">
              <w:rPr>
                <w:rFonts w:cs="Arial"/>
                <w:sz w:val="16"/>
                <w:szCs w:val="16"/>
              </w:rPr>
              <w:t>0.9</w:t>
            </w:r>
          </w:p>
        </w:tc>
        <w:tc>
          <w:tcPr>
            <w:tcW w:w="545" w:type="pct"/>
            <w:noWrap/>
            <w:hideMark/>
          </w:tcPr>
          <w:p w14:paraId="591E441B" w14:textId="77777777" w:rsidR="00C15F2E" w:rsidRPr="00D96063" w:rsidRDefault="00C15F2E" w:rsidP="00053198">
            <w:pPr>
              <w:jc w:val="right"/>
              <w:rPr>
                <w:rFonts w:cs="Arial"/>
                <w:sz w:val="16"/>
                <w:szCs w:val="16"/>
              </w:rPr>
            </w:pPr>
            <w:r w:rsidRPr="00D96063">
              <w:rPr>
                <w:rFonts w:cs="Arial"/>
                <w:sz w:val="16"/>
                <w:szCs w:val="16"/>
              </w:rPr>
              <w:t>2.3</w:t>
            </w:r>
          </w:p>
        </w:tc>
        <w:tc>
          <w:tcPr>
            <w:tcW w:w="545" w:type="pct"/>
            <w:noWrap/>
            <w:hideMark/>
          </w:tcPr>
          <w:p w14:paraId="7927A9C1" w14:textId="77777777" w:rsidR="00C15F2E" w:rsidRPr="00D96063" w:rsidRDefault="00C15F2E" w:rsidP="00053198">
            <w:pPr>
              <w:jc w:val="right"/>
              <w:rPr>
                <w:rFonts w:cs="Arial"/>
                <w:sz w:val="16"/>
                <w:szCs w:val="16"/>
              </w:rPr>
            </w:pPr>
            <w:r w:rsidRPr="00D96063">
              <w:rPr>
                <w:rFonts w:cs="Arial"/>
                <w:sz w:val="16"/>
                <w:szCs w:val="16"/>
              </w:rPr>
              <w:t>2.9</w:t>
            </w:r>
          </w:p>
        </w:tc>
        <w:tc>
          <w:tcPr>
            <w:tcW w:w="545" w:type="pct"/>
            <w:noWrap/>
            <w:hideMark/>
          </w:tcPr>
          <w:p w14:paraId="01A84B2D" w14:textId="77777777" w:rsidR="00C15F2E" w:rsidRPr="00D96063" w:rsidRDefault="00C15F2E" w:rsidP="00053198">
            <w:pPr>
              <w:jc w:val="right"/>
              <w:rPr>
                <w:rFonts w:cs="Arial"/>
                <w:sz w:val="16"/>
                <w:szCs w:val="16"/>
              </w:rPr>
            </w:pPr>
            <w:r w:rsidRPr="00D96063">
              <w:rPr>
                <w:rFonts w:cs="Arial"/>
                <w:sz w:val="16"/>
                <w:szCs w:val="16"/>
              </w:rPr>
              <w:t>2.5</w:t>
            </w:r>
          </w:p>
        </w:tc>
      </w:tr>
      <w:tr w:rsidR="00C15F2E" w:rsidRPr="00D96063" w14:paraId="7EEAE133" w14:textId="77777777" w:rsidTr="00053198">
        <w:trPr>
          <w:trHeight w:val="240"/>
        </w:trPr>
        <w:tc>
          <w:tcPr>
            <w:tcW w:w="1731" w:type="pct"/>
            <w:noWrap/>
            <w:hideMark/>
          </w:tcPr>
          <w:p w14:paraId="54E9274F" w14:textId="77777777" w:rsidR="00C15F2E" w:rsidRPr="00D96063" w:rsidRDefault="00C15F2E" w:rsidP="00053198">
            <w:pPr>
              <w:jc w:val="left"/>
              <w:rPr>
                <w:rFonts w:cs="Arial"/>
                <w:b/>
                <w:bCs/>
                <w:sz w:val="16"/>
                <w:szCs w:val="16"/>
              </w:rPr>
            </w:pPr>
            <w:r w:rsidRPr="00D96063">
              <w:rPr>
                <w:rFonts w:cs="Arial"/>
                <w:b/>
                <w:bCs/>
                <w:sz w:val="16"/>
                <w:szCs w:val="16"/>
              </w:rPr>
              <w:t>CIS</w:t>
            </w:r>
            <w:r w:rsidRPr="00D96063">
              <w:rPr>
                <w:rFonts w:cs="Arial"/>
                <w:b/>
                <w:bCs/>
                <w:sz w:val="16"/>
                <w:szCs w:val="16"/>
                <w:vertAlign w:val="superscript"/>
              </w:rPr>
              <w:t>a</w:t>
            </w:r>
          </w:p>
        </w:tc>
        <w:tc>
          <w:tcPr>
            <w:tcW w:w="545" w:type="pct"/>
            <w:noWrap/>
            <w:hideMark/>
          </w:tcPr>
          <w:p w14:paraId="0F95DEF3" w14:textId="77777777" w:rsidR="00C15F2E" w:rsidRPr="00D96063" w:rsidRDefault="00C15F2E" w:rsidP="00053198">
            <w:pPr>
              <w:jc w:val="right"/>
              <w:rPr>
                <w:rFonts w:cs="Arial"/>
                <w:b/>
                <w:bCs/>
                <w:sz w:val="16"/>
                <w:szCs w:val="16"/>
              </w:rPr>
            </w:pPr>
            <w:r w:rsidRPr="00D96063">
              <w:rPr>
                <w:rFonts w:cs="Arial"/>
                <w:b/>
                <w:bCs/>
                <w:sz w:val="16"/>
                <w:szCs w:val="16"/>
              </w:rPr>
              <w:t>0.0</w:t>
            </w:r>
          </w:p>
        </w:tc>
        <w:tc>
          <w:tcPr>
            <w:tcW w:w="545" w:type="pct"/>
            <w:noWrap/>
            <w:hideMark/>
          </w:tcPr>
          <w:p w14:paraId="0396D8F6" w14:textId="77777777" w:rsidR="00C15F2E" w:rsidRPr="00D96063" w:rsidRDefault="00C15F2E" w:rsidP="00053198">
            <w:pPr>
              <w:jc w:val="right"/>
              <w:rPr>
                <w:rFonts w:cs="Arial"/>
                <w:b/>
                <w:bCs/>
                <w:sz w:val="16"/>
                <w:szCs w:val="16"/>
              </w:rPr>
            </w:pPr>
            <w:r w:rsidRPr="00D96063">
              <w:rPr>
                <w:rFonts w:cs="Arial"/>
                <w:b/>
                <w:bCs/>
                <w:sz w:val="16"/>
                <w:szCs w:val="16"/>
              </w:rPr>
              <w:t>0.0</w:t>
            </w:r>
          </w:p>
        </w:tc>
        <w:tc>
          <w:tcPr>
            <w:tcW w:w="545" w:type="pct"/>
            <w:noWrap/>
            <w:hideMark/>
          </w:tcPr>
          <w:p w14:paraId="4D0E102F" w14:textId="77777777" w:rsidR="00C15F2E" w:rsidRPr="00D96063" w:rsidRDefault="00C15F2E" w:rsidP="00053198">
            <w:pPr>
              <w:jc w:val="right"/>
              <w:rPr>
                <w:rFonts w:cs="Arial"/>
                <w:b/>
                <w:bCs/>
                <w:sz w:val="16"/>
                <w:szCs w:val="16"/>
              </w:rPr>
            </w:pPr>
            <w:r w:rsidRPr="00D96063">
              <w:rPr>
                <w:rFonts w:cs="Arial"/>
                <w:b/>
                <w:bCs/>
                <w:sz w:val="16"/>
                <w:szCs w:val="16"/>
              </w:rPr>
              <w:t>0.0</w:t>
            </w:r>
          </w:p>
        </w:tc>
        <w:tc>
          <w:tcPr>
            <w:tcW w:w="545" w:type="pct"/>
            <w:noWrap/>
            <w:hideMark/>
          </w:tcPr>
          <w:p w14:paraId="2F8FCB78" w14:textId="77777777" w:rsidR="00C15F2E" w:rsidRPr="00D96063" w:rsidRDefault="00C15F2E" w:rsidP="00053198">
            <w:pPr>
              <w:jc w:val="right"/>
              <w:rPr>
                <w:rFonts w:cs="Arial"/>
                <w:b/>
                <w:bCs/>
                <w:sz w:val="16"/>
                <w:szCs w:val="16"/>
              </w:rPr>
            </w:pPr>
            <w:r w:rsidRPr="00D96063">
              <w:rPr>
                <w:rFonts w:cs="Arial"/>
                <w:b/>
                <w:bCs/>
                <w:sz w:val="16"/>
                <w:szCs w:val="16"/>
              </w:rPr>
              <w:t>0.0</w:t>
            </w:r>
          </w:p>
        </w:tc>
        <w:tc>
          <w:tcPr>
            <w:tcW w:w="545" w:type="pct"/>
            <w:noWrap/>
            <w:hideMark/>
          </w:tcPr>
          <w:p w14:paraId="3A7D7FC1" w14:textId="77777777" w:rsidR="00C15F2E" w:rsidRPr="00D96063" w:rsidRDefault="00C15F2E" w:rsidP="00053198">
            <w:pPr>
              <w:jc w:val="right"/>
              <w:rPr>
                <w:rFonts w:cs="Arial"/>
                <w:b/>
                <w:bCs/>
                <w:sz w:val="16"/>
                <w:szCs w:val="16"/>
              </w:rPr>
            </w:pPr>
            <w:r w:rsidRPr="00D96063">
              <w:rPr>
                <w:rFonts w:cs="Arial"/>
                <w:b/>
                <w:bCs/>
                <w:sz w:val="16"/>
                <w:szCs w:val="16"/>
              </w:rPr>
              <w:t>0.1</w:t>
            </w:r>
          </w:p>
        </w:tc>
        <w:tc>
          <w:tcPr>
            <w:tcW w:w="545" w:type="pct"/>
            <w:noWrap/>
            <w:hideMark/>
          </w:tcPr>
          <w:p w14:paraId="7B9ADBB0" w14:textId="77777777" w:rsidR="00C15F2E" w:rsidRPr="00D96063" w:rsidRDefault="00C15F2E" w:rsidP="00053198">
            <w:pPr>
              <w:jc w:val="right"/>
              <w:rPr>
                <w:rFonts w:cs="Arial"/>
                <w:b/>
                <w:bCs/>
                <w:sz w:val="16"/>
                <w:szCs w:val="16"/>
              </w:rPr>
            </w:pPr>
            <w:r w:rsidRPr="00D96063">
              <w:rPr>
                <w:rFonts w:cs="Arial"/>
                <w:b/>
                <w:bCs/>
                <w:sz w:val="16"/>
                <w:szCs w:val="16"/>
              </w:rPr>
              <w:t>0.0</w:t>
            </w:r>
          </w:p>
        </w:tc>
      </w:tr>
      <w:tr w:rsidR="00C15F2E" w:rsidRPr="00D96063" w14:paraId="0BBB17C1"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13CE61E2" w14:textId="77777777" w:rsidR="00C15F2E" w:rsidRPr="00D96063" w:rsidRDefault="00C15F2E" w:rsidP="00053198">
            <w:pPr>
              <w:jc w:val="left"/>
              <w:rPr>
                <w:rFonts w:cs="Arial"/>
                <w:b/>
                <w:bCs/>
                <w:sz w:val="16"/>
                <w:szCs w:val="16"/>
              </w:rPr>
            </w:pPr>
            <w:r w:rsidRPr="00D96063">
              <w:rPr>
                <w:rFonts w:cs="Arial"/>
                <w:b/>
                <w:bCs/>
                <w:sz w:val="16"/>
                <w:szCs w:val="16"/>
              </w:rPr>
              <w:t>Africa</w:t>
            </w:r>
          </w:p>
        </w:tc>
        <w:tc>
          <w:tcPr>
            <w:tcW w:w="545" w:type="pct"/>
            <w:noWrap/>
            <w:hideMark/>
          </w:tcPr>
          <w:p w14:paraId="6F8DD46B" w14:textId="77777777" w:rsidR="00C15F2E" w:rsidRPr="00D96063" w:rsidRDefault="00C15F2E" w:rsidP="00053198">
            <w:pPr>
              <w:jc w:val="right"/>
              <w:rPr>
                <w:rFonts w:cs="Arial"/>
                <w:b/>
                <w:bCs/>
                <w:sz w:val="16"/>
                <w:szCs w:val="16"/>
              </w:rPr>
            </w:pPr>
            <w:r w:rsidRPr="00D96063">
              <w:rPr>
                <w:rFonts w:cs="Arial"/>
                <w:b/>
                <w:bCs/>
                <w:sz w:val="16"/>
                <w:szCs w:val="16"/>
              </w:rPr>
              <w:t>27.0</w:t>
            </w:r>
          </w:p>
        </w:tc>
        <w:tc>
          <w:tcPr>
            <w:tcW w:w="545" w:type="pct"/>
            <w:noWrap/>
            <w:hideMark/>
          </w:tcPr>
          <w:p w14:paraId="2F1B0B5A" w14:textId="77777777" w:rsidR="00C15F2E" w:rsidRPr="00D96063" w:rsidRDefault="00C15F2E" w:rsidP="00053198">
            <w:pPr>
              <w:jc w:val="right"/>
              <w:rPr>
                <w:rFonts w:cs="Arial"/>
                <w:b/>
                <w:bCs/>
                <w:sz w:val="16"/>
                <w:szCs w:val="16"/>
              </w:rPr>
            </w:pPr>
            <w:r w:rsidRPr="00D96063">
              <w:rPr>
                <w:rFonts w:cs="Arial"/>
                <w:b/>
                <w:bCs/>
                <w:sz w:val="16"/>
                <w:szCs w:val="16"/>
              </w:rPr>
              <w:t>15.4</w:t>
            </w:r>
          </w:p>
        </w:tc>
        <w:tc>
          <w:tcPr>
            <w:tcW w:w="545" w:type="pct"/>
            <w:noWrap/>
            <w:hideMark/>
          </w:tcPr>
          <w:p w14:paraId="3B8F468D" w14:textId="77777777" w:rsidR="00C15F2E" w:rsidRPr="00D96063" w:rsidRDefault="00C15F2E" w:rsidP="00053198">
            <w:pPr>
              <w:jc w:val="right"/>
              <w:rPr>
                <w:rFonts w:cs="Arial"/>
                <w:b/>
                <w:bCs/>
                <w:sz w:val="16"/>
                <w:szCs w:val="16"/>
              </w:rPr>
            </w:pPr>
            <w:r w:rsidRPr="00D96063">
              <w:rPr>
                <w:rFonts w:cs="Arial"/>
                <w:b/>
                <w:bCs/>
                <w:sz w:val="16"/>
                <w:szCs w:val="16"/>
              </w:rPr>
              <w:t>16.3</w:t>
            </w:r>
          </w:p>
        </w:tc>
        <w:tc>
          <w:tcPr>
            <w:tcW w:w="545" w:type="pct"/>
            <w:noWrap/>
            <w:hideMark/>
          </w:tcPr>
          <w:p w14:paraId="02925450" w14:textId="77777777" w:rsidR="00C15F2E" w:rsidRPr="00D96063" w:rsidRDefault="00C15F2E" w:rsidP="00053198">
            <w:pPr>
              <w:jc w:val="right"/>
              <w:rPr>
                <w:rFonts w:cs="Arial"/>
                <w:b/>
                <w:bCs/>
                <w:sz w:val="16"/>
                <w:szCs w:val="16"/>
              </w:rPr>
            </w:pPr>
            <w:r w:rsidRPr="00D96063">
              <w:rPr>
                <w:rFonts w:cs="Arial"/>
                <w:b/>
                <w:bCs/>
                <w:sz w:val="16"/>
                <w:szCs w:val="16"/>
              </w:rPr>
              <w:t>14.2</w:t>
            </w:r>
          </w:p>
        </w:tc>
        <w:tc>
          <w:tcPr>
            <w:tcW w:w="545" w:type="pct"/>
            <w:noWrap/>
            <w:hideMark/>
          </w:tcPr>
          <w:p w14:paraId="42B9204F" w14:textId="77777777" w:rsidR="00C15F2E" w:rsidRPr="00D96063" w:rsidRDefault="00C15F2E" w:rsidP="00053198">
            <w:pPr>
              <w:jc w:val="right"/>
              <w:rPr>
                <w:rFonts w:cs="Arial"/>
                <w:b/>
                <w:bCs/>
                <w:sz w:val="16"/>
                <w:szCs w:val="16"/>
              </w:rPr>
            </w:pPr>
            <w:r w:rsidRPr="00D96063">
              <w:rPr>
                <w:rFonts w:cs="Arial"/>
                <w:b/>
                <w:bCs/>
                <w:sz w:val="16"/>
                <w:szCs w:val="16"/>
              </w:rPr>
              <w:t>15.0</w:t>
            </w:r>
          </w:p>
        </w:tc>
        <w:tc>
          <w:tcPr>
            <w:tcW w:w="545" w:type="pct"/>
            <w:noWrap/>
            <w:hideMark/>
          </w:tcPr>
          <w:p w14:paraId="531946B9" w14:textId="77777777" w:rsidR="00C15F2E" w:rsidRPr="00D96063" w:rsidRDefault="00C15F2E" w:rsidP="00053198">
            <w:pPr>
              <w:jc w:val="right"/>
              <w:rPr>
                <w:rFonts w:cs="Arial"/>
                <w:b/>
                <w:bCs/>
                <w:sz w:val="16"/>
                <w:szCs w:val="16"/>
              </w:rPr>
            </w:pPr>
            <w:r w:rsidRPr="00D96063">
              <w:rPr>
                <w:rFonts w:cs="Arial"/>
                <w:b/>
                <w:bCs/>
                <w:sz w:val="16"/>
                <w:szCs w:val="16"/>
              </w:rPr>
              <w:t>17.7</w:t>
            </w:r>
          </w:p>
        </w:tc>
      </w:tr>
      <w:tr w:rsidR="00C15F2E" w:rsidRPr="00D96063" w14:paraId="4541359F" w14:textId="77777777" w:rsidTr="00053198">
        <w:trPr>
          <w:trHeight w:val="240"/>
        </w:trPr>
        <w:tc>
          <w:tcPr>
            <w:tcW w:w="1731" w:type="pct"/>
            <w:noWrap/>
            <w:hideMark/>
          </w:tcPr>
          <w:p w14:paraId="238AF3D9" w14:textId="77777777" w:rsidR="00C15F2E" w:rsidRPr="00D96063" w:rsidRDefault="00C15F2E" w:rsidP="00053198">
            <w:pPr>
              <w:jc w:val="left"/>
              <w:rPr>
                <w:rFonts w:cs="Arial"/>
                <w:sz w:val="16"/>
                <w:szCs w:val="16"/>
              </w:rPr>
            </w:pPr>
            <w:r w:rsidRPr="00D96063">
              <w:rPr>
                <w:rFonts w:cs="Arial"/>
                <w:sz w:val="16"/>
                <w:szCs w:val="16"/>
              </w:rPr>
              <w:tab/>
              <w:t>South Africa</w:t>
            </w:r>
          </w:p>
        </w:tc>
        <w:tc>
          <w:tcPr>
            <w:tcW w:w="545" w:type="pct"/>
            <w:noWrap/>
            <w:hideMark/>
          </w:tcPr>
          <w:p w14:paraId="24B9902B" w14:textId="77777777" w:rsidR="00C15F2E" w:rsidRPr="00D96063" w:rsidRDefault="00C15F2E" w:rsidP="00053198">
            <w:pPr>
              <w:jc w:val="right"/>
              <w:rPr>
                <w:rFonts w:cs="Arial"/>
                <w:sz w:val="16"/>
                <w:szCs w:val="16"/>
              </w:rPr>
            </w:pPr>
            <w:r w:rsidRPr="00D96063">
              <w:rPr>
                <w:rFonts w:cs="Arial"/>
                <w:sz w:val="16"/>
                <w:szCs w:val="16"/>
              </w:rPr>
              <w:t>16.1</w:t>
            </w:r>
          </w:p>
        </w:tc>
        <w:tc>
          <w:tcPr>
            <w:tcW w:w="545" w:type="pct"/>
            <w:noWrap/>
            <w:hideMark/>
          </w:tcPr>
          <w:p w14:paraId="7DDC8E45" w14:textId="77777777" w:rsidR="00C15F2E" w:rsidRPr="00D96063" w:rsidRDefault="00C15F2E" w:rsidP="00053198">
            <w:pPr>
              <w:jc w:val="right"/>
              <w:rPr>
                <w:rFonts w:cs="Arial"/>
                <w:sz w:val="16"/>
                <w:szCs w:val="16"/>
              </w:rPr>
            </w:pPr>
            <w:r w:rsidRPr="00D96063">
              <w:rPr>
                <w:rFonts w:cs="Arial"/>
                <w:sz w:val="16"/>
                <w:szCs w:val="16"/>
              </w:rPr>
              <w:t>4.3</w:t>
            </w:r>
          </w:p>
        </w:tc>
        <w:tc>
          <w:tcPr>
            <w:tcW w:w="545" w:type="pct"/>
            <w:noWrap/>
            <w:hideMark/>
          </w:tcPr>
          <w:p w14:paraId="114AE64E" w14:textId="77777777" w:rsidR="00C15F2E" w:rsidRPr="00D96063" w:rsidRDefault="00C15F2E" w:rsidP="00053198">
            <w:pPr>
              <w:jc w:val="right"/>
              <w:rPr>
                <w:rFonts w:cs="Arial"/>
                <w:sz w:val="16"/>
                <w:szCs w:val="16"/>
              </w:rPr>
            </w:pPr>
            <w:r w:rsidRPr="00D96063">
              <w:rPr>
                <w:rFonts w:cs="Arial"/>
                <w:sz w:val="16"/>
                <w:szCs w:val="16"/>
              </w:rPr>
              <w:t>3.3</w:t>
            </w:r>
          </w:p>
        </w:tc>
        <w:tc>
          <w:tcPr>
            <w:tcW w:w="545" w:type="pct"/>
            <w:noWrap/>
            <w:hideMark/>
          </w:tcPr>
          <w:p w14:paraId="0171EDEB" w14:textId="77777777" w:rsidR="00C15F2E" w:rsidRPr="00D96063" w:rsidRDefault="00C15F2E" w:rsidP="00053198">
            <w:pPr>
              <w:jc w:val="right"/>
              <w:rPr>
                <w:rFonts w:cs="Arial"/>
                <w:sz w:val="16"/>
                <w:szCs w:val="16"/>
              </w:rPr>
            </w:pPr>
            <w:r w:rsidRPr="00D96063">
              <w:rPr>
                <w:rFonts w:cs="Arial"/>
                <w:sz w:val="16"/>
                <w:szCs w:val="16"/>
              </w:rPr>
              <w:t>6.3</w:t>
            </w:r>
          </w:p>
        </w:tc>
        <w:tc>
          <w:tcPr>
            <w:tcW w:w="545" w:type="pct"/>
            <w:noWrap/>
            <w:hideMark/>
          </w:tcPr>
          <w:p w14:paraId="0AC110F6" w14:textId="77777777" w:rsidR="00C15F2E" w:rsidRPr="00D96063" w:rsidRDefault="00C15F2E" w:rsidP="00053198">
            <w:pPr>
              <w:jc w:val="right"/>
              <w:rPr>
                <w:rFonts w:cs="Arial"/>
                <w:sz w:val="16"/>
                <w:szCs w:val="16"/>
              </w:rPr>
            </w:pPr>
            <w:r w:rsidRPr="00D96063">
              <w:rPr>
                <w:rFonts w:cs="Arial"/>
                <w:sz w:val="16"/>
                <w:szCs w:val="16"/>
              </w:rPr>
              <w:t>10.2</w:t>
            </w:r>
          </w:p>
        </w:tc>
        <w:tc>
          <w:tcPr>
            <w:tcW w:w="545" w:type="pct"/>
            <w:noWrap/>
            <w:hideMark/>
          </w:tcPr>
          <w:p w14:paraId="2BB476E0" w14:textId="77777777" w:rsidR="00C15F2E" w:rsidRPr="00D96063" w:rsidRDefault="00C15F2E" w:rsidP="00053198">
            <w:pPr>
              <w:jc w:val="right"/>
              <w:rPr>
                <w:rFonts w:cs="Arial"/>
                <w:sz w:val="16"/>
                <w:szCs w:val="16"/>
              </w:rPr>
            </w:pPr>
            <w:r w:rsidRPr="00D96063">
              <w:rPr>
                <w:rFonts w:cs="Arial"/>
                <w:sz w:val="16"/>
                <w:szCs w:val="16"/>
              </w:rPr>
              <w:t>11.8</w:t>
            </w:r>
          </w:p>
        </w:tc>
      </w:tr>
      <w:tr w:rsidR="00C15F2E" w:rsidRPr="00D96063" w14:paraId="1397C346"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71B2E678" w14:textId="77777777" w:rsidR="00C15F2E" w:rsidRPr="00D96063" w:rsidRDefault="00C15F2E" w:rsidP="00053198">
            <w:pPr>
              <w:jc w:val="left"/>
              <w:rPr>
                <w:rFonts w:cs="Arial"/>
                <w:sz w:val="16"/>
                <w:szCs w:val="16"/>
              </w:rPr>
            </w:pPr>
            <w:r w:rsidRPr="00D96063">
              <w:rPr>
                <w:rFonts w:cs="Arial"/>
                <w:sz w:val="16"/>
                <w:szCs w:val="16"/>
              </w:rPr>
              <w:tab/>
              <w:t>Burkina Faso</w:t>
            </w:r>
          </w:p>
        </w:tc>
        <w:tc>
          <w:tcPr>
            <w:tcW w:w="545" w:type="pct"/>
            <w:noWrap/>
            <w:hideMark/>
          </w:tcPr>
          <w:p w14:paraId="774079AF" w14:textId="77777777" w:rsidR="00C15F2E" w:rsidRPr="00D96063" w:rsidRDefault="00C15F2E" w:rsidP="00053198">
            <w:pPr>
              <w:jc w:val="right"/>
              <w:rPr>
                <w:rFonts w:cs="Arial"/>
                <w:sz w:val="16"/>
                <w:szCs w:val="16"/>
              </w:rPr>
            </w:pPr>
            <w:r w:rsidRPr="00D96063">
              <w:rPr>
                <w:rFonts w:cs="Arial"/>
                <w:sz w:val="16"/>
                <w:szCs w:val="16"/>
              </w:rPr>
              <w:t>3.6</w:t>
            </w:r>
          </w:p>
        </w:tc>
        <w:tc>
          <w:tcPr>
            <w:tcW w:w="545" w:type="pct"/>
            <w:noWrap/>
            <w:hideMark/>
          </w:tcPr>
          <w:p w14:paraId="7F892495" w14:textId="77777777" w:rsidR="00C15F2E" w:rsidRPr="00D96063" w:rsidRDefault="00C15F2E" w:rsidP="00053198">
            <w:pPr>
              <w:jc w:val="right"/>
              <w:rPr>
                <w:rFonts w:cs="Arial"/>
                <w:sz w:val="16"/>
                <w:szCs w:val="16"/>
              </w:rPr>
            </w:pPr>
            <w:r w:rsidRPr="00D96063">
              <w:rPr>
                <w:rFonts w:cs="Arial"/>
                <w:sz w:val="16"/>
                <w:szCs w:val="16"/>
              </w:rPr>
              <w:t>2.4</w:t>
            </w:r>
          </w:p>
        </w:tc>
        <w:tc>
          <w:tcPr>
            <w:tcW w:w="545" w:type="pct"/>
            <w:noWrap/>
            <w:hideMark/>
          </w:tcPr>
          <w:p w14:paraId="4B4D6BA1" w14:textId="77777777" w:rsidR="00C15F2E" w:rsidRPr="00D96063" w:rsidRDefault="00C15F2E" w:rsidP="00053198">
            <w:pPr>
              <w:jc w:val="right"/>
              <w:rPr>
                <w:rFonts w:cs="Arial"/>
                <w:sz w:val="16"/>
                <w:szCs w:val="16"/>
              </w:rPr>
            </w:pPr>
            <w:r w:rsidRPr="00D96063">
              <w:rPr>
                <w:rFonts w:cs="Arial"/>
                <w:sz w:val="16"/>
                <w:szCs w:val="16"/>
              </w:rPr>
              <w:t>4.0</w:t>
            </w:r>
          </w:p>
        </w:tc>
        <w:tc>
          <w:tcPr>
            <w:tcW w:w="545" w:type="pct"/>
            <w:noWrap/>
            <w:hideMark/>
          </w:tcPr>
          <w:p w14:paraId="7426D0EF" w14:textId="77777777" w:rsidR="00C15F2E" w:rsidRPr="00D96063" w:rsidRDefault="00C15F2E" w:rsidP="00053198">
            <w:pPr>
              <w:jc w:val="right"/>
              <w:rPr>
                <w:rFonts w:cs="Arial"/>
                <w:sz w:val="16"/>
                <w:szCs w:val="16"/>
              </w:rPr>
            </w:pPr>
            <w:r w:rsidRPr="00D96063">
              <w:rPr>
                <w:rFonts w:cs="Arial"/>
                <w:sz w:val="16"/>
                <w:szCs w:val="16"/>
              </w:rPr>
              <w:t>3.4</w:t>
            </w:r>
          </w:p>
        </w:tc>
        <w:tc>
          <w:tcPr>
            <w:tcW w:w="545" w:type="pct"/>
            <w:noWrap/>
            <w:hideMark/>
          </w:tcPr>
          <w:p w14:paraId="102A4BAD" w14:textId="77777777" w:rsidR="00C15F2E" w:rsidRPr="00D96063" w:rsidRDefault="00C15F2E" w:rsidP="00053198">
            <w:pPr>
              <w:jc w:val="right"/>
              <w:rPr>
                <w:rFonts w:cs="Arial"/>
                <w:sz w:val="16"/>
                <w:szCs w:val="16"/>
              </w:rPr>
            </w:pPr>
            <w:r w:rsidRPr="00D96063">
              <w:rPr>
                <w:rFonts w:cs="Arial"/>
                <w:sz w:val="16"/>
                <w:szCs w:val="16"/>
              </w:rPr>
              <w:t>1.6</w:t>
            </w:r>
          </w:p>
        </w:tc>
        <w:tc>
          <w:tcPr>
            <w:tcW w:w="545" w:type="pct"/>
            <w:noWrap/>
            <w:hideMark/>
          </w:tcPr>
          <w:p w14:paraId="41A5E039" w14:textId="77777777" w:rsidR="00C15F2E" w:rsidRPr="00D96063" w:rsidRDefault="00C15F2E" w:rsidP="00053198">
            <w:pPr>
              <w:jc w:val="right"/>
              <w:rPr>
                <w:rFonts w:cs="Arial"/>
                <w:sz w:val="16"/>
                <w:szCs w:val="16"/>
              </w:rPr>
            </w:pPr>
            <w:r w:rsidRPr="00D96063">
              <w:rPr>
                <w:rFonts w:cs="Arial"/>
                <w:sz w:val="16"/>
                <w:szCs w:val="16"/>
              </w:rPr>
              <w:t>1.7</w:t>
            </w:r>
          </w:p>
        </w:tc>
      </w:tr>
      <w:tr w:rsidR="00C15F2E" w:rsidRPr="00D96063" w14:paraId="78D43DE8" w14:textId="77777777" w:rsidTr="00053198">
        <w:trPr>
          <w:trHeight w:val="240"/>
        </w:trPr>
        <w:tc>
          <w:tcPr>
            <w:tcW w:w="1731" w:type="pct"/>
            <w:noWrap/>
            <w:hideMark/>
          </w:tcPr>
          <w:p w14:paraId="402B22BB" w14:textId="77777777" w:rsidR="00C15F2E" w:rsidRPr="00D96063" w:rsidRDefault="00C15F2E" w:rsidP="00053198">
            <w:pPr>
              <w:jc w:val="left"/>
              <w:rPr>
                <w:rFonts w:cs="Arial"/>
                <w:b/>
                <w:bCs/>
                <w:sz w:val="16"/>
                <w:szCs w:val="16"/>
              </w:rPr>
            </w:pPr>
            <w:r w:rsidRPr="00D96063">
              <w:rPr>
                <w:rFonts w:cs="Arial"/>
                <w:b/>
                <w:bCs/>
                <w:sz w:val="16"/>
                <w:szCs w:val="16"/>
              </w:rPr>
              <w:t>Middle East</w:t>
            </w:r>
          </w:p>
        </w:tc>
        <w:tc>
          <w:tcPr>
            <w:tcW w:w="545" w:type="pct"/>
            <w:noWrap/>
            <w:hideMark/>
          </w:tcPr>
          <w:p w14:paraId="51E032A7" w14:textId="77777777" w:rsidR="00C15F2E" w:rsidRPr="00D96063" w:rsidRDefault="00C15F2E" w:rsidP="00053198">
            <w:pPr>
              <w:jc w:val="right"/>
              <w:rPr>
                <w:rFonts w:cs="Arial"/>
                <w:b/>
                <w:bCs/>
                <w:sz w:val="16"/>
                <w:szCs w:val="16"/>
              </w:rPr>
            </w:pPr>
            <w:r w:rsidRPr="00D96063">
              <w:rPr>
                <w:rFonts w:cs="Arial"/>
                <w:b/>
                <w:bCs/>
                <w:sz w:val="16"/>
                <w:szCs w:val="16"/>
              </w:rPr>
              <w:t>8.1</w:t>
            </w:r>
          </w:p>
        </w:tc>
        <w:tc>
          <w:tcPr>
            <w:tcW w:w="545" w:type="pct"/>
            <w:noWrap/>
            <w:hideMark/>
          </w:tcPr>
          <w:p w14:paraId="21041EE4" w14:textId="77777777" w:rsidR="00C15F2E" w:rsidRPr="00D96063" w:rsidRDefault="00C15F2E" w:rsidP="00053198">
            <w:pPr>
              <w:jc w:val="right"/>
              <w:rPr>
                <w:rFonts w:cs="Arial"/>
                <w:b/>
                <w:bCs/>
                <w:sz w:val="16"/>
                <w:szCs w:val="16"/>
              </w:rPr>
            </w:pPr>
            <w:r w:rsidRPr="00D96063">
              <w:rPr>
                <w:rFonts w:cs="Arial"/>
                <w:b/>
                <w:bCs/>
                <w:sz w:val="16"/>
                <w:szCs w:val="16"/>
              </w:rPr>
              <w:t>3.8</w:t>
            </w:r>
          </w:p>
        </w:tc>
        <w:tc>
          <w:tcPr>
            <w:tcW w:w="545" w:type="pct"/>
            <w:noWrap/>
            <w:hideMark/>
          </w:tcPr>
          <w:p w14:paraId="3621CBB9" w14:textId="77777777" w:rsidR="00C15F2E" w:rsidRPr="00D96063" w:rsidRDefault="00C15F2E" w:rsidP="00053198">
            <w:pPr>
              <w:jc w:val="right"/>
              <w:rPr>
                <w:rFonts w:cs="Arial"/>
                <w:b/>
                <w:bCs/>
                <w:sz w:val="16"/>
                <w:szCs w:val="16"/>
              </w:rPr>
            </w:pPr>
            <w:r w:rsidRPr="00D96063">
              <w:rPr>
                <w:rFonts w:cs="Arial"/>
                <w:b/>
                <w:bCs/>
                <w:sz w:val="16"/>
                <w:szCs w:val="16"/>
              </w:rPr>
              <w:t>13.8</w:t>
            </w:r>
          </w:p>
        </w:tc>
        <w:tc>
          <w:tcPr>
            <w:tcW w:w="545" w:type="pct"/>
            <w:noWrap/>
            <w:hideMark/>
          </w:tcPr>
          <w:p w14:paraId="49914934" w14:textId="77777777" w:rsidR="00C15F2E" w:rsidRPr="00D96063" w:rsidRDefault="00C15F2E" w:rsidP="00053198">
            <w:pPr>
              <w:jc w:val="right"/>
              <w:rPr>
                <w:rFonts w:cs="Arial"/>
                <w:b/>
                <w:bCs/>
                <w:sz w:val="16"/>
                <w:szCs w:val="16"/>
              </w:rPr>
            </w:pPr>
            <w:r w:rsidRPr="00D96063">
              <w:rPr>
                <w:rFonts w:cs="Arial"/>
                <w:b/>
                <w:bCs/>
                <w:sz w:val="16"/>
                <w:szCs w:val="16"/>
              </w:rPr>
              <w:t>6.1</w:t>
            </w:r>
          </w:p>
        </w:tc>
        <w:tc>
          <w:tcPr>
            <w:tcW w:w="545" w:type="pct"/>
            <w:noWrap/>
            <w:hideMark/>
          </w:tcPr>
          <w:p w14:paraId="65B2374A" w14:textId="77777777" w:rsidR="00C15F2E" w:rsidRPr="00D96063" w:rsidRDefault="00C15F2E" w:rsidP="00053198">
            <w:pPr>
              <w:jc w:val="right"/>
              <w:rPr>
                <w:rFonts w:cs="Arial"/>
                <w:b/>
                <w:bCs/>
                <w:sz w:val="16"/>
                <w:szCs w:val="16"/>
              </w:rPr>
            </w:pPr>
            <w:r w:rsidRPr="00D96063">
              <w:rPr>
                <w:rFonts w:cs="Arial"/>
                <w:b/>
                <w:bCs/>
                <w:sz w:val="16"/>
                <w:szCs w:val="16"/>
              </w:rPr>
              <w:t>4.2</w:t>
            </w:r>
          </w:p>
        </w:tc>
        <w:tc>
          <w:tcPr>
            <w:tcW w:w="545" w:type="pct"/>
            <w:noWrap/>
            <w:hideMark/>
          </w:tcPr>
          <w:p w14:paraId="01000534" w14:textId="77777777" w:rsidR="00C15F2E" w:rsidRPr="00D96063" w:rsidRDefault="00C15F2E" w:rsidP="00053198">
            <w:pPr>
              <w:jc w:val="right"/>
              <w:rPr>
                <w:rFonts w:cs="Arial"/>
                <w:b/>
                <w:bCs/>
                <w:sz w:val="16"/>
                <w:szCs w:val="16"/>
              </w:rPr>
            </w:pPr>
            <w:r w:rsidRPr="00D96063">
              <w:rPr>
                <w:rFonts w:cs="Arial"/>
                <w:b/>
                <w:bCs/>
                <w:sz w:val="16"/>
                <w:szCs w:val="16"/>
              </w:rPr>
              <w:t>5.4</w:t>
            </w:r>
          </w:p>
        </w:tc>
      </w:tr>
      <w:tr w:rsidR="00C15F2E" w:rsidRPr="00D96063" w14:paraId="1C507AD5"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0157D8F5" w14:textId="77777777" w:rsidR="00C15F2E" w:rsidRPr="00D96063" w:rsidRDefault="00C15F2E" w:rsidP="00053198">
            <w:pPr>
              <w:jc w:val="left"/>
              <w:rPr>
                <w:rFonts w:cs="Arial"/>
                <w:sz w:val="16"/>
                <w:szCs w:val="16"/>
              </w:rPr>
            </w:pPr>
            <w:r w:rsidRPr="00D96063">
              <w:rPr>
                <w:rFonts w:cs="Arial"/>
                <w:sz w:val="16"/>
                <w:szCs w:val="16"/>
              </w:rPr>
              <w:tab/>
              <w:t>United Arab Emirates</w:t>
            </w:r>
          </w:p>
        </w:tc>
        <w:tc>
          <w:tcPr>
            <w:tcW w:w="545" w:type="pct"/>
            <w:noWrap/>
            <w:hideMark/>
          </w:tcPr>
          <w:p w14:paraId="222AEEC5" w14:textId="77777777" w:rsidR="00C15F2E" w:rsidRPr="00D96063" w:rsidRDefault="00C15F2E" w:rsidP="00053198">
            <w:pPr>
              <w:jc w:val="right"/>
              <w:rPr>
                <w:rFonts w:cs="Arial"/>
                <w:sz w:val="16"/>
                <w:szCs w:val="16"/>
              </w:rPr>
            </w:pPr>
            <w:r w:rsidRPr="00D96063">
              <w:rPr>
                <w:rFonts w:cs="Arial"/>
                <w:sz w:val="16"/>
                <w:szCs w:val="16"/>
              </w:rPr>
              <w:t>7.3</w:t>
            </w:r>
          </w:p>
        </w:tc>
        <w:tc>
          <w:tcPr>
            <w:tcW w:w="545" w:type="pct"/>
            <w:noWrap/>
            <w:hideMark/>
          </w:tcPr>
          <w:p w14:paraId="6416C525" w14:textId="77777777" w:rsidR="00C15F2E" w:rsidRPr="00D96063" w:rsidRDefault="00C15F2E" w:rsidP="00053198">
            <w:pPr>
              <w:jc w:val="right"/>
              <w:rPr>
                <w:rFonts w:cs="Arial"/>
                <w:sz w:val="16"/>
                <w:szCs w:val="16"/>
              </w:rPr>
            </w:pPr>
            <w:r w:rsidRPr="00D96063">
              <w:rPr>
                <w:rFonts w:cs="Arial"/>
                <w:sz w:val="16"/>
                <w:szCs w:val="16"/>
              </w:rPr>
              <w:t>2.6</w:t>
            </w:r>
          </w:p>
        </w:tc>
        <w:tc>
          <w:tcPr>
            <w:tcW w:w="545" w:type="pct"/>
            <w:noWrap/>
            <w:hideMark/>
          </w:tcPr>
          <w:p w14:paraId="58961004" w14:textId="77777777" w:rsidR="00C15F2E" w:rsidRPr="00D96063" w:rsidRDefault="00C15F2E" w:rsidP="00053198">
            <w:pPr>
              <w:jc w:val="right"/>
              <w:rPr>
                <w:rFonts w:cs="Arial"/>
                <w:sz w:val="16"/>
                <w:szCs w:val="16"/>
              </w:rPr>
            </w:pPr>
            <w:r w:rsidRPr="00D96063">
              <w:rPr>
                <w:rFonts w:cs="Arial"/>
                <w:sz w:val="16"/>
                <w:szCs w:val="16"/>
              </w:rPr>
              <w:t>13.4</w:t>
            </w:r>
          </w:p>
        </w:tc>
        <w:tc>
          <w:tcPr>
            <w:tcW w:w="545" w:type="pct"/>
            <w:noWrap/>
            <w:hideMark/>
          </w:tcPr>
          <w:p w14:paraId="0FF15D72" w14:textId="77777777" w:rsidR="00C15F2E" w:rsidRPr="00D96063" w:rsidRDefault="00C15F2E" w:rsidP="00053198">
            <w:pPr>
              <w:jc w:val="right"/>
              <w:rPr>
                <w:rFonts w:cs="Arial"/>
                <w:sz w:val="16"/>
                <w:szCs w:val="16"/>
              </w:rPr>
            </w:pPr>
            <w:r w:rsidRPr="00D96063">
              <w:rPr>
                <w:rFonts w:cs="Arial"/>
                <w:sz w:val="16"/>
                <w:szCs w:val="16"/>
              </w:rPr>
              <w:t>5.6</w:t>
            </w:r>
          </w:p>
        </w:tc>
        <w:tc>
          <w:tcPr>
            <w:tcW w:w="545" w:type="pct"/>
            <w:noWrap/>
            <w:hideMark/>
          </w:tcPr>
          <w:p w14:paraId="399A98C9" w14:textId="77777777" w:rsidR="00C15F2E" w:rsidRPr="00D96063" w:rsidRDefault="00C15F2E" w:rsidP="00053198">
            <w:pPr>
              <w:jc w:val="right"/>
              <w:rPr>
                <w:rFonts w:cs="Arial"/>
                <w:sz w:val="16"/>
                <w:szCs w:val="16"/>
              </w:rPr>
            </w:pPr>
            <w:r w:rsidRPr="00D96063">
              <w:rPr>
                <w:rFonts w:cs="Arial"/>
                <w:sz w:val="16"/>
                <w:szCs w:val="16"/>
              </w:rPr>
              <w:t>3.5</w:t>
            </w:r>
          </w:p>
        </w:tc>
        <w:tc>
          <w:tcPr>
            <w:tcW w:w="545" w:type="pct"/>
            <w:noWrap/>
            <w:hideMark/>
          </w:tcPr>
          <w:p w14:paraId="7AE41D99" w14:textId="77777777" w:rsidR="00C15F2E" w:rsidRPr="00D96063" w:rsidRDefault="00C15F2E" w:rsidP="00053198">
            <w:pPr>
              <w:jc w:val="right"/>
              <w:rPr>
                <w:rFonts w:cs="Arial"/>
                <w:sz w:val="16"/>
                <w:szCs w:val="16"/>
              </w:rPr>
            </w:pPr>
            <w:r w:rsidRPr="00D96063">
              <w:rPr>
                <w:rFonts w:cs="Arial"/>
                <w:sz w:val="16"/>
                <w:szCs w:val="16"/>
              </w:rPr>
              <w:t>5.4</w:t>
            </w:r>
          </w:p>
        </w:tc>
      </w:tr>
      <w:tr w:rsidR="00C15F2E" w:rsidRPr="00D96063" w14:paraId="326836EB" w14:textId="77777777" w:rsidTr="00053198">
        <w:trPr>
          <w:trHeight w:val="240"/>
        </w:trPr>
        <w:tc>
          <w:tcPr>
            <w:tcW w:w="1731" w:type="pct"/>
            <w:noWrap/>
            <w:hideMark/>
          </w:tcPr>
          <w:p w14:paraId="568507C8" w14:textId="77777777" w:rsidR="00C15F2E" w:rsidRPr="00D96063" w:rsidRDefault="00C15F2E" w:rsidP="00053198">
            <w:pPr>
              <w:jc w:val="left"/>
              <w:rPr>
                <w:rFonts w:cs="Arial"/>
                <w:b/>
                <w:bCs/>
                <w:sz w:val="16"/>
                <w:szCs w:val="16"/>
              </w:rPr>
            </w:pPr>
            <w:r w:rsidRPr="00D96063">
              <w:rPr>
                <w:rFonts w:cs="Arial"/>
                <w:b/>
                <w:bCs/>
                <w:sz w:val="16"/>
                <w:szCs w:val="16"/>
              </w:rPr>
              <w:t>Asia</w:t>
            </w:r>
          </w:p>
        </w:tc>
        <w:tc>
          <w:tcPr>
            <w:tcW w:w="545" w:type="pct"/>
            <w:noWrap/>
            <w:hideMark/>
          </w:tcPr>
          <w:p w14:paraId="48886BA8" w14:textId="77777777" w:rsidR="00C15F2E" w:rsidRPr="00D96063" w:rsidRDefault="00C15F2E" w:rsidP="00053198">
            <w:pPr>
              <w:jc w:val="right"/>
              <w:rPr>
                <w:rFonts w:cs="Arial"/>
                <w:b/>
                <w:bCs/>
                <w:sz w:val="16"/>
                <w:szCs w:val="16"/>
              </w:rPr>
            </w:pPr>
            <w:r w:rsidRPr="00D96063">
              <w:rPr>
                <w:rFonts w:cs="Arial"/>
                <w:b/>
                <w:bCs/>
                <w:sz w:val="16"/>
                <w:szCs w:val="16"/>
              </w:rPr>
              <w:t>22.3</w:t>
            </w:r>
          </w:p>
        </w:tc>
        <w:tc>
          <w:tcPr>
            <w:tcW w:w="545" w:type="pct"/>
            <w:noWrap/>
            <w:hideMark/>
          </w:tcPr>
          <w:p w14:paraId="3496EA5E" w14:textId="77777777" w:rsidR="00C15F2E" w:rsidRPr="00D96063" w:rsidRDefault="00C15F2E" w:rsidP="00053198">
            <w:pPr>
              <w:jc w:val="right"/>
              <w:rPr>
                <w:rFonts w:cs="Arial"/>
                <w:b/>
                <w:bCs/>
                <w:sz w:val="16"/>
                <w:szCs w:val="16"/>
              </w:rPr>
            </w:pPr>
            <w:r w:rsidRPr="00D96063">
              <w:rPr>
                <w:rFonts w:cs="Arial"/>
                <w:b/>
                <w:bCs/>
                <w:sz w:val="16"/>
                <w:szCs w:val="16"/>
              </w:rPr>
              <w:t>36.5</w:t>
            </w:r>
          </w:p>
        </w:tc>
        <w:tc>
          <w:tcPr>
            <w:tcW w:w="545" w:type="pct"/>
            <w:noWrap/>
            <w:hideMark/>
          </w:tcPr>
          <w:p w14:paraId="1CA9E5ED" w14:textId="77777777" w:rsidR="00C15F2E" w:rsidRPr="00D96063" w:rsidRDefault="00C15F2E" w:rsidP="00053198">
            <w:pPr>
              <w:jc w:val="right"/>
              <w:rPr>
                <w:rFonts w:cs="Arial"/>
                <w:b/>
                <w:bCs/>
                <w:sz w:val="16"/>
                <w:szCs w:val="16"/>
              </w:rPr>
            </w:pPr>
            <w:r w:rsidRPr="00D96063">
              <w:rPr>
                <w:rFonts w:cs="Arial"/>
                <w:b/>
                <w:bCs/>
                <w:sz w:val="16"/>
                <w:szCs w:val="16"/>
              </w:rPr>
              <w:t>33.9</w:t>
            </w:r>
          </w:p>
        </w:tc>
        <w:tc>
          <w:tcPr>
            <w:tcW w:w="545" w:type="pct"/>
            <w:noWrap/>
            <w:hideMark/>
          </w:tcPr>
          <w:p w14:paraId="3CE67D67" w14:textId="77777777" w:rsidR="00C15F2E" w:rsidRPr="00D96063" w:rsidRDefault="00C15F2E" w:rsidP="00053198">
            <w:pPr>
              <w:jc w:val="right"/>
              <w:rPr>
                <w:rFonts w:cs="Arial"/>
                <w:b/>
                <w:bCs/>
                <w:sz w:val="16"/>
                <w:szCs w:val="16"/>
              </w:rPr>
            </w:pPr>
            <w:r w:rsidRPr="00D96063">
              <w:rPr>
                <w:rFonts w:cs="Arial"/>
                <w:b/>
                <w:bCs/>
                <w:sz w:val="16"/>
                <w:szCs w:val="16"/>
              </w:rPr>
              <w:t>42.6</w:t>
            </w:r>
          </w:p>
        </w:tc>
        <w:tc>
          <w:tcPr>
            <w:tcW w:w="545" w:type="pct"/>
            <w:noWrap/>
            <w:hideMark/>
          </w:tcPr>
          <w:p w14:paraId="7165BD1E" w14:textId="77777777" w:rsidR="00C15F2E" w:rsidRPr="00D96063" w:rsidRDefault="00C15F2E" w:rsidP="00053198">
            <w:pPr>
              <w:jc w:val="right"/>
              <w:rPr>
                <w:rFonts w:cs="Arial"/>
                <w:b/>
                <w:bCs/>
                <w:sz w:val="16"/>
                <w:szCs w:val="16"/>
              </w:rPr>
            </w:pPr>
            <w:r w:rsidRPr="00D96063">
              <w:rPr>
                <w:rFonts w:cs="Arial"/>
                <w:b/>
                <w:bCs/>
                <w:sz w:val="16"/>
                <w:szCs w:val="16"/>
              </w:rPr>
              <w:t>43.5</w:t>
            </w:r>
          </w:p>
        </w:tc>
        <w:tc>
          <w:tcPr>
            <w:tcW w:w="545" w:type="pct"/>
            <w:noWrap/>
            <w:hideMark/>
          </w:tcPr>
          <w:p w14:paraId="67152CE5" w14:textId="77777777" w:rsidR="00C15F2E" w:rsidRPr="00D96063" w:rsidRDefault="00C15F2E" w:rsidP="00053198">
            <w:pPr>
              <w:jc w:val="right"/>
              <w:rPr>
                <w:rFonts w:cs="Arial"/>
                <w:b/>
                <w:bCs/>
                <w:sz w:val="16"/>
                <w:szCs w:val="16"/>
              </w:rPr>
            </w:pPr>
            <w:r w:rsidRPr="00D96063">
              <w:rPr>
                <w:rFonts w:cs="Arial"/>
                <w:b/>
                <w:bCs/>
                <w:sz w:val="16"/>
                <w:szCs w:val="16"/>
              </w:rPr>
              <w:t>37.4</w:t>
            </w:r>
          </w:p>
        </w:tc>
      </w:tr>
      <w:tr w:rsidR="00C15F2E" w:rsidRPr="00D96063" w14:paraId="3C7CADCC"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630F9429" w14:textId="77777777" w:rsidR="00C15F2E" w:rsidRPr="00D96063" w:rsidRDefault="00C15F2E" w:rsidP="00B34425">
            <w:pPr>
              <w:jc w:val="left"/>
              <w:rPr>
                <w:rFonts w:cs="Arial"/>
                <w:sz w:val="16"/>
                <w:szCs w:val="16"/>
              </w:rPr>
            </w:pPr>
            <w:r w:rsidRPr="00D96063">
              <w:rPr>
                <w:rFonts w:cs="Arial"/>
                <w:sz w:val="16"/>
                <w:szCs w:val="16"/>
              </w:rPr>
              <w:tab/>
              <w:t>China</w:t>
            </w:r>
          </w:p>
        </w:tc>
        <w:tc>
          <w:tcPr>
            <w:tcW w:w="545" w:type="pct"/>
            <w:noWrap/>
            <w:hideMark/>
          </w:tcPr>
          <w:p w14:paraId="67B3CAF9" w14:textId="77777777" w:rsidR="00C15F2E" w:rsidRPr="00D96063" w:rsidRDefault="00C15F2E" w:rsidP="00053198">
            <w:pPr>
              <w:jc w:val="right"/>
              <w:rPr>
                <w:rFonts w:cs="Arial"/>
                <w:sz w:val="16"/>
                <w:szCs w:val="16"/>
              </w:rPr>
            </w:pPr>
            <w:r w:rsidRPr="00D96063">
              <w:rPr>
                <w:rFonts w:cs="Arial"/>
                <w:sz w:val="16"/>
                <w:szCs w:val="16"/>
              </w:rPr>
              <w:t>5.4</w:t>
            </w:r>
          </w:p>
        </w:tc>
        <w:tc>
          <w:tcPr>
            <w:tcW w:w="545" w:type="pct"/>
            <w:noWrap/>
            <w:hideMark/>
          </w:tcPr>
          <w:p w14:paraId="777EA9BD" w14:textId="77777777" w:rsidR="00C15F2E" w:rsidRPr="00D96063" w:rsidRDefault="00C15F2E" w:rsidP="00053198">
            <w:pPr>
              <w:jc w:val="right"/>
              <w:rPr>
                <w:rFonts w:cs="Arial"/>
                <w:sz w:val="16"/>
                <w:szCs w:val="16"/>
              </w:rPr>
            </w:pPr>
            <w:r w:rsidRPr="00D96063">
              <w:rPr>
                <w:rFonts w:cs="Arial"/>
                <w:sz w:val="16"/>
                <w:szCs w:val="16"/>
              </w:rPr>
              <w:t>8.1</w:t>
            </w:r>
          </w:p>
        </w:tc>
        <w:tc>
          <w:tcPr>
            <w:tcW w:w="545" w:type="pct"/>
            <w:noWrap/>
            <w:hideMark/>
          </w:tcPr>
          <w:p w14:paraId="5142BE75" w14:textId="77777777" w:rsidR="00C15F2E" w:rsidRPr="00D96063" w:rsidRDefault="00C15F2E" w:rsidP="00053198">
            <w:pPr>
              <w:jc w:val="right"/>
              <w:rPr>
                <w:rFonts w:cs="Arial"/>
                <w:sz w:val="16"/>
                <w:szCs w:val="16"/>
              </w:rPr>
            </w:pPr>
            <w:r w:rsidRPr="00D96063">
              <w:rPr>
                <w:rFonts w:cs="Arial"/>
                <w:sz w:val="16"/>
                <w:szCs w:val="16"/>
              </w:rPr>
              <w:t>8.8</w:t>
            </w:r>
          </w:p>
        </w:tc>
        <w:tc>
          <w:tcPr>
            <w:tcW w:w="545" w:type="pct"/>
            <w:noWrap/>
            <w:hideMark/>
          </w:tcPr>
          <w:p w14:paraId="08915FA8" w14:textId="77777777" w:rsidR="00C15F2E" w:rsidRPr="00D96063" w:rsidRDefault="00C15F2E" w:rsidP="00053198">
            <w:pPr>
              <w:jc w:val="right"/>
              <w:rPr>
                <w:rFonts w:cs="Arial"/>
                <w:sz w:val="16"/>
                <w:szCs w:val="16"/>
              </w:rPr>
            </w:pPr>
            <w:r w:rsidRPr="00D96063">
              <w:rPr>
                <w:rFonts w:cs="Arial"/>
                <w:sz w:val="16"/>
                <w:szCs w:val="16"/>
              </w:rPr>
              <w:t>16.6</w:t>
            </w:r>
          </w:p>
        </w:tc>
        <w:tc>
          <w:tcPr>
            <w:tcW w:w="545" w:type="pct"/>
            <w:noWrap/>
            <w:hideMark/>
          </w:tcPr>
          <w:p w14:paraId="4C0F58A4" w14:textId="77777777" w:rsidR="00C15F2E" w:rsidRPr="00D96063" w:rsidRDefault="00C15F2E" w:rsidP="00053198">
            <w:pPr>
              <w:jc w:val="right"/>
              <w:rPr>
                <w:rFonts w:cs="Arial"/>
                <w:sz w:val="16"/>
                <w:szCs w:val="16"/>
              </w:rPr>
            </w:pPr>
            <w:r w:rsidRPr="00D96063">
              <w:rPr>
                <w:rFonts w:cs="Arial"/>
                <w:sz w:val="16"/>
                <w:szCs w:val="16"/>
              </w:rPr>
              <w:t>11.9</w:t>
            </w:r>
          </w:p>
        </w:tc>
        <w:tc>
          <w:tcPr>
            <w:tcW w:w="545" w:type="pct"/>
            <w:noWrap/>
            <w:hideMark/>
          </w:tcPr>
          <w:p w14:paraId="03C876A8" w14:textId="77777777" w:rsidR="00C15F2E" w:rsidRPr="00D96063" w:rsidRDefault="00C15F2E" w:rsidP="00053198">
            <w:pPr>
              <w:jc w:val="right"/>
              <w:rPr>
                <w:rFonts w:cs="Arial"/>
                <w:sz w:val="16"/>
                <w:szCs w:val="16"/>
              </w:rPr>
            </w:pPr>
            <w:r w:rsidRPr="00D96063">
              <w:rPr>
                <w:rFonts w:cs="Arial"/>
                <w:sz w:val="16"/>
                <w:szCs w:val="16"/>
              </w:rPr>
              <w:t>16.7</w:t>
            </w:r>
          </w:p>
        </w:tc>
      </w:tr>
      <w:tr w:rsidR="00C15F2E" w:rsidRPr="00D96063" w14:paraId="79821743" w14:textId="77777777" w:rsidTr="00053198">
        <w:trPr>
          <w:trHeight w:val="240"/>
        </w:trPr>
        <w:tc>
          <w:tcPr>
            <w:tcW w:w="1731" w:type="pct"/>
            <w:noWrap/>
            <w:hideMark/>
          </w:tcPr>
          <w:p w14:paraId="16244FBE" w14:textId="77777777" w:rsidR="00C15F2E" w:rsidRPr="00D96063" w:rsidRDefault="00C15F2E" w:rsidP="00B34425">
            <w:pPr>
              <w:jc w:val="left"/>
              <w:rPr>
                <w:rFonts w:cs="Arial"/>
                <w:sz w:val="16"/>
                <w:szCs w:val="16"/>
              </w:rPr>
            </w:pPr>
            <w:r w:rsidRPr="00D96063">
              <w:rPr>
                <w:rFonts w:cs="Arial"/>
                <w:sz w:val="16"/>
                <w:szCs w:val="16"/>
              </w:rPr>
              <w:tab/>
              <w:t>Japan</w:t>
            </w:r>
          </w:p>
        </w:tc>
        <w:tc>
          <w:tcPr>
            <w:tcW w:w="545" w:type="pct"/>
            <w:noWrap/>
            <w:hideMark/>
          </w:tcPr>
          <w:p w14:paraId="0A13DD54" w14:textId="77777777" w:rsidR="00C15F2E" w:rsidRPr="00D96063" w:rsidRDefault="00C15F2E" w:rsidP="00053198">
            <w:pPr>
              <w:jc w:val="right"/>
              <w:rPr>
                <w:rFonts w:cs="Arial"/>
                <w:sz w:val="16"/>
                <w:szCs w:val="16"/>
              </w:rPr>
            </w:pPr>
            <w:r w:rsidRPr="00D96063">
              <w:rPr>
                <w:rFonts w:cs="Arial"/>
                <w:sz w:val="16"/>
                <w:szCs w:val="16"/>
              </w:rPr>
              <w:t>0.7</w:t>
            </w:r>
          </w:p>
        </w:tc>
        <w:tc>
          <w:tcPr>
            <w:tcW w:w="545" w:type="pct"/>
            <w:noWrap/>
            <w:hideMark/>
          </w:tcPr>
          <w:p w14:paraId="371EA6EC" w14:textId="77777777" w:rsidR="00C15F2E" w:rsidRPr="00D96063" w:rsidRDefault="00C15F2E" w:rsidP="00053198">
            <w:pPr>
              <w:jc w:val="right"/>
              <w:rPr>
                <w:rFonts w:cs="Arial"/>
                <w:sz w:val="16"/>
                <w:szCs w:val="16"/>
              </w:rPr>
            </w:pPr>
            <w:r w:rsidRPr="00D96063">
              <w:rPr>
                <w:rFonts w:cs="Arial"/>
                <w:sz w:val="16"/>
                <w:szCs w:val="16"/>
              </w:rPr>
              <w:t>0.9</w:t>
            </w:r>
          </w:p>
        </w:tc>
        <w:tc>
          <w:tcPr>
            <w:tcW w:w="545" w:type="pct"/>
            <w:noWrap/>
            <w:hideMark/>
          </w:tcPr>
          <w:p w14:paraId="2DF6898C" w14:textId="77777777" w:rsidR="00C15F2E" w:rsidRPr="00D96063" w:rsidRDefault="00C15F2E" w:rsidP="00053198">
            <w:pPr>
              <w:jc w:val="right"/>
              <w:rPr>
                <w:rFonts w:cs="Arial"/>
                <w:sz w:val="16"/>
                <w:szCs w:val="16"/>
              </w:rPr>
            </w:pPr>
            <w:r w:rsidRPr="00D96063">
              <w:rPr>
                <w:rFonts w:cs="Arial"/>
                <w:sz w:val="16"/>
                <w:szCs w:val="16"/>
              </w:rPr>
              <w:t>1.4</w:t>
            </w:r>
          </w:p>
        </w:tc>
        <w:tc>
          <w:tcPr>
            <w:tcW w:w="545" w:type="pct"/>
            <w:noWrap/>
            <w:hideMark/>
          </w:tcPr>
          <w:p w14:paraId="66078338" w14:textId="77777777" w:rsidR="00C15F2E" w:rsidRPr="00D96063" w:rsidRDefault="00C15F2E" w:rsidP="00053198">
            <w:pPr>
              <w:jc w:val="right"/>
              <w:rPr>
                <w:rFonts w:cs="Arial"/>
                <w:sz w:val="16"/>
                <w:szCs w:val="16"/>
              </w:rPr>
            </w:pPr>
            <w:r w:rsidRPr="00D96063">
              <w:rPr>
                <w:rFonts w:cs="Arial"/>
                <w:sz w:val="16"/>
                <w:szCs w:val="16"/>
              </w:rPr>
              <w:t>0.9</w:t>
            </w:r>
          </w:p>
        </w:tc>
        <w:tc>
          <w:tcPr>
            <w:tcW w:w="545" w:type="pct"/>
            <w:noWrap/>
            <w:hideMark/>
          </w:tcPr>
          <w:p w14:paraId="4941E07F" w14:textId="77777777" w:rsidR="00C15F2E" w:rsidRPr="00D96063" w:rsidRDefault="00C15F2E" w:rsidP="00053198">
            <w:pPr>
              <w:jc w:val="right"/>
              <w:rPr>
                <w:rFonts w:cs="Arial"/>
                <w:sz w:val="16"/>
                <w:szCs w:val="16"/>
              </w:rPr>
            </w:pPr>
            <w:r w:rsidRPr="00D96063">
              <w:rPr>
                <w:rFonts w:cs="Arial"/>
                <w:sz w:val="16"/>
                <w:szCs w:val="16"/>
              </w:rPr>
              <w:t>1.0</w:t>
            </w:r>
          </w:p>
        </w:tc>
        <w:tc>
          <w:tcPr>
            <w:tcW w:w="545" w:type="pct"/>
            <w:noWrap/>
            <w:hideMark/>
          </w:tcPr>
          <w:p w14:paraId="7F4E4A37" w14:textId="77777777" w:rsidR="00C15F2E" w:rsidRPr="00D96063" w:rsidRDefault="00C15F2E" w:rsidP="00053198">
            <w:pPr>
              <w:jc w:val="right"/>
              <w:rPr>
                <w:rFonts w:cs="Arial"/>
                <w:sz w:val="16"/>
                <w:szCs w:val="16"/>
              </w:rPr>
            </w:pPr>
            <w:r w:rsidRPr="00D96063">
              <w:rPr>
                <w:rFonts w:cs="Arial"/>
                <w:sz w:val="16"/>
                <w:szCs w:val="16"/>
              </w:rPr>
              <w:t>1.8</w:t>
            </w:r>
          </w:p>
        </w:tc>
      </w:tr>
      <w:tr w:rsidR="00C15F2E" w:rsidRPr="00D96063" w14:paraId="3A8746EF"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0EC36C24" w14:textId="77777777" w:rsidR="00C15F2E" w:rsidRPr="00D96063" w:rsidRDefault="00C15F2E" w:rsidP="00053198">
            <w:pPr>
              <w:ind w:left="113" w:hanging="113"/>
              <w:jc w:val="left"/>
              <w:rPr>
                <w:rFonts w:cs="Arial"/>
                <w:sz w:val="16"/>
                <w:szCs w:val="16"/>
              </w:rPr>
            </w:pPr>
            <w:r w:rsidRPr="00D96063">
              <w:rPr>
                <w:rFonts w:cs="Arial"/>
                <w:sz w:val="16"/>
                <w:szCs w:val="16"/>
              </w:rPr>
              <w:tab/>
              <w:t>Other Asia</w:t>
            </w:r>
          </w:p>
        </w:tc>
        <w:tc>
          <w:tcPr>
            <w:tcW w:w="545" w:type="pct"/>
            <w:noWrap/>
            <w:hideMark/>
          </w:tcPr>
          <w:p w14:paraId="7A184BDC" w14:textId="77777777" w:rsidR="00C15F2E" w:rsidRPr="00D96063" w:rsidRDefault="00C15F2E" w:rsidP="00053198">
            <w:pPr>
              <w:jc w:val="right"/>
              <w:rPr>
                <w:rFonts w:cs="Arial"/>
                <w:sz w:val="16"/>
                <w:szCs w:val="16"/>
              </w:rPr>
            </w:pPr>
            <w:r w:rsidRPr="00D96063">
              <w:rPr>
                <w:rFonts w:cs="Arial"/>
                <w:sz w:val="16"/>
                <w:szCs w:val="16"/>
              </w:rPr>
              <w:t>16.2</w:t>
            </w:r>
          </w:p>
        </w:tc>
        <w:tc>
          <w:tcPr>
            <w:tcW w:w="545" w:type="pct"/>
            <w:noWrap/>
            <w:hideMark/>
          </w:tcPr>
          <w:p w14:paraId="11232C43" w14:textId="77777777" w:rsidR="00C15F2E" w:rsidRPr="00D96063" w:rsidRDefault="00C15F2E" w:rsidP="00053198">
            <w:pPr>
              <w:jc w:val="right"/>
              <w:rPr>
                <w:rFonts w:cs="Arial"/>
                <w:sz w:val="16"/>
                <w:szCs w:val="16"/>
              </w:rPr>
            </w:pPr>
            <w:r w:rsidRPr="00D96063">
              <w:rPr>
                <w:rFonts w:cs="Arial"/>
                <w:sz w:val="16"/>
                <w:szCs w:val="16"/>
              </w:rPr>
              <w:t>27.4</w:t>
            </w:r>
          </w:p>
        </w:tc>
        <w:tc>
          <w:tcPr>
            <w:tcW w:w="545" w:type="pct"/>
            <w:noWrap/>
            <w:hideMark/>
          </w:tcPr>
          <w:p w14:paraId="0D65CB34" w14:textId="77777777" w:rsidR="00C15F2E" w:rsidRPr="00D96063" w:rsidRDefault="00C15F2E" w:rsidP="00053198">
            <w:pPr>
              <w:jc w:val="right"/>
              <w:rPr>
                <w:rFonts w:cs="Arial"/>
                <w:sz w:val="16"/>
                <w:szCs w:val="16"/>
              </w:rPr>
            </w:pPr>
            <w:r w:rsidRPr="00D96063">
              <w:rPr>
                <w:rFonts w:cs="Arial"/>
                <w:sz w:val="16"/>
                <w:szCs w:val="16"/>
              </w:rPr>
              <w:t>23.6</w:t>
            </w:r>
          </w:p>
        </w:tc>
        <w:tc>
          <w:tcPr>
            <w:tcW w:w="545" w:type="pct"/>
            <w:noWrap/>
            <w:hideMark/>
          </w:tcPr>
          <w:p w14:paraId="15313A99" w14:textId="77777777" w:rsidR="00C15F2E" w:rsidRPr="00D96063" w:rsidRDefault="00C15F2E" w:rsidP="00053198">
            <w:pPr>
              <w:jc w:val="right"/>
              <w:rPr>
                <w:rFonts w:cs="Arial"/>
                <w:sz w:val="16"/>
                <w:szCs w:val="16"/>
              </w:rPr>
            </w:pPr>
            <w:r w:rsidRPr="00D96063">
              <w:rPr>
                <w:rFonts w:cs="Arial"/>
                <w:sz w:val="16"/>
                <w:szCs w:val="16"/>
              </w:rPr>
              <w:t>25.2</w:t>
            </w:r>
          </w:p>
        </w:tc>
        <w:tc>
          <w:tcPr>
            <w:tcW w:w="545" w:type="pct"/>
            <w:noWrap/>
            <w:hideMark/>
          </w:tcPr>
          <w:p w14:paraId="1CA1B59C" w14:textId="77777777" w:rsidR="00C15F2E" w:rsidRPr="00D96063" w:rsidRDefault="00C15F2E" w:rsidP="00053198">
            <w:pPr>
              <w:jc w:val="right"/>
              <w:rPr>
                <w:rFonts w:cs="Arial"/>
                <w:sz w:val="16"/>
                <w:szCs w:val="16"/>
              </w:rPr>
            </w:pPr>
            <w:r w:rsidRPr="00D96063">
              <w:rPr>
                <w:rFonts w:cs="Arial"/>
                <w:sz w:val="16"/>
                <w:szCs w:val="16"/>
              </w:rPr>
              <w:t>30.6</w:t>
            </w:r>
          </w:p>
        </w:tc>
        <w:tc>
          <w:tcPr>
            <w:tcW w:w="545" w:type="pct"/>
            <w:noWrap/>
            <w:hideMark/>
          </w:tcPr>
          <w:p w14:paraId="02C0D3BA" w14:textId="77777777" w:rsidR="00C15F2E" w:rsidRPr="00D96063" w:rsidRDefault="00C15F2E" w:rsidP="00053198">
            <w:pPr>
              <w:jc w:val="right"/>
              <w:rPr>
                <w:rFonts w:cs="Arial"/>
                <w:sz w:val="16"/>
                <w:szCs w:val="16"/>
              </w:rPr>
            </w:pPr>
            <w:r w:rsidRPr="00D96063">
              <w:rPr>
                <w:rFonts w:cs="Arial"/>
                <w:sz w:val="16"/>
                <w:szCs w:val="16"/>
              </w:rPr>
              <w:t>18.9</w:t>
            </w:r>
          </w:p>
        </w:tc>
      </w:tr>
      <w:tr w:rsidR="00C15F2E" w:rsidRPr="00D96063" w14:paraId="5ED28460" w14:textId="77777777" w:rsidTr="00053198">
        <w:trPr>
          <w:trHeight w:val="240"/>
        </w:trPr>
        <w:tc>
          <w:tcPr>
            <w:tcW w:w="1731" w:type="pct"/>
            <w:noWrap/>
            <w:hideMark/>
          </w:tcPr>
          <w:p w14:paraId="72B919C9" w14:textId="77777777" w:rsidR="00C15F2E" w:rsidRPr="00D96063" w:rsidRDefault="00C15F2E" w:rsidP="00053198">
            <w:pPr>
              <w:jc w:val="left"/>
              <w:rPr>
                <w:rFonts w:cs="Arial"/>
                <w:sz w:val="16"/>
                <w:szCs w:val="16"/>
              </w:rPr>
            </w:pPr>
            <w:r w:rsidRPr="00D96063">
              <w:rPr>
                <w:rFonts w:cs="Arial"/>
                <w:sz w:val="16"/>
                <w:szCs w:val="16"/>
              </w:rPr>
              <w:tab/>
              <w:t>India</w:t>
            </w:r>
          </w:p>
        </w:tc>
        <w:tc>
          <w:tcPr>
            <w:tcW w:w="545" w:type="pct"/>
            <w:noWrap/>
            <w:hideMark/>
          </w:tcPr>
          <w:p w14:paraId="421F387E" w14:textId="77777777" w:rsidR="00C15F2E" w:rsidRPr="00D96063" w:rsidRDefault="00C15F2E" w:rsidP="00053198">
            <w:pPr>
              <w:jc w:val="right"/>
              <w:rPr>
                <w:rFonts w:cs="Arial"/>
                <w:sz w:val="16"/>
                <w:szCs w:val="16"/>
              </w:rPr>
            </w:pPr>
            <w:r w:rsidRPr="00D96063">
              <w:rPr>
                <w:rFonts w:cs="Arial"/>
                <w:sz w:val="16"/>
                <w:szCs w:val="16"/>
              </w:rPr>
              <w:t>5.2</w:t>
            </w:r>
          </w:p>
        </w:tc>
        <w:tc>
          <w:tcPr>
            <w:tcW w:w="545" w:type="pct"/>
            <w:noWrap/>
            <w:hideMark/>
          </w:tcPr>
          <w:p w14:paraId="42C71902" w14:textId="77777777" w:rsidR="00C15F2E" w:rsidRPr="00D96063" w:rsidRDefault="00C15F2E" w:rsidP="00053198">
            <w:pPr>
              <w:jc w:val="right"/>
              <w:rPr>
                <w:rFonts w:cs="Arial"/>
                <w:sz w:val="16"/>
                <w:szCs w:val="16"/>
              </w:rPr>
            </w:pPr>
            <w:r w:rsidRPr="00D96063">
              <w:rPr>
                <w:rFonts w:cs="Arial"/>
                <w:sz w:val="16"/>
                <w:szCs w:val="16"/>
              </w:rPr>
              <w:t>17.1</w:t>
            </w:r>
          </w:p>
        </w:tc>
        <w:tc>
          <w:tcPr>
            <w:tcW w:w="545" w:type="pct"/>
            <w:noWrap/>
            <w:hideMark/>
          </w:tcPr>
          <w:p w14:paraId="6B173665" w14:textId="77777777" w:rsidR="00C15F2E" w:rsidRPr="00D96063" w:rsidRDefault="00C15F2E" w:rsidP="00053198">
            <w:pPr>
              <w:jc w:val="right"/>
              <w:rPr>
                <w:rFonts w:cs="Arial"/>
                <w:sz w:val="16"/>
                <w:szCs w:val="16"/>
              </w:rPr>
            </w:pPr>
            <w:r w:rsidRPr="00D96063">
              <w:rPr>
                <w:rFonts w:cs="Arial"/>
                <w:sz w:val="16"/>
                <w:szCs w:val="16"/>
              </w:rPr>
              <w:t>14.6</w:t>
            </w:r>
          </w:p>
        </w:tc>
        <w:tc>
          <w:tcPr>
            <w:tcW w:w="545" w:type="pct"/>
            <w:noWrap/>
            <w:hideMark/>
          </w:tcPr>
          <w:p w14:paraId="748EA445" w14:textId="77777777" w:rsidR="00C15F2E" w:rsidRPr="00D96063" w:rsidRDefault="00C15F2E" w:rsidP="00053198">
            <w:pPr>
              <w:jc w:val="right"/>
              <w:rPr>
                <w:rFonts w:cs="Arial"/>
                <w:sz w:val="16"/>
                <w:szCs w:val="16"/>
              </w:rPr>
            </w:pPr>
            <w:r w:rsidRPr="00D96063">
              <w:rPr>
                <w:rFonts w:cs="Arial"/>
                <w:sz w:val="16"/>
                <w:szCs w:val="16"/>
              </w:rPr>
              <w:t>18.7</w:t>
            </w:r>
          </w:p>
        </w:tc>
        <w:tc>
          <w:tcPr>
            <w:tcW w:w="545" w:type="pct"/>
            <w:noWrap/>
            <w:hideMark/>
          </w:tcPr>
          <w:p w14:paraId="1F40D458" w14:textId="77777777" w:rsidR="00C15F2E" w:rsidRPr="00D96063" w:rsidRDefault="00C15F2E" w:rsidP="00053198">
            <w:pPr>
              <w:jc w:val="right"/>
              <w:rPr>
                <w:rFonts w:cs="Arial"/>
                <w:sz w:val="16"/>
                <w:szCs w:val="16"/>
              </w:rPr>
            </w:pPr>
            <w:r w:rsidRPr="00D96063">
              <w:rPr>
                <w:rFonts w:cs="Arial"/>
                <w:sz w:val="16"/>
                <w:szCs w:val="16"/>
              </w:rPr>
              <w:t>21.5</w:t>
            </w:r>
          </w:p>
        </w:tc>
        <w:tc>
          <w:tcPr>
            <w:tcW w:w="545" w:type="pct"/>
            <w:noWrap/>
            <w:hideMark/>
          </w:tcPr>
          <w:p w14:paraId="151EEF64" w14:textId="77777777" w:rsidR="00C15F2E" w:rsidRPr="00D96063" w:rsidRDefault="00C15F2E" w:rsidP="00053198">
            <w:pPr>
              <w:jc w:val="right"/>
              <w:rPr>
                <w:rFonts w:cs="Arial"/>
                <w:sz w:val="16"/>
                <w:szCs w:val="16"/>
              </w:rPr>
            </w:pPr>
            <w:r w:rsidRPr="00D96063">
              <w:rPr>
                <w:rFonts w:cs="Arial"/>
                <w:sz w:val="16"/>
                <w:szCs w:val="16"/>
              </w:rPr>
              <w:t>14.2</w:t>
            </w:r>
          </w:p>
        </w:tc>
      </w:tr>
      <w:tr w:rsidR="00C15F2E" w:rsidRPr="00D96063" w14:paraId="1A09B1BC"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4D2D47CB" w14:textId="77777777" w:rsidR="00C15F2E" w:rsidRPr="00D96063" w:rsidRDefault="00C15F2E" w:rsidP="00053198">
            <w:pPr>
              <w:jc w:val="left"/>
              <w:rPr>
                <w:rFonts w:cs="Arial"/>
                <w:sz w:val="16"/>
                <w:szCs w:val="16"/>
              </w:rPr>
            </w:pPr>
            <w:r w:rsidRPr="00D96063">
              <w:rPr>
                <w:rFonts w:cs="Arial"/>
                <w:sz w:val="16"/>
                <w:szCs w:val="16"/>
              </w:rPr>
              <w:tab/>
              <w:t>Malaysia</w:t>
            </w:r>
          </w:p>
        </w:tc>
        <w:tc>
          <w:tcPr>
            <w:tcW w:w="545" w:type="pct"/>
            <w:noWrap/>
            <w:hideMark/>
          </w:tcPr>
          <w:p w14:paraId="5D280652" w14:textId="77777777" w:rsidR="00C15F2E" w:rsidRPr="00D96063" w:rsidRDefault="00C15F2E" w:rsidP="00053198">
            <w:pPr>
              <w:jc w:val="right"/>
              <w:rPr>
                <w:rFonts w:cs="Arial"/>
                <w:sz w:val="16"/>
                <w:szCs w:val="16"/>
              </w:rPr>
            </w:pPr>
            <w:r w:rsidRPr="00D96063">
              <w:rPr>
                <w:rFonts w:cs="Arial"/>
                <w:sz w:val="16"/>
                <w:szCs w:val="16"/>
              </w:rPr>
              <w:t>2.3</w:t>
            </w:r>
          </w:p>
        </w:tc>
        <w:tc>
          <w:tcPr>
            <w:tcW w:w="545" w:type="pct"/>
            <w:noWrap/>
            <w:hideMark/>
          </w:tcPr>
          <w:p w14:paraId="63874DE1" w14:textId="77777777" w:rsidR="00C15F2E" w:rsidRPr="00D96063" w:rsidRDefault="00C15F2E" w:rsidP="00053198">
            <w:pPr>
              <w:jc w:val="right"/>
              <w:rPr>
                <w:rFonts w:cs="Arial"/>
                <w:sz w:val="16"/>
                <w:szCs w:val="16"/>
              </w:rPr>
            </w:pPr>
            <w:r w:rsidRPr="00D96063">
              <w:rPr>
                <w:rFonts w:cs="Arial"/>
                <w:sz w:val="16"/>
                <w:szCs w:val="16"/>
              </w:rPr>
              <w:t>1.9</w:t>
            </w:r>
          </w:p>
        </w:tc>
        <w:tc>
          <w:tcPr>
            <w:tcW w:w="545" w:type="pct"/>
            <w:noWrap/>
            <w:hideMark/>
          </w:tcPr>
          <w:p w14:paraId="58C3A5A0" w14:textId="77777777" w:rsidR="00C15F2E" w:rsidRPr="00D96063" w:rsidRDefault="00C15F2E" w:rsidP="00053198">
            <w:pPr>
              <w:jc w:val="right"/>
              <w:rPr>
                <w:rFonts w:cs="Arial"/>
                <w:sz w:val="16"/>
                <w:szCs w:val="16"/>
              </w:rPr>
            </w:pPr>
            <w:r w:rsidRPr="00D96063">
              <w:rPr>
                <w:rFonts w:cs="Arial"/>
                <w:sz w:val="16"/>
                <w:szCs w:val="16"/>
              </w:rPr>
              <w:t>2.0</w:t>
            </w:r>
          </w:p>
        </w:tc>
        <w:tc>
          <w:tcPr>
            <w:tcW w:w="545" w:type="pct"/>
            <w:noWrap/>
            <w:hideMark/>
          </w:tcPr>
          <w:p w14:paraId="64B5D2C0" w14:textId="77777777" w:rsidR="00C15F2E" w:rsidRPr="00D96063" w:rsidRDefault="00C15F2E" w:rsidP="00053198">
            <w:pPr>
              <w:jc w:val="right"/>
              <w:rPr>
                <w:rFonts w:cs="Arial"/>
                <w:sz w:val="16"/>
                <w:szCs w:val="16"/>
              </w:rPr>
            </w:pPr>
            <w:r w:rsidRPr="00D96063">
              <w:rPr>
                <w:rFonts w:cs="Arial"/>
                <w:sz w:val="16"/>
                <w:szCs w:val="16"/>
              </w:rPr>
              <w:t>3.2</w:t>
            </w:r>
          </w:p>
        </w:tc>
        <w:tc>
          <w:tcPr>
            <w:tcW w:w="545" w:type="pct"/>
            <w:noWrap/>
            <w:hideMark/>
          </w:tcPr>
          <w:p w14:paraId="2E62F19C" w14:textId="77777777" w:rsidR="00C15F2E" w:rsidRPr="00D96063" w:rsidRDefault="00C15F2E" w:rsidP="00053198">
            <w:pPr>
              <w:jc w:val="right"/>
              <w:rPr>
                <w:rFonts w:cs="Arial"/>
                <w:sz w:val="16"/>
                <w:szCs w:val="16"/>
              </w:rPr>
            </w:pPr>
            <w:r w:rsidRPr="00D96063">
              <w:rPr>
                <w:rFonts w:cs="Arial"/>
                <w:sz w:val="16"/>
                <w:szCs w:val="16"/>
              </w:rPr>
              <w:t>6.5</w:t>
            </w:r>
          </w:p>
        </w:tc>
        <w:tc>
          <w:tcPr>
            <w:tcW w:w="545" w:type="pct"/>
            <w:noWrap/>
            <w:hideMark/>
          </w:tcPr>
          <w:p w14:paraId="24DBA9B1" w14:textId="77777777" w:rsidR="00C15F2E" w:rsidRPr="00D96063" w:rsidRDefault="00C15F2E" w:rsidP="00053198">
            <w:pPr>
              <w:jc w:val="right"/>
              <w:rPr>
                <w:rFonts w:cs="Arial"/>
                <w:sz w:val="16"/>
                <w:szCs w:val="16"/>
              </w:rPr>
            </w:pPr>
            <w:r w:rsidRPr="00D96063">
              <w:rPr>
                <w:rFonts w:cs="Arial"/>
                <w:sz w:val="16"/>
                <w:szCs w:val="16"/>
              </w:rPr>
              <w:t>1.6</w:t>
            </w:r>
          </w:p>
        </w:tc>
      </w:tr>
      <w:tr w:rsidR="00C15F2E" w:rsidRPr="00D96063" w14:paraId="422E59E2" w14:textId="77777777" w:rsidTr="00053198">
        <w:trPr>
          <w:trHeight w:val="240"/>
        </w:trPr>
        <w:tc>
          <w:tcPr>
            <w:tcW w:w="1731" w:type="pct"/>
            <w:noWrap/>
            <w:hideMark/>
          </w:tcPr>
          <w:p w14:paraId="00F44940" w14:textId="77777777" w:rsidR="00C15F2E" w:rsidRPr="00D96063" w:rsidRDefault="00C15F2E" w:rsidP="00053198">
            <w:pPr>
              <w:jc w:val="left"/>
              <w:rPr>
                <w:rFonts w:cs="Arial"/>
                <w:sz w:val="16"/>
                <w:szCs w:val="16"/>
              </w:rPr>
            </w:pPr>
            <w:r w:rsidRPr="00D96063">
              <w:rPr>
                <w:rFonts w:cs="Arial"/>
                <w:sz w:val="16"/>
                <w:szCs w:val="16"/>
              </w:rPr>
              <w:tab/>
              <w:t>Hong Kong, China</w:t>
            </w:r>
          </w:p>
        </w:tc>
        <w:tc>
          <w:tcPr>
            <w:tcW w:w="545" w:type="pct"/>
            <w:noWrap/>
            <w:hideMark/>
          </w:tcPr>
          <w:p w14:paraId="36AAC875" w14:textId="77777777" w:rsidR="00C15F2E" w:rsidRPr="00D96063" w:rsidRDefault="00C15F2E" w:rsidP="00053198">
            <w:pPr>
              <w:jc w:val="right"/>
              <w:rPr>
                <w:rFonts w:cs="Arial"/>
                <w:sz w:val="16"/>
                <w:szCs w:val="16"/>
              </w:rPr>
            </w:pPr>
            <w:r w:rsidRPr="00D96063">
              <w:rPr>
                <w:rFonts w:cs="Arial"/>
                <w:sz w:val="16"/>
                <w:szCs w:val="16"/>
              </w:rPr>
              <w:t>0.2</w:t>
            </w:r>
          </w:p>
        </w:tc>
        <w:tc>
          <w:tcPr>
            <w:tcW w:w="545" w:type="pct"/>
            <w:noWrap/>
            <w:hideMark/>
          </w:tcPr>
          <w:p w14:paraId="50D910CA" w14:textId="77777777" w:rsidR="00C15F2E" w:rsidRPr="00D96063" w:rsidRDefault="00C15F2E" w:rsidP="00053198">
            <w:pPr>
              <w:jc w:val="right"/>
              <w:rPr>
                <w:rFonts w:cs="Arial"/>
                <w:sz w:val="16"/>
                <w:szCs w:val="16"/>
              </w:rPr>
            </w:pPr>
            <w:r w:rsidRPr="00D96063">
              <w:rPr>
                <w:rFonts w:cs="Arial"/>
                <w:sz w:val="16"/>
                <w:szCs w:val="16"/>
              </w:rPr>
              <w:t>0.3</w:t>
            </w:r>
          </w:p>
        </w:tc>
        <w:tc>
          <w:tcPr>
            <w:tcW w:w="545" w:type="pct"/>
            <w:noWrap/>
            <w:hideMark/>
          </w:tcPr>
          <w:p w14:paraId="3265E3FC" w14:textId="77777777" w:rsidR="00C15F2E" w:rsidRPr="00D96063" w:rsidRDefault="00C15F2E" w:rsidP="00053198">
            <w:pPr>
              <w:jc w:val="right"/>
              <w:rPr>
                <w:rFonts w:cs="Arial"/>
                <w:sz w:val="16"/>
                <w:szCs w:val="16"/>
              </w:rPr>
            </w:pPr>
            <w:r w:rsidRPr="00D96063">
              <w:rPr>
                <w:rFonts w:cs="Arial"/>
                <w:sz w:val="16"/>
                <w:szCs w:val="16"/>
              </w:rPr>
              <w:t>0.0</w:t>
            </w:r>
          </w:p>
        </w:tc>
        <w:tc>
          <w:tcPr>
            <w:tcW w:w="545" w:type="pct"/>
            <w:noWrap/>
            <w:hideMark/>
          </w:tcPr>
          <w:p w14:paraId="09E802C8" w14:textId="77777777" w:rsidR="00C15F2E" w:rsidRPr="00D96063" w:rsidRDefault="00C15F2E" w:rsidP="00053198">
            <w:pPr>
              <w:jc w:val="right"/>
              <w:rPr>
                <w:rFonts w:cs="Arial"/>
                <w:sz w:val="16"/>
                <w:szCs w:val="16"/>
              </w:rPr>
            </w:pPr>
            <w:r w:rsidRPr="00D96063">
              <w:rPr>
                <w:rFonts w:cs="Arial"/>
                <w:sz w:val="16"/>
                <w:szCs w:val="16"/>
              </w:rPr>
              <w:t>0.7</w:t>
            </w:r>
          </w:p>
        </w:tc>
        <w:tc>
          <w:tcPr>
            <w:tcW w:w="545" w:type="pct"/>
            <w:noWrap/>
            <w:hideMark/>
          </w:tcPr>
          <w:p w14:paraId="24BF6A08" w14:textId="77777777" w:rsidR="00C15F2E" w:rsidRPr="00D96063" w:rsidRDefault="00C15F2E" w:rsidP="00053198">
            <w:pPr>
              <w:jc w:val="right"/>
              <w:rPr>
                <w:rFonts w:cs="Arial"/>
                <w:sz w:val="16"/>
                <w:szCs w:val="16"/>
              </w:rPr>
            </w:pPr>
            <w:r w:rsidRPr="00D96063">
              <w:rPr>
                <w:rFonts w:cs="Arial"/>
                <w:sz w:val="16"/>
                <w:szCs w:val="16"/>
              </w:rPr>
              <w:t>0.6</w:t>
            </w:r>
          </w:p>
        </w:tc>
        <w:tc>
          <w:tcPr>
            <w:tcW w:w="545" w:type="pct"/>
            <w:noWrap/>
            <w:hideMark/>
          </w:tcPr>
          <w:p w14:paraId="5E53714C" w14:textId="77777777" w:rsidR="00C15F2E" w:rsidRPr="00D96063" w:rsidRDefault="00C15F2E" w:rsidP="00053198">
            <w:pPr>
              <w:jc w:val="right"/>
              <w:rPr>
                <w:rFonts w:cs="Arial"/>
                <w:sz w:val="16"/>
                <w:szCs w:val="16"/>
              </w:rPr>
            </w:pPr>
            <w:r w:rsidRPr="00D96063">
              <w:rPr>
                <w:rFonts w:cs="Arial"/>
                <w:sz w:val="16"/>
                <w:szCs w:val="16"/>
              </w:rPr>
              <w:t>1.3</w:t>
            </w:r>
          </w:p>
        </w:tc>
      </w:tr>
      <w:tr w:rsidR="00C15F2E" w:rsidRPr="00D96063" w14:paraId="7719D52B"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1" w:type="pct"/>
            <w:noWrap/>
            <w:hideMark/>
          </w:tcPr>
          <w:p w14:paraId="073B14D0" w14:textId="77777777" w:rsidR="00C15F2E" w:rsidRPr="00D96063" w:rsidRDefault="00C15F2E" w:rsidP="00053198">
            <w:pPr>
              <w:jc w:val="left"/>
              <w:rPr>
                <w:rFonts w:cs="Arial"/>
                <w:b/>
                <w:bCs/>
                <w:sz w:val="16"/>
                <w:szCs w:val="16"/>
              </w:rPr>
            </w:pPr>
            <w:r w:rsidRPr="00D96063">
              <w:rPr>
                <w:rFonts w:cs="Arial"/>
                <w:b/>
                <w:bCs/>
                <w:sz w:val="16"/>
                <w:szCs w:val="16"/>
              </w:rPr>
              <w:t>Other</w:t>
            </w:r>
          </w:p>
        </w:tc>
        <w:tc>
          <w:tcPr>
            <w:tcW w:w="545" w:type="pct"/>
            <w:noWrap/>
            <w:hideMark/>
          </w:tcPr>
          <w:p w14:paraId="009A1DA6" w14:textId="77777777" w:rsidR="00C15F2E" w:rsidRPr="00D96063" w:rsidRDefault="00C15F2E" w:rsidP="00053198">
            <w:pPr>
              <w:jc w:val="right"/>
              <w:rPr>
                <w:rFonts w:cs="Arial"/>
                <w:b/>
                <w:bCs/>
                <w:sz w:val="16"/>
                <w:szCs w:val="16"/>
              </w:rPr>
            </w:pPr>
            <w:r w:rsidRPr="00D96063">
              <w:rPr>
                <w:rFonts w:cs="Arial"/>
                <w:b/>
                <w:bCs/>
                <w:sz w:val="16"/>
                <w:szCs w:val="16"/>
              </w:rPr>
              <w:t>0.0</w:t>
            </w:r>
          </w:p>
        </w:tc>
        <w:tc>
          <w:tcPr>
            <w:tcW w:w="545" w:type="pct"/>
            <w:noWrap/>
            <w:hideMark/>
          </w:tcPr>
          <w:p w14:paraId="3370119E" w14:textId="77777777" w:rsidR="00C15F2E" w:rsidRPr="00D96063" w:rsidRDefault="00C15F2E" w:rsidP="00053198">
            <w:pPr>
              <w:jc w:val="right"/>
              <w:rPr>
                <w:rFonts w:cs="Arial"/>
                <w:b/>
                <w:bCs/>
                <w:sz w:val="16"/>
                <w:szCs w:val="16"/>
              </w:rPr>
            </w:pPr>
            <w:r w:rsidRPr="00D96063">
              <w:rPr>
                <w:rFonts w:cs="Arial"/>
                <w:b/>
                <w:bCs/>
                <w:sz w:val="16"/>
                <w:szCs w:val="16"/>
              </w:rPr>
              <w:t>0.0</w:t>
            </w:r>
          </w:p>
        </w:tc>
        <w:tc>
          <w:tcPr>
            <w:tcW w:w="545" w:type="pct"/>
            <w:noWrap/>
            <w:hideMark/>
          </w:tcPr>
          <w:p w14:paraId="6D60A999" w14:textId="77777777" w:rsidR="00C15F2E" w:rsidRPr="00D96063" w:rsidRDefault="00C15F2E" w:rsidP="00053198">
            <w:pPr>
              <w:jc w:val="right"/>
              <w:rPr>
                <w:rFonts w:cs="Arial"/>
                <w:b/>
                <w:bCs/>
                <w:sz w:val="16"/>
                <w:szCs w:val="16"/>
              </w:rPr>
            </w:pPr>
            <w:r w:rsidRPr="00D96063">
              <w:rPr>
                <w:rFonts w:cs="Arial"/>
                <w:b/>
                <w:bCs/>
                <w:sz w:val="16"/>
                <w:szCs w:val="16"/>
              </w:rPr>
              <w:t>0.0</w:t>
            </w:r>
          </w:p>
        </w:tc>
        <w:tc>
          <w:tcPr>
            <w:tcW w:w="545" w:type="pct"/>
            <w:noWrap/>
            <w:hideMark/>
          </w:tcPr>
          <w:p w14:paraId="305737B3" w14:textId="77777777" w:rsidR="00C15F2E" w:rsidRPr="00D96063" w:rsidRDefault="00C15F2E" w:rsidP="00053198">
            <w:pPr>
              <w:jc w:val="right"/>
              <w:rPr>
                <w:rFonts w:cs="Arial"/>
                <w:b/>
                <w:bCs/>
                <w:sz w:val="16"/>
                <w:szCs w:val="16"/>
              </w:rPr>
            </w:pPr>
            <w:r w:rsidRPr="00D96063">
              <w:rPr>
                <w:rFonts w:cs="Arial"/>
                <w:b/>
                <w:bCs/>
                <w:sz w:val="16"/>
                <w:szCs w:val="16"/>
              </w:rPr>
              <w:t>0.0</w:t>
            </w:r>
          </w:p>
        </w:tc>
        <w:tc>
          <w:tcPr>
            <w:tcW w:w="545" w:type="pct"/>
            <w:noWrap/>
            <w:hideMark/>
          </w:tcPr>
          <w:p w14:paraId="1D00997C" w14:textId="77777777" w:rsidR="00C15F2E" w:rsidRPr="00D96063" w:rsidRDefault="00C15F2E" w:rsidP="00053198">
            <w:pPr>
              <w:jc w:val="right"/>
              <w:rPr>
                <w:rFonts w:cs="Arial"/>
                <w:b/>
                <w:bCs/>
                <w:sz w:val="16"/>
                <w:szCs w:val="16"/>
              </w:rPr>
            </w:pPr>
            <w:r w:rsidRPr="00D96063">
              <w:rPr>
                <w:rFonts w:cs="Arial"/>
                <w:b/>
                <w:bCs/>
                <w:sz w:val="16"/>
                <w:szCs w:val="16"/>
              </w:rPr>
              <w:t>0.0</w:t>
            </w:r>
          </w:p>
        </w:tc>
        <w:tc>
          <w:tcPr>
            <w:tcW w:w="545" w:type="pct"/>
            <w:noWrap/>
            <w:hideMark/>
          </w:tcPr>
          <w:p w14:paraId="3B0CDA27" w14:textId="77777777" w:rsidR="00C15F2E" w:rsidRPr="00D96063" w:rsidRDefault="00C15F2E" w:rsidP="00053198">
            <w:pPr>
              <w:jc w:val="right"/>
              <w:rPr>
                <w:rFonts w:cs="Arial"/>
                <w:b/>
                <w:bCs/>
                <w:sz w:val="16"/>
                <w:szCs w:val="16"/>
              </w:rPr>
            </w:pPr>
            <w:r w:rsidRPr="00D96063">
              <w:rPr>
                <w:rFonts w:cs="Arial"/>
                <w:b/>
                <w:bCs/>
                <w:sz w:val="16"/>
                <w:szCs w:val="16"/>
              </w:rPr>
              <w:t>0.0</w:t>
            </w:r>
          </w:p>
        </w:tc>
      </w:tr>
    </w:tbl>
    <w:p w14:paraId="3513CC02" w14:textId="77777777" w:rsidR="00C15F2E" w:rsidRPr="00D96063" w:rsidRDefault="00C15F2E" w:rsidP="0038223D">
      <w:pPr>
        <w:pStyle w:val="NoteText"/>
        <w:spacing w:before="120" w:after="120"/>
      </w:pPr>
      <w:r w:rsidRPr="00D96063">
        <w:t>a</w:t>
      </w:r>
      <w:r w:rsidRPr="00D96063">
        <w:tab/>
        <w:t>Commonwealth of Independent States, including certain associate and former member States.</w:t>
      </w:r>
    </w:p>
    <w:p w14:paraId="53862618" w14:textId="77777777" w:rsidR="00C15F2E" w:rsidRPr="00D96063" w:rsidRDefault="00C15F2E" w:rsidP="0038223D">
      <w:pPr>
        <w:pStyle w:val="NoteText"/>
        <w:spacing w:before="120" w:after="240"/>
      </w:pPr>
      <w:r w:rsidRPr="00D96063">
        <w:t>Source:</w:t>
      </w:r>
      <w:r w:rsidRPr="00D96063">
        <w:tab/>
        <w:t>WTO Secretariat calculations, based on UN Comtrade.</w:t>
      </w:r>
    </w:p>
    <w:p w14:paraId="5C70377D" w14:textId="77777777" w:rsidR="00C15F2E" w:rsidRPr="00D96063" w:rsidRDefault="00C15F2E" w:rsidP="0038223D">
      <w:pPr>
        <w:pStyle w:val="NoteText"/>
        <w:spacing w:before="120" w:after="240"/>
      </w:pPr>
      <w:r w:rsidRPr="00D96063">
        <w:br w:type="page"/>
      </w:r>
    </w:p>
    <w:p w14:paraId="580DAF45" w14:textId="6F85711C" w:rsidR="00C15F2E" w:rsidRPr="00D96063" w:rsidRDefault="00C15F2E" w:rsidP="0038223D">
      <w:pPr>
        <w:pStyle w:val="Caption"/>
      </w:pPr>
      <w:bookmarkStart w:id="282" w:name="_Toc103608000"/>
      <w:r w:rsidRPr="00D96063">
        <w:lastRenderedPageBreak/>
        <w:t>Table A1.</w:t>
      </w:r>
      <w:fldSimple w:instr=" SEQ Table_A1. \* ARABIC ">
        <w:r w:rsidR="004B63B1">
          <w:rPr>
            <w:noProof/>
          </w:rPr>
          <w:t>4</w:t>
        </w:r>
      </w:fldSimple>
      <w:r w:rsidRPr="00D96063">
        <w:t xml:space="preserve"> Merchandise imports by origin, 2014-19</w:t>
      </w:r>
      <w:bookmarkEnd w:id="282"/>
    </w:p>
    <w:tbl>
      <w:tblPr>
        <w:tblStyle w:val="WTOTable1"/>
        <w:tblW w:w="5000" w:type="pct"/>
        <w:tblLook w:val="04A0" w:firstRow="1" w:lastRow="0" w:firstColumn="1" w:lastColumn="0" w:noHBand="0" w:noVBand="1"/>
      </w:tblPr>
      <w:tblGrid>
        <w:gridCol w:w="3130"/>
        <w:gridCol w:w="981"/>
        <w:gridCol w:w="981"/>
        <w:gridCol w:w="981"/>
        <w:gridCol w:w="981"/>
        <w:gridCol w:w="981"/>
        <w:gridCol w:w="981"/>
      </w:tblGrid>
      <w:tr w:rsidR="00C15F2E" w:rsidRPr="00D96063" w14:paraId="0CC41CFB" w14:textId="77777777" w:rsidTr="00053198">
        <w:trPr>
          <w:cnfStyle w:val="100000000000" w:firstRow="1" w:lastRow="0" w:firstColumn="0" w:lastColumn="0" w:oddVBand="0" w:evenVBand="0" w:oddHBand="0" w:evenHBand="0" w:firstRowFirstColumn="0" w:firstRowLastColumn="0" w:lastRowFirstColumn="0" w:lastRowLastColumn="0"/>
          <w:trHeight w:val="240"/>
        </w:trPr>
        <w:tc>
          <w:tcPr>
            <w:tcW w:w="1736" w:type="pct"/>
            <w:noWrap/>
            <w:hideMark/>
          </w:tcPr>
          <w:p w14:paraId="2009C362" w14:textId="77777777" w:rsidR="00C15F2E" w:rsidRPr="00D96063" w:rsidRDefault="00C15F2E" w:rsidP="00053198">
            <w:pPr>
              <w:jc w:val="left"/>
              <w:rPr>
                <w:rFonts w:cs="Arial"/>
                <w:color w:val="FFFFFF" w:themeColor="background1"/>
                <w:sz w:val="16"/>
                <w:szCs w:val="16"/>
              </w:rPr>
            </w:pPr>
            <w:r w:rsidRPr="00D96063">
              <w:rPr>
                <w:rFonts w:cs="Arial"/>
                <w:color w:val="FFFFFF" w:themeColor="background1"/>
                <w:sz w:val="16"/>
                <w:szCs w:val="16"/>
              </w:rPr>
              <w:t> </w:t>
            </w:r>
          </w:p>
        </w:tc>
        <w:tc>
          <w:tcPr>
            <w:tcW w:w="544" w:type="pct"/>
            <w:noWrap/>
            <w:hideMark/>
          </w:tcPr>
          <w:p w14:paraId="31994DDC" w14:textId="77777777" w:rsidR="00C15F2E" w:rsidRPr="00D96063" w:rsidRDefault="00C15F2E" w:rsidP="0009597E">
            <w:pPr>
              <w:jc w:val="right"/>
              <w:rPr>
                <w:rFonts w:cs="Arial"/>
                <w:color w:val="FFFFFF" w:themeColor="background1"/>
                <w:sz w:val="16"/>
                <w:szCs w:val="16"/>
              </w:rPr>
            </w:pPr>
            <w:r w:rsidRPr="00D96063">
              <w:rPr>
                <w:rFonts w:cs="Arial"/>
                <w:color w:val="FFFFFF" w:themeColor="background1"/>
                <w:sz w:val="16"/>
                <w:szCs w:val="16"/>
              </w:rPr>
              <w:t>2014</w:t>
            </w:r>
          </w:p>
        </w:tc>
        <w:tc>
          <w:tcPr>
            <w:tcW w:w="544" w:type="pct"/>
            <w:noWrap/>
            <w:hideMark/>
          </w:tcPr>
          <w:p w14:paraId="614CC0CB" w14:textId="77777777" w:rsidR="00C15F2E" w:rsidRPr="00D96063" w:rsidRDefault="00C15F2E" w:rsidP="0009597E">
            <w:pPr>
              <w:jc w:val="right"/>
              <w:rPr>
                <w:rFonts w:cs="Arial"/>
                <w:color w:val="FFFFFF" w:themeColor="background1"/>
                <w:sz w:val="16"/>
                <w:szCs w:val="16"/>
              </w:rPr>
            </w:pPr>
            <w:r w:rsidRPr="00D96063">
              <w:rPr>
                <w:rFonts w:cs="Arial"/>
                <w:color w:val="FFFFFF" w:themeColor="background1"/>
                <w:sz w:val="16"/>
                <w:szCs w:val="16"/>
              </w:rPr>
              <w:t>2015</w:t>
            </w:r>
          </w:p>
        </w:tc>
        <w:tc>
          <w:tcPr>
            <w:tcW w:w="544" w:type="pct"/>
            <w:noWrap/>
            <w:hideMark/>
          </w:tcPr>
          <w:p w14:paraId="588D1DB6" w14:textId="77777777" w:rsidR="00C15F2E" w:rsidRPr="00D96063" w:rsidRDefault="00C15F2E" w:rsidP="0009597E">
            <w:pPr>
              <w:jc w:val="right"/>
              <w:rPr>
                <w:rFonts w:cs="Arial"/>
                <w:color w:val="FFFFFF" w:themeColor="background1"/>
                <w:sz w:val="16"/>
                <w:szCs w:val="16"/>
              </w:rPr>
            </w:pPr>
            <w:r w:rsidRPr="00D96063">
              <w:rPr>
                <w:rFonts w:cs="Arial"/>
                <w:color w:val="FFFFFF" w:themeColor="background1"/>
                <w:sz w:val="16"/>
                <w:szCs w:val="16"/>
              </w:rPr>
              <w:t>2016</w:t>
            </w:r>
          </w:p>
        </w:tc>
        <w:tc>
          <w:tcPr>
            <w:tcW w:w="544" w:type="pct"/>
            <w:noWrap/>
            <w:hideMark/>
          </w:tcPr>
          <w:p w14:paraId="38B9B386" w14:textId="77777777" w:rsidR="00C15F2E" w:rsidRPr="00D96063" w:rsidRDefault="00C15F2E" w:rsidP="0009597E">
            <w:pPr>
              <w:jc w:val="right"/>
              <w:rPr>
                <w:rFonts w:cs="Arial"/>
                <w:color w:val="FFFFFF" w:themeColor="background1"/>
                <w:sz w:val="16"/>
                <w:szCs w:val="16"/>
              </w:rPr>
            </w:pPr>
            <w:r w:rsidRPr="00D96063">
              <w:rPr>
                <w:rFonts w:cs="Arial"/>
                <w:color w:val="FFFFFF" w:themeColor="background1"/>
                <w:sz w:val="16"/>
                <w:szCs w:val="16"/>
              </w:rPr>
              <w:t>2017</w:t>
            </w:r>
          </w:p>
        </w:tc>
        <w:tc>
          <w:tcPr>
            <w:tcW w:w="544" w:type="pct"/>
            <w:noWrap/>
            <w:hideMark/>
          </w:tcPr>
          <w:p w14:paraId="4728DE71" w14:textId="77777777" w:rsidR="00C15F2E" w:rsidRPr="00D96063" w:rsidRDefault="00C15F2E" w:rsidP="0009597E">
            <w:pPr>
              <w:jc w:val="right"/>
              <w:rPr>
                <w:rFonts w:cs="Arial"/>
                <w:color w:val="FFFFFF" w:themeColor="background1"/>
                <w:sz w:val="16"/>
                <w:szCs w:val="16"/>
              </w:rPr>
            </w:pPr>
            <w:r w:rsidRPr="00D96063">
              <w:rPr>
                <w:rFonts w:cs="Arial"/>
                <w:color w:val="FFFFFF" w:themeColor="background1"/>
                <w:sz w:val="16"/>
                <w:szCs w:val="16"/>
              </w:rPr>
              <w:t>2018</w:t>
            </w:r>
          </w:p>
        </w:tc>
        <w:tc>
          <w:tcPr>
            <w:tcW w:w="544" w:type="pct"/>
            <w:noWrap/>
            <w:hideMark/>
          </w:tcPr>
          <w:p w14:paraId="05EA68D3" w14:textId="77777777" w:rsidR="00C15F2E" w:rsidRPr="00D96063" w:rsidRDefault="00C15F2E" w:rsidP="0009597E">
            <w:pPr>
              <w:jc w:val="right"/>
              <w:rPr>
                <w:rFonts w:cs="Arial"/>
                <w:color w:val="FFFFFF" w:themeColor="background1"/>
                <w:sz w:val="16"/>
                <w:szCs w:val="16"/>
              </w:rPr>
            </w:pPr>
            <w:r w:rsidRPr="00D96063">
              <w:rPr>
                <w:rFonts w:cs="Arial"/>
                <w:color w:val="FFFFFF" w:themeColor="background1"/>
                <w:sz w:val="16"/>
                <w:szCs w:val="16"/>
              </w:rPr>
              <w:t>2019</w:t>
            </w:r>
          </w:p>
        </w:tc>
      </w:tr>
      <w:tr w:rsidR="00C15F2E" w:rsidRPr="00D96063" w14:paraId="1DAE2780" w14:textId="77777777" w:rsidTr="00053198">
        <w:trPr>
          <w:trHeight w:val="240"/>
        </w:trPr>
        <w:tc>
          <w:tcPr>
            <w:tcW w:w="1736" w:type="pct"/>
            <w:noWrap/>
            <w:hideMark/>
          </w:tcPr>
          <w:p w14:paraId="5A9870BF" w14:textId="77777777" w:rsidR="00C15F2E" w:rsidRPr="00D96063" w:rsidRDefault="00C15F2E" w:rsidP="00053198">
            <w:pPr>
              <w:jc w:val="left"/>
              <w:rPr>
                <w:rFonts w:cs="Arial"/>
                <w:b/>
                <w:bCs/>
                <w:color w:val="000000"/>
                <w:sz w:val="16"/>
                <w:szCs w:val="16"/>
              </w:rPr>
            </w:pPr>
            <w:r w:rsidRPr="00D96063">
              <w:rPr>
                <w:rFonts w:cs="Arial"/>
                <w:b/>
                <w:bCs/>
                <w:color w:val="000000"/>
                <w:sz w:val="16"/>
                <w:szCs w:val="16"/>
              </w:rPr>
              <w:t>Total imports (USD million)</w:t>
            </w:r>
          </w:p>
        </w:tc>
        <w:tc>
          <w:tcPr>
            <w:tcW w:w="544" w:type="pct"/>
            <w:noWrap/>
            <w:hideMark/>
          </w:tcPr>
          <w:p w14:paraId="252A25A2"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16,786</w:t>
            </w:r>
          </w:p>
        </w:tc>
        <w:tc>
          <w:tcPr>
            <w:tcW w:w="544" w:type="pct"/>
            <w:noWrap/>
            <w:hideMark/>
          </w:tcPr>
          <w:p w14:paraId="5CF26DF3"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14,687</w:t>
            </w:r>
          </w:p>
        </w:tc>
        <w:tc>
          <w:tcPr>
            <w:tcW w:w="544" w:type="pct"/>
            <w:noWrap/>
            <w:hideMark/>
          </w:tcPr>
          <w:p w14:paraId="5B70E2A9"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11,361</w:t>
            </w:r>
          </w:p>
        </w:tc>
        <w:tc>
          <w:tcPr>
            <w:tcW w:w="544" w:type="pct"/>
            <w:noWrap/>
            <w:hideMark/>
          </w:tcPr>
          <w:p w14:paraId="14B45001"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12,718</w:t>
            </w:r>
          </w:p>
        </w:tc>
        <w:tc>
          <w:tcPr>
            <w:tcW w:w="544" w:type="pct"/>
            <w:noWrap/>
            <w:hideMark/>
          </w:tcPr>
          <w:p w14:paraId="646DEB56"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11,880</w:t>
            </w:r>
          </w:p>
        </w:tc>
        <w:tc>
          <w:tcPr>
            <w:tcW w:w="544" w:type="pct"/>
            <w:noWrap/>
            <w:hideMark/>
          </w:tcPr>
          <w:p w14:paraId="67EA2C30"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10,440</w:t>
            </w:r>
          </w:p>
        </w:tc>
      </w:tr>
      <w:tr w:rsidR="00C15F2E" w:rsidRPr="00D96063" w14:paraId="3DF68F2D"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tcPr>
          <w:p w14:paraId="3D2E08DB" w14:textId="77777777" w:rsidR="00C15F2E" w:rsidRPr="00D96063" w:rsidRDefault="00C15F2E" w:rsidP="00053198">
            <w:pPr>
              <w:jc w:val="left"/>
              <w:rPr>
                <w:rFonts w:cs="Arial"/>
                <w:b/>
                <w:bCs/>
                <w:color w:val="000000"/>
                <w:sz w:val="16"/>
                <w:szCs w:val="16"/>
              </w:rPr>
            </w:pPr>
          </w:p>
        </w:tc>
        <w:tc>
          <w:tcPr>
            <w:tcW w:w="3264" w:type="pct"/>
            <w:gridSpan w:val="6"/>
            <w:noWrap/>
          </w:tcPr>
          <w:p w14:paraId="2A168B9B" w14:textId="77777777" w:rsidR="00C15F2E" w:rsidRPr="00D96063" w:rsidRDefault="00C15F2E" w:rsidP="00053198">
            <w:pPr>
              <w:jc w:val="center"/>
              <w:rPr>
                <w:rFonts w:cs="Arial"/>
                <w:b/>
                <w:bCs/>
                <w:color w:val="000000"/>
                <w:sz w:val="16"/>
                <w:szCs w:val="16"/>
              </w:rPr>
            </w:pPr>
            <w:r w:rsidRPr="00D96063">
              <w:rPr>
                <w:rFonts w:cs="Arial"/>
                <w:color w:val="000000"/>
                <w:sz w:val="16"/>
                <w:szCs w:val="16"/>
              </w:rPr>
              <w:t>(% of total)</w:t>
            </w:r>
          </w:p>
        </w:tc>
      </w:tr>
      <w:tr w:rsidR="00C15F2E" w:rsidRPr="00D96063" w14:paraId="293FCC0A" w14:textId="77777777" w:rsidTr="00053198">
        <w:trPr>
          <w:trHeight w:val="240"/>
        </w:trPr>
        <w:tc>
          <w:tcPr>
            <w:tcW w:w="1736" w:type="pct"/>
            <w:noWrap/>
            <w:hideMark/>
          </w:tcPr>
          <w:p w14:paraId="36DF9155" w14:textId="77777777" w:rsidR="00C15F2E" w:rsidRPr="00D96063" w:rsidRDefault="00C15F2E" w:rsidP="00053198">
            <w:pPr>
              <w:jc w:val="left"/>
              <w:rPr>
                <w:rFonts w:cs="Arial"/>
                <w:b/>
                <w:bCs/>
                <w:color w:val="000000"/>
                <w:sz w:val="16"/>
                <w:szCs w:val="16"/>
              </w:rPr>
            </w:pPr>
            <w:r w:rsidRPr="00D96063">
              <w:rPr>
                <w:rFonts w:cs="Arial"/>
                <w:b/>
                <w:bCs/>
                <w:color w:val="000000"/>
                <w:sz w:val="16"/>
                <w:szCs w:val="16"/>
              </w:rPr>
              <w:t>Americas</w:t>
            </w:r>
          </w:p>
        </w:tc>
        <w:tc>
          <w:tcPr>
            <w:tcW w:w="544" w:type="pct"/>
            <w:noWrap/>
            <w:hideMark/>
          </w:tcPr>
          <w:p w14:paraId="39D73781"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16.3</w:t>
            </w:r>
          </w:p>
        </w:tc>
        <w:tc>
          <w:tcPr>
            <w:tcW w:w="544" w:type="pct"/>
            <w:noWrap/>
            <w:hideMark/>
          </w:tcPr>
          <w:p w14:paraId="10793099"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16.9</w:t>
            </w:r>
          </w:p>
        </w:tc>
        <w:tc>
          <w:tcPr>
            <w:tcW w:w="544" w:type="pct"/>
            <w:noWrap/>
            <w:hideMark/>
          </w:tcPr>
          <w:p w14:paraId="144A242B"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14.6</w:t>
            </w:r>
          </w:p>
        </w:tc>
        <w:tc>
          <w:tcPr>
            <w:tcW w:w="544" w:type="pct"/>
            <w:noWrap/>
            <w:hideMark/>
          </w:tcPr>
          <w:p w14:paraId="7B5A3D24"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14.6</w:t>
            </w:r>
          </w:p>
        </w:tc>
        <w:tc>
          <w:tcPr>
            <w:tcW w:w="544" w:type="pct"/>
            <w:noWrap/>
            <w:hideMark/>
          </w:tcPr>
          <w:p w14:paraId="4FE87EC5"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13.1</w:t>
            </w:r>
          </w:p>
        </w:tc>
        <w:tc>
          <w:tcPr>
            <w:tcW w:w="544" w:type="pct"/>
            <w:noWrap/>
            <w:hideMark/>
          </w:tcPr>
          <w:p w14:paraId="25542C9A"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14.4</w:t>
            </w:r>
          </w:p>
        </w:tc>
      </w:tr>
      <w:tr w:rsidR="00C15F2E" w:rsidRPr="00D96063" w14:paraId="224F0619"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0F836909" w14:textId="44C55595" w:rsidR="00C15F2E" w:rsidRPr="00D96063" w:rsidRDefault="00B34425" w:rsidP="00B3442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United States</w:t>
            </w:r>
          </w:p>
        </w:tc>
        <w:tc>
          <w:tcPr>
            <w:tcW w:w="544" w:type="pct"/>
            <w:noWrap/>
            <w:hideMark/>
          </w:tcPr>
          <w:p w14:paraId="3F614A19" w14:textId="77777777" w:rsidR="00C15F2E" w:rsidRPr="00D96063" w:rsidRDefault="00C15F2E" w:rsidP="00053198">
            <w:pPr>
              <w:jc w:val="right"/>
              <w:rPr>
                <w:rFonts w:cs="Arial"/>
                <w:color w:val="000000"/>
                <w:sz w:val="16"/>
                <w:szCs w:val="16"/>
              </w:rPr>
            </w:pPr>
            <w:r w:rsidRPr="00D96063">
              <w:rPr>
                <w:rFonts w:cs="Arial"/>
                <w:color w:val="000000"/>
                <w:sz w:val="16"/>
                <w:szCs w:val="16"/>
              </w:rPr>
              <w:t>7.4</w:t>
            </w:r>
          </w:p>
        </w:tc>
        <w:tc>
          <w:tcPr>
            <w:tcW w:w="544" w:type="pct"/>
            <w:noWrap/>
            <w:hideMark/>
          </w:tcPr>
          <w:p w14:paraId="12647408" w14:textId="77777777" w:rsidR="00C15F2E" w:rsidRPr="00D96063" w:rsidRDefault="00C15F2E" w:rsidP="00053198">
            <w:pPr>
              <w:jc w:val="right"/>
              <w:rPr>
                <w:rFonts w:cs="Arial"/>
                <w:color w:val="000000"/>
                <w:sz w:val="16"/>
                <w:szCs w:val="16"/>
              </w:rPr>
            </w:pPr>
            <w:r w:rsidRPr="00D96063">
              <w:rPr>
                <w:rFonts w:cs="Arial"/>
                <w:color w:val="000000"/>
                <w:sz w:val="16"/>
                <w:szCs w:val="16"/>
              </w:rPr>
              <w:t>8.1</w:t>
            </w:r>
          </w:p>
        </w:tc>
        <w:tc>
          <w:tcPr>
            <w:tcW w:w="544" w:type="pct"/>
            <w:noWrap/>
            <w:hideMark/>
          </w:tcPr>
          <w:p w14:paraId="32C40D4E" w14:textId="77777777" w:rsidR="00C15F2E" w:rsidRPr="00D96063" w:rsidRDefault="00C15F2E" w:rsidP="00053198">
            <w:pPr>
              <w:jc w:val="right"/>
              <w:rPr>
                <w:rFonts w:cs="Arial"/>
                <w:color w:val="000000"/>
                <w:sz w:val="16"/>
                <w:szCs w:val="16"/>
              </w:rPr>
            </w:pPr>
            <w:r w:rsidRPr="00D96063">
              <w:rPr>
                <w:rFonts w:cs="Arial"/>
                <w:color w:val="000000"/>
                <w:sz w:val="16"/>
                <w:szCs w:val="16"/>
              </w:rPr>
              <w:t>7.8</w:t>
            </w:r>
          </w:p>
        </w:tc>
        <w:tc>
          <w:tcPr>
            <w:tcW w:w="544" w:type="pct"/>
            <w:noWrap/>
            <w:hideMark/>
          </w:tcPr>
          <w:p w14:paraId="263F3E3B" w14:textId="77777777" w:rsidR="00C15F2E" w:rsidRPr="00D96063" w:rsidRDefault="00C15F2E" w:rsidP="00053198">
            <w:pPr>
              <w:jc w:val="right"/>
              <w:rPr>
                <w:rFonts w:cs="Arial"/>
                <w:color w:val="000000"/>
                <w:sz w:val="16"/>
                <w:szCs w:val="16"/>
              </w:rPr>
            </w:pPr>
            <w:r w:rsidRPr="00D96063">
              <w:rPr>
                <w:rFonts w:cs="Arial"/>
                <w:color w:val="000000"/>
                <w:sz w:val="16"/>
                <w:szCs w:val="16"/>
              </w:rPr>
              <w:t>9.4</w:t>
            </w:r>
          </w:p>
        </w:tc>
        <w:tc>
          <w:tcPr>
            <w:tcW w:w="544" w:type="pct"/>
            <w:noWrap/>
            <w:hideMark/>
          </w:tcPr>
          <w:p w14:paraId="63432F8E" w14:textId="77777777" w:rsidR="00C15F2E" w:rsidRPr="00D96063" w:rsidRDefault="00C15F2E" w:rsidP="00053198">
            <w:pPr>
              <w:jc w:val="right"/>
              <w:rPr>
                <w:rFonts w:cs="Arial"/>
                <w:color w:val="000000"/>
                <w:sz w:val="16"/>
                <w:szCs w:val="16"/>
              </w:rPr>
            </w:pPr>
            <w:r w:rsidRPr="00D96063">
              <w:rPr>
                <w:rFonts w:cs="Arial"/>
                <w:color w:val="000000"/>
                <w:sz w:val="16"/>
                <w:szCs w:val="16"/>
              </w:rPr>
              <w:t>8.0</w:t>
            </w:r>
          </w:p>
        </w:tc>
        <w:tc>
          <w:tcPr>
            <w:tcW w:w="544" w:type="pct"/>
            <w:noWrap/>
            <w:hideMark/>
          </w:tcPr>
          <w:p w14:paraId="2384376D" w14:textId="77777777" w:rsidR="00C15F2E" w:rsidRPr="00D96063" w:rsidRDefault="00C15F2E" w:rsidP="00053198">
            <w:pPr>
              <w:jc w:val="right"/>
              <w:rPr>
                <w:rFonts w:cs="Arial"/>
                <w:color w:val="000000"/>
                <w:sz w:val="16"/>
                <w:szCs w:val="16"/>
              </w:rPr>
            </w:pPr>
            <w:r w:rsidRPr="00D96063">
              <w:rPr>
                <w:rFonts w:cs="Arial"/>
                <w:color w:val="000000"/>
                <w:sz w:val="16"/>
                <w:szCs w:val="16"/>
              </w:rPr>
              <w:t>9.4</w:t>
            </w:r>
          </w:p>
        </w:tc>
      </w:tr>
      <w:tr w:rsidR="00C15F2E" w:rsidRPr="00D96063" w14:paraId="64DA02CE" w14:textId="77777777" w:rsidTr="00053198">
        <w:trPr>
          <w:trHeight w:val="240"/>
        </w:trPr>
        <w:tc>
          <w:tcPr>
            <w:tcW w:w="1736" w:type="pct"/>
            <w:noWrap/>
            <w:hideMark/>
          </w:tcPr>
          <w:p w14:paraId="4CA9BB15" w14:textId="2922096D" w:rsidR="00C15F2E" w:rsidRPr="00D96063" w:rsidRDefault="00B34425" w:rsidP="00B3442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Other America</w:t>
            </w:r>
          </w:p>
        </w:tc>
        <w:tc>
          <w:tcPr>
            <w:tcW w:w="544" w:type="pct"/>
            <w:noWrap/>
            <w:hideMark/>
          </w:tcPr>
          <w:p w14:paraId="267AF1D7" w14:textId="77777777" w:rsidR="00C15F2E" w:rsidRPr="00D96063" w:rsidRDefault="00C15F2E" w:rsidP="00053198">
            <w:pPr>
              <w:jc w:val="right"/>
              <w:rPr>
                <w:rFonts w:cs="Arial"/>
                <w:color w:val="000000"/>
                <w:sz w:val="16"/>
                <w:szCs w:val="16"/>
              </w:rPr>
            </w:pPr>
            <w:r w:rsidRPr="00D96063">
              <w:rPr>
                <w:rFonts w:cs="Arial"/>
                <w:color w:val="000000"/>
                <w:sz w:val="16"/>
                <w:szCs w:val="16"/>
              </w:rPr>
              <w:t>8.9</w:t>
            </w:r>
          </w:p>
        </w:tc>
        <w:tc>
          <w:tcPr>
            <w:tcW w:w="544" w:type="pct"/>
            <w:noWrap/>
            <w:hideMark/>
          </w:tcPr>
          <w:p w14:paraId="559C9D72" w14:textId="77777777" w:rsidR="00C15F2E" w:rsidRPr="00D96063" w:rsidRDefault="00C15F2E" w:rsidP="00053198">
            <w:pPr>
              <w:jc w:val="right"/>
              <w:rPr>
                <w:rFonts w:cs="Arial"/>
                <w:color w:val="000000"/>
                <w:sz w:val="16"/>
                <w:szCs w:val="16"/>
              </w:rPr>
            </w:pPr>
            <w:r w:rsidRPr="00D96063">
              <w:rPr>
                <w:rFonts w:cs="Arial"/>
                <w:color w:val="000000"/>
                <w:sz w:val="16"/>
                <w:szCs w:val="16"/>
              </w:rPr>
              <w:t>8.7</w:t>
            </w:r>
          </w:p>
        </w:tc>
        <w:tc>
          <w:tcPr>
            <w:tcW w:w="544" w:type="pct"/>
            <w:noWrap/>
            <w:hideMark/>
          </w:tcPr>
          <w:p w14:paraId="7450FE2B" w14:textId="77777777" w:rsidR="00C15F2E" w:rsidRPr="00D96063" w:rsidRDefault="00C15F2E" w:rsidP="00053198">
            <w:pPr>
              <w:jc w:val="right"/>
              <w:rPr>
                <w:rFonts w:cs="Arial"/>
                <w:color w:val="000000"/>
                <w:sz w:val="16"/>
                <w:szCs w:val="16"/>
              </w:rPr>
            </w:pPr>
            <w:r w:rsidRPr="00D96063">
              <w:rPr>
                <w:rFonts w:cs="Arial"/>
                <w:color w:val="000000"/>
                <w:sz w:val="16"/>
                <w:szCs w:val="16"/>
              </w:rPr>
              <w:t>6.9</w:t>
            </w:r>
          </w:p>
        </w:tc>
        <w:tc>
          <w:tcPr>
            <w:tcW w:w="544" w:type="pct"/>
            <w:noWrap/>
            <w:hideMark/>
          </w:tcPr>
          <w:p w14:paraId="6233BD11" w14:textId="77777777" w:rsidR="00C15F2E" w:rsidRPr="00D96063" w:rsidRDefault="00C15F2E" w:rsidP="00053198">
            <w:pPr>
              <w:jc w:val="right"/>
              <w:rPr>
                <w:rFonts w:cs="Arial"/>
                <w:color w:val="000000"/>
                <w:sz w:val="16"/>
                <w:szCs w:val="16"/>
              </w:rPr>
            </w:pPr>
            <w:r w:rsidRPr="00D96063">
              <w:rPr>
                <w:rFonts w:cs="Arial"/>
                <w:color w:val="000000"/>
                <w:sz w:val="16"/>
                <w:szCs w:val="16"/>
              </w:rPr>
              <w:t>5.1</w:t>
            </w:r>
          </w:p>
        </w:tc>
        <w:tc>
          <w:tcPr>
            <w:tcW w:w="544" w:type="pct"/>
            <w:noWrap/>
            <w:hideMark/>
          </w:tcPr>
          <w:p w14:paraId="75E92258" w14:textId="77777777" w:rsidR="00C15F2E" w:rsidRPr="00D96063" w:rsidRDefault="00C15F2E" w:rsidP="00053198">
            <w:pPr>
              <w:jc w:val="right"/>
              <w:rPr>
                <w:rFonts w:cs="Arial"/>
                <w:color w:val="000000"/>
                <w:sz w:val="16"/>
                <w:szCs w:val="16"/>
              </w:rPr>
            </w:pPr>
            <w:r w:rsidRPr="00D96063">
              <w:rPr>
                <w:rFonts w:cs="Arial"/>
                <w:color w:val="000000"/>
                <w:sz w:val="16"/>
                <w:szCs w:val="16"/>
              </w:rPr>
              <w:t>5.1</w:t>
            </w:r>
          </w:p>
        </w:tc>
        <w:tc>
          <w:tcPr>
            <w:tcW w:w="544" w:type="pct"/>
            <w:noWrap/>
            <w:hideMark/>
          </w:tcPr>
          <w:p w14:paraId="0BD77CC3" w14:textId="77777777" w:rsidR="00C15F2E" w:rsidRPr="00D96063" w:rsidRDefault="00C15F2E" w:rsidP="00053198">
            <w:pPr>
              <w:jc w:val="right"/>
              <w:rPr>
                <w:rFonts w:cs="Arial"/>
                <w:color w:val="000000"/>
                <w:sz w:val="16"/>
                <w:szCs w:val="16"/>
              </w:rPr>
            </w:pPr>
            <w:r w:rsidRPr="00D96063">
              <w:rPr>
                <w:rFonts w:cs="Arial"/>
                <w:color w:val="000000"/>
                <w:sz w:val="16"/>
                <w:szCs w:val="16"/>
              </w:rPr>
              <w:t>5.1</w:t>
            </w:r>
          </w:p>
        </w:tc>
      </w:tr>
      <w:tr w:rsidR="00C15F2E" w:rsidRPr="00D96063" w14:paraId="3A9AF310"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1AAA7AFF" w14:textId="735E9A36"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Canada</w:t>
            </w:r>
          </w:p>
        </w:tc>
        <w:tc>
          <w:tcPr>
            <w:tcW w:w="544" w:type="pct"/>
            <w:noWrap/>
            <w:hideMark/>
          </w:tcPr>
          <w:p w14:paraId="193D3A2B" w14:textId="77777777" w:rsidR="00C15F2E" w:rsidRPr="00D96063" w:rsidRDefault="00C15F2E" w:rsidP="00053198">
            <w:pPr>
              <w:jc w:val="right"/>
              <w:rPr>
                <w:rFonts w:cs="Arial"/>
                <w:color w:val="000000"/>
                <w:sz w:val="16"/>
                <w:szCs w:val="16"/>
              </w:rPr>
            </w:pPr>
            <w:r w:rsidRPr="00D96063">
              <w:rPr>
                <w:rFonts w:cs="Arial"/>
                <w:color w:val="000000"/>
                <w:sz w:val="16"/>
                <w:szCs w:val="16"/>
              </w:rPr>
              <w:t>3.1</w:t>
            </w:r>
          </w:p>
        </w:tc>
        <w:tc>
          <w:tcPr>
            <w:tcW w:w="544" w:type="pct"/>
            <w:noWrap/>
            <w:hideMark/>
          </w:tcPr>
          <w:p w14:paraId="5CED3991" w14:textId="77777777" w:rsidR="00C15F2E" w:rsidRPr="00D96063" w:rsidRDefault="00C15F2E" w:rsidP="00053198">
            <w:pPr>
              <w:jc w:val="right"/>
              <w:rPr>
                <w:rFonts w:cs="Arial"/>
                <w:color w:val="000000"/>
                <w:sz w:val="16"/>
                <w:szCs w:val="16"/>
              </w:rPr>
            </w:pPr>
            <w:r w:rsidRPr="00D96063">
              <w:rPr>
                <w:rFonts w:cs="Arial"/>
                <w:color w:val="000000"/>
                <w:sz w:val="16"/>
                <w:szCs w:val="16"/>
              </w:rPr>
              <w:t>4.7</w:t>
            </w:r>
          </w:p>
        </w:tc>
        <w:tc>
          <w:tcPr>
            <w:tcW w:w="544" w:type="pct"/>
            <w:noWrap/>
            <w:hideMark/>
          </w:tcPr>
          <w:p w14:paraId="13C6677D" w14:textId="77777777" w:rsidR="00C15F2E" w:rsidRPr="00D96063" w:rsidRDefault="00C15F2E" w:rsidP="00053198">
            <w:pPr>
              <w:jc w:val="right"/>
              <w:rPr>
                <w:rFonts w:cs="Arial"/>
                <w:color w:val="000000"/>
                <w:sz w:val="16"/>
                <w:szCs w:val="16"/>
              </w:rPr>
            </w:pPr>
            <w:r w:rsidRPr="00D96063">
              <w:rPr>
                <w:rFonts w:cs="Arial"/>
                <w:color w:val="000000"/>
                <w:sz w:val="16"/>
                <w:szCs w:val="16"/>
              </w:rPr>
              <w:t>2.1</w:t>
            </w:r>
          </w:p>
        </w:tc>
        <w:tc>
          <w:tcPr>
            <w:tcW w:w="544" w:type="pct"/>
            <w:noWrap/>
            <w:hideMark/>
          </w:tcPr>
          <w:p w14:paraId="3D7CEAE5" w14:textId="77777777" w:rsidR="00C15F2E" w:rsidRPr="00D96063" w:rsidRDefault="00C15F2E" w:rsidP="00053198">
            <w:pPr>
              <w:jc w:val="right"/>
              <w:rPr>
                <w:rFonts w:cs="Arial"/>
                <w:color w:val="000000"/>
                <w:sz w:val="16"/>
                <w:szCs w:val="16"/>
              </w:rPr>
            </w:pPr>
            <w:r w:rsidRPr="00D96063">
              <w:rPr>
                <w:rFonts w:cs="Arial"/>
                <w:color w:val="000000"/>
                <w:sz w:val="16"/>
                <w:szCs w:val="16"/>
              </w:rPr>
              <w:t>2.9</w:t>
            </w:r>
          </w:p>
        </w:tc>
        <w:tc>
          <w:tcPr>
            <w:tcW w:w="544" w:type="pct"/>
            <w:noWrap/>
            <w:hideMark/>
          </w:tcPr>
          <w:p w14:paraId="7C4C2DC7" w14:textId="77777777" w:rsidR="00C15F2E" w:rsidRPr="00D96063" w:rsidRDefault="00C15F2E" w:rsidP="00053198">
            <w:pPr>
              <w:jc w:val="right"/>
              <w:rPr>
                <w:rFonts w:cs="Arial"/>
                <w:color w:val="000000"/>
                <w:sz w:val="16"/>
                <w:szCs w:val="16"/>
              </w:rPr>
            </w:pPr>
            <w:r w:rsidRPr="00D96063">
              <w:rPr>
                <w:rFonts w:cs="Arial"/>
                <w:color w:val="000000"/>
                <w:sz w:val="16"/>
                <w:szCs w:val="16"/>
              </w:rPr>
              <w:t>2.8</w:t>
            </w:r>
          </w:p>
        </w:tc>
        <w:tc>
          <w:tcPr>
            <w:tcW w:w="544" w:type="pct"/>
            <w:noWrap/>
            <w:hideMark/>
          </w:tcPr>
          <w:p w14:paraId="11851C4A" w14:textId="77777777" w:rsidR="00C15F2E" w:rsidRPr="00D96063" w:rsidRDefault="00C15F2E" w:rsidP="00053198">
            <w:pPr>
              <w:jc w:val="right"/>
              <w:rPr>
                <w:rFonts w:cs="Arial"/>
                <w:color w:val="000000"/>
                <w:sz w:val="16"/>
                <w:szCs w:val="16"/>
              </w:rPr>
            </w:pPr>
            <w:r w:rsidRPr="00D96063">
              <w:rPr>
                <w:rFonts w:cs="Arial"/>
                <w:color w:val="000000"/>
                <w:sz w:val="16"/>
                <w:szCs w:val="16"/>
              </w:rPr>
              <w:t>2.6</w:t>
            </w:r>
          </w:p>
        </w:tc>
      </w:tr>
      <w:tr w:rsidR="00C15F2E" w:rsidRPr="00D96063" w14:paraId="2361D52E" w14:textId="77777777" w:rsidTr="00053198">
        <w:trPr>
          <w:trHeight w:val="240"/>
        </w:trPr>
        <w:tc>
          <w:tcPr>
            <w:tcW w:w="1736" w:type="pct"/>
            <w:noWrap/>
            <w:hideMark/>
          </w:tcPr>
          <w:p w14:paraId="656B7EC8" w14:textId="77777777" w:rsidR="00C15F2E" w:rsidRPr="00D96063" w:rsidRDefault="00C15F2E" w:rsidP="00053198">
            <w:pPr>
              <w:jc w:val="left"/>
              <w:rPr>
                <w:rFonts w:cs="Arial"/>
                <w:b/>
                <w:bCs/>
                <w:color w:val="000000"/>
                <w:sz w:val="16"/>
                <w:szCs w:val="16"/>
              </w:rPr>
            </w:pPr>
            <w:r w:rsidRPr="00D96063">
              <w:rPr>
                <w:rFonts w:cs="Arial"/>
                <w:b/>
                <w:bCs/>
                <w:color w:val="000000"/>
                <w:sz w:val="16"/>
                <w:szCs w:val="16"/>
              </w:rPr>
              <w:t>Europe</w:t>
            </w:r>
          </w:p>
        </w:tc>
        <w:tc>
          <w:tcPr>
            <w:tcW w:w="544" w:type="pct"/>
            <w:noWrap/>
            <w:hideMark/>
          </w:tcPr>
          <w:p w14:paraId="67EBB3EB"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29.9</w:t>
            </w:r>
          </w:p>
        </w:tc>
        <w:tc>
          <w:tcPr>
            <w:tcW w:w="544" w:type="pct"/>
            <w:noWrap/>
            <w:hideMark/>
          </w:tcPr>
          <w:p w14:paraId="58622279"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26.8</w:t>
            </w:r>
          </w:p>
        </w:tc>
        <w:tc>
          <w:tcPr>
            <w:tcW w:w="544" w:type="pct"/>
            <w:noWrap/>
            <w:hideMark/>
          </w:tcPr>
          <w:p w14:paraId="47D16F92"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35.1</w:t>
            </w:r>
          </w:p>
        </w:tc>
        <w:tc>
          <w:tcPr>
            <w:tcW w:w="544" w:type="pct"/>
            <w:noWrap/>
            <w:hideMark/>
          </w:tcPr>
          <w:p w14:paraId="48B2184B"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35.8</w:t>
            </w:r>
          </w:p>
        </w:tc>
        <w:tc>
          <w:tcPr>
            <w:tcW w:w="544" w:type="pct"/>
            <w:noWrap/>
            <w:hideMark/>
          </w:tcPr>
          <w:p w14:paraId="735AD06E"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30.8</w:t>
            </w:r>
          </w:p>
        </w:tc>
        <w:tc>
          <w:tcPr>
            <w:tcW w:w="544" w:type="pct"/>
            <w:noWrap/>
            <w:hideMark/>
          </w:tcPr>
          <w:p w14:paraId="7DFB0E55"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31.8</w:t>
            </w:r>
          </w:p>
        </w:tc>
      </w:tr>
      <w:tr w:rsidR="00C15F2E" w:rsidRPr="00D96063" w14:paraId="2DB5CDE5"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7B3C1AC0" w14:textId="3FFD607B" w:rsidR="00C15F2E" w:rsidRPr="00D96063" w:rsidRDefault="00B34425" w:rsidP="00B3442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EU-27</w:t>
            </w:r>
          </w:p>
        </w:tc>
        <w:tc>
          <w:tcPr>
            <w:tcW w:w="544" w:type="pct"/>
            <w:noWrap/>
            <w:hideMark/>
          </w:tcPr>
          <w:p w14:paraId="4BDB3E2C" w14:textId="77777777" w:rsidR="00C15F2E" w:rsidRPr="00D96063" w:rsidRDefault="00C15F2E" w:rsidP="00053198">
            <w:pPr>
              <w:jc w:val="right"/>
              <w:rPr>
                <w:rFonts w:cs="Arial"/>
                <w:color w:val="000000"/>
                <w:sz w:val="16"/>
                <w:szCs w:val="16"/>
              </w:rPr>
            </w:pPr>
            <w:r w:rsidRPr="00D96063">
              <w:rPr>
                <w:rFonts w:cs="Arial"/>
                <w:color w:val="000000"/>
                <w:sz w:val="16"/>
                <w:szCs w:val="16"/>
              </w:rPr>
              <w:t>22.2</w:t>
            </w:r>
          </w:p>
        </w:tc>
        <w:tc>
          <w:tcPr>
            <w:tcW w:w="544" w:type="pct"/>
            <w:noWrap/>
            <w:hideMark/>
          </w:tcPr>
          <w:p w14:paraId="34ECF2BB" w14:textId="77777777" w:rsidR="00C15F2E" w:rsidRPr="00D96063" w:rsidRDefault="00C15F2E" w:rsidP="00053198">
            <w:pPr>
              <w:jc w:val="right"/>
              <w:rPr>
                <w:rFonts w:cs="Arial"/>
                <w:color w:val="000000"/>
                <w:sz w:val="16"/>
                <w:szCs w:val="16"/>
              </w:rPr>
            </w:pPr>
            <w:r w:rsidRPr="00D96063">
              <w:rPr>
                <w:rFonts w:cs="Arial"/>
                <w:color w:val="000000"/>
                <w:sz w:val="16"/>
                <w:szCs w:val="16"/>
              </w:rPr>
              <w:t>17.8</w:t>
            </w:r>
          </w:p>
        </w:tc>
        <w:tc>
          <w:tcPr>
            <w:tcW w:w="544" w:type="pct"/>
            <w:noWrap/>
            <w:hideMark/>
          </w:tcPr>
          <w:p w14:paraId="0128B41F" w14:textId="77777777" w:rsidR="00C15F2E" w:rsidRPr="00D96063" w:rsidRDefault="00C15F2E" w:rsidP="00053198">
            <w:pPr>
              <w:jc w:val="right"/>
              <w:rPr>
                <w:rFonts w:cs="Arial"/>
                <w:color w:val="000000"/>
                <w:sz w:val="16"/>
                <w:szCs w:val="16"/>
              </w:rPr>
            </w:pPr>
            <w:r w:rsidRPr="00D96063">
              <w:rPr>
                <w:rFonts w:cs="Arial"/>
                <w:color w:val="000000"/>
                <w:sz w:val="16"/>
                <w:szCs w:val="16"/>
              </w:rPr>
              <w:t>21.6</w:t>
            </w:r>
          </w:p>
        </w:tc>
        <w:tc>
          <w:tcPr>
            <w:tcW w:w="544" w:type="pct"/>
            <w:noWrap/>
            <w:hideMark/>
          </w:tcPr>
          <w:p w14:paraId="1192C7FB" w14:textId="77777777" w:rsidR="00C15F2E" w:rsidRPr="00D96063" w:rsidRDefault="00C15F2E" w:rsidP="00053198">
            <w:pPr>
              <w:jc w:val="right"/>
              <w:rPr>
                <w:rFonts w:cs="Arial"/>
                <w:color w:val="000000"/>
                <w:sz w:val="16"/>
                <w:szCs w:val="16"/>
              </w:rPr>
            </w:pPr>
            <w:r w:rsidRPr="00D96063">
              <w:rPr>
                <w:rFonts w:cs="Arial"/>
                <w:color w:val="000000"/>
                <w:sz w:val="16"/>
                <w:szCs w:val="16"/>
              </w:rPr>
              <w:t>23.4</w:t>
            </w:r>
          </w:p>
        </w:tc>
        <w:tc>
          <w:tcPr>
            <w:tcW w:w="544" w:type="pct"/>
            <w:noWrap/>
            <w:hideMark/>
          </w:tcPr>
          <w:p w14:paraId="470E9CEF" w14:textId="77777777" w:rsidR="00C15F2E" w:rsidRPr="00D96063" w:rsidRDefault="00C15F2E" w:rsidP="00053198">
            <w:pPr>
              <w:jc w:val="right"/>
              <w:rPr>
                <w:rFonts w:cs="Arial"/>
                <w:color w:val="000000"/>
                <w:sz w:val="16"/>
                <w:szCs w:val="16"/>
              </w:rPr>
            </w:pPr>
            <w:r w:rsidRPr="00D96063">
              <w:rPr>
                <w:rFonts w:cs="Arial"/>
                <w:color w:val="000000"/>
                <w:sz w:val="16"/>
                <w:szCs w:val="16"/>
              </w:rPr>
              <w:t>21.5</w:t>
            </w:r>
          </w:p>
        </w:tc>
        <w:tc>
          <w:tcPr>
            <w:tcW w:w="544" w:type="pct"/>
            <w:noWrap/>
            <w:hideMark/>
          </w:tcPr>
          <w:p w14:paraId="16A75D5F" w14:textId="77777777" w:rsidR="00C15F2E" w:rsidRPr="00D96063" w:rsidRDefault="00C15F2E" w:rsidP="00053198">
            <w:pPr>
              <w:jc w:val="right"/>
              <w:rPr>
                <w:rFonts w:cs="Arial"/>
                <w:color w:val="000000"/>
                <w:sz w:val="16"/>
                <w:szCs w:val="16"/>
              </w:rPr>
            </w:pPr>
            <w:r w:rsidRPr="00D96063">
              <w:rPr>
                <w:rFonts w:cs="Arial"/>
                <w:color w:val="000000"/>
                <w:sz w:val="16"/>
                <w:szCs w:val="16"/>
              </w:rPr>
              <w:t>18.6</w:t>
            </w:r>
          </w:p>
        </w:tc>
      </w:tr>
      <w:tr w:rsidR="00C15F2E" w:rsidRPr="00D96063" w14:paraId="019D1C24" w14:textId="77777777" w:rsidTr="00053198">
        <w:trPr>
          <w:trHeight w:val="240"/>
        </w:trPr>
        <w:tc>
          <w:tcPr>
            <w:tcW w:w="1736" w:type="pct"/>
            <w:noWrap/>
            <w:hideMark/>
          </w:tcPr>
          <w:p w14:paraId="32A88F80" w14:textId="43C1EE40"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Belgium</w:t>
            </w:r>
          </w:p>
        </w:tc>
        <w:tc>
          <w:tcPr>
            <w:tcW w:w="544" w:type="pct"/>
            <w:noWrap/>
            <w:hideMark/>
          </w:tcPr>
          <w:p w14:paraId="0795FC04" w14:textId="77777777" w:rsidR="00C15F2E" w:rsidRPr="00D96063" w:rsidRDefault="00C15F2E" w:rsidP="00053198">
            <w:pPr>
              <w:jc w:val="right"/>
              <w:rPr>
                <w:rFonts w:cs="Arial"/>
                <w:color w:val="000000"/>
                <w:sz w:val="16"/>
                <w:szCs w:val="16"/>
              </w:rPr>
            </w:pPr>
            <w:r w:rsidRPr="00D96063">
              <w:rPr>
                <w:rFonts w:cs="Arial"/>
                <w:color w:val="000000"/>
                <w:sz w:val="16"/>
                <w:szCs w:val="16"/>
              </w:rPr>
              <w:t>4.2</w:t>
            </w:r>
          </w:p>
        </w:tc>
        <w:tc>
          <w:tcPr>
            <w:tcW w:w="544" w:type="pct"/>
            <w:noWrap/>
            <w:hideMark/>
          </w:tcPr>
          <w:p w14:paraId="1FF1E91E" w14:textId="77777777" w:rsidR="00C15F2E" w:rsidRPr="00D96063" w:rsidRDefault="00C15F2E" w:rsidP="00053198">
            <w:pPr>
              <w:jc w:val="right"/>
              <w:rPr>
                <w:rFonts w:cs="Arial"/>
                <w:color w:val="000000"/>
                <w:sz w:val="16"/>
                <w:szCs w:val="16"/>
              </w:rPr>
            </w:pPr>
            <w:r w:rsidRPr="00D96063">
              <w:rPr>
                <w:rFonts w:cs="Arial"/>
                <w:color w:val="000000"/>
                <w:sz w:val="16"/>
                <w:szCs w:val="16"/>
              </w:rPr>
              <w:t>5.1</w:t>
            </w:r>
          </w:p>
        </w:tc>
        <w:tc>
          <w:tcPr>
            <w:tcW w:w="544" w:type="pct"/>
            <w:noWrap/>
            <w:hideMark/>
          </w:tcPr>
          <w:p w14:paraId="1E88D833" w14:textId="77777777" w:rsidR="00C15F2E" w:rsidRPr="00D96063" w:rsidRDefault="00C15F2E" w:rsidP="00053198">
            <w:pPr>
              <w:jc w:val="right"/>
              <w:rPr>
                <w:rFonts w:cs="Arial"/>
                <w:color w:val="000000"/>
                <w:sz w:val="16"/>
                <w:szCs w:val="16"/>
              </w:rPr>
            </w:pPr>
            <w:r w:rsidRPr="00D96063">
              <w:rPr>
                <w:rFonts w:cs="Arial"/>
                <w:color w:val="000000"/>
                <w:sz w:val="16"/>
                <w:szCs w:val="16"/>
              </w:rPr>
              <w:t>5.1</w:t>
            </w:r>
          </w:p>
        </w:tc>
        <w:tc>
          <w:tcPr>
            <w:tcW w:w="544" w:type="pct"/>
            <w:noWrap/>
            <w:hideMark/>
          </w:tcPr>
          <w:p w14:paraId="02DAEE21" w14:textId="77777777" w:rsidR="00C15F2E" w:rsidRPr="00D96063" w:rsidRDefault="00C15F2E" w:rsidP="00053198">
            <w:pPr>
              <w:jc w:val="right"/>
              <w:rPr>
                <w:rFonts w:cs="Arial"/>
                <w:color w:val="000000"/>
                <w:sz w:val="16"/>
                <w:szCs w:val="16"/>
              </w:rPr>
            </w:pPr>
            <w:r w:rsidRPr="00D96063">
              <w:rPr>
                <w:rFonts w:cs="Arial"/>
                <w:color w:val="000000"/>
                <w:sz w:val="16"/>
                <w:szCs w:val="16"/>
              </w:rPr>
              <w:t>5.7</w:t>
            </w:r>
          </w:p>
        </w:tc>
        <w:tc>
          <w:tcPr>
            <w:tcW w:w="544" w:type="pct"/>
            <w:noWrap/>
            <w:hideMark/>
          </w:tcPr>
          <w:p w14:paraId="23EE140C" w14:textId="77777777" w:rsidR="00C15F2E" w:rsidRPr="00D96063" w:rsidRDefault="00C15F2E" w:rsidP="00053198">
            <w:pPr>
              <w:jc w:val="right"/>
              <w:rPr>
                <w:rFonts w:cs="Arial"/>
                <w:color w:val="000000"/>
                <w:sz w:val="16"/>
                <w:szCs w:val="16"/>
              </w:rPr>
            </w:pPr>
            <w:r w:rsidRPr="00D96063">
              <w:rPr>
                <w:rFonts w:cs="Arial"/>
                <w:color w:val="000000"/>
                <w:sz w:val="16"/>
                <w:szCs w:val="16"/>
              </w:rPr>
              <w:t>5.8</w:t>
            </w:r>
          </w:p>
        </w:tc>
        <w:tc>
          <w:tcPr>
            <w:tcW w:w="544" w:type="pct"/>
            <w:noWrap/>
            <w:hideMark/>
          </w:tcPr>
          <w:p w14:paraId="7F83E2B4" w14:textId="77777777" w:rsidR="00C15F2E" w:rsidRPr="00D96063" w:rsidRDefault="00C15F2E" w:rsidP="00053198">
            <w:pPr>
              <w:jc w:val="right"/>
              <w:rPr>
                <w:rFonts w:cs="Arial"/>
                <w:color w:val="000000"/>
                <w:sz w:val="16"/>
                <w:szCs w:val="16"/>
              </w:rPr>
            </w:pPr>
            <w:r w:rsidRPr="00D96063">
              <w:rPr>
                <w:rFonts w:cs="Arial"/>
                <w:color w:val="000000"/>
                <w:sz w:val="16"/>
                <w:szCs w:val="16"/>
              </w:rPr>
              <w:t>5.1</w:t>
            </w:r>
          </w:p>
        </w:tc>
      </w:tr>
      <w:tr w:rsidR="00C15F2E" w:rsidRPr="00D96063" w14:paraId="50647C4E"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034D313A" w14:textId="182DE5C3"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Germany</w:t>
            </w:r>
          </w:p>
        </w:tc>
        <w:tc>
          <w:tcPr>
            <w:tcW w:w="544" w:type="pct"/>
            <w:noWrap/>
            <w:hideMark/>
          </w:tcPr>
          <w:p w14:paraId="43662EA0" w14:textId="77777777" w:rsidR="00C15F2E" w:rsidRPr="00D96063" w:rsidRDefault="00C15F2E" w:rsidP="00053198">
            <w:pPr>
              <w:jc w:val="right"/>
              <w:rPr>
                <w:rFonts w:cs="Arial"/>
                <w:color w:val="000000"/>
                <w:sz w:val="16"/>
                <w:szCs w:val="16"/>
              </w:rPr>
            </w:pPr>
            <w:r w:rsidRPr="00D96063">
              <w:rPr>
                <w:rFonts w:cs="Arial"/>
                <w:color w:val="000000"/>
                <w:sz w:val="16"/>
                <w:szCs w:val="16"/>
              </w:rPr>
              <w:t>2.7</w:t>
            </w:r>
          </w:p>
        </w:tc>
        <w:tc>
          <w:tcPr>
            <w:tcW w:w="544" w:type="pct"/>
            <w:noWrap/>
            <w:hideMark/>
          </w:tcPr>
          <w:p w14:paraId="42178A13" w14:textId="77777777" w:rsidR="00C15F2E" w:rsidRPr="00D96063" w:rsidRDefault="00C15F2E" w:rsidP="00053198">
            <w:pPr>
              <w:jc w:val="right"/>
              <w:rPr>
                <w:rFonts w:cs="Arial"/>
                <w:color w:val="000000"/>
                <w:sz w:val="16"/>
                <w:szCs w:val="16"/>
              </w:rPr>
            </w:pPr>
            <w:r w:rsidRPr="00D96063">
              <w:rPr>
                <w:rFonts w:cs="Arial"/>
                <w:color w:val="000000"/>
                <w:sz w:val="16"/>
                <w:szCs w:val="16"/>
              </w:rPr>
              <w:t>2.2</w:t>
            </w:r>
          </w:p>
        </w:tc>
        <w:tc>
          <w:tcPr>
            <w:tcW w:w="544" w:type="pct"/>
            <w:noWrap/>
            <w:hideMark/>
          </w:tcPr>
          <w:p w14:paraId="1C18D33F" w14:textId="77777777" w:rsidR="00C15F2E" w:rsidRPr="00D96063" w:rsidRDefault="00C15F2E" w:rsidP="00053198">
            <w:pPr>
              <w:jc w:val="right"/>
              <w:rPr>
                <w:rFonts w:cs="Arial"/>
                <w:color w:val="000000"/>
                <w:sz w:val="16"/>
                <w:szCs w:val="16"/>
              </w:rPr>
            </w:pPr>
            <w:r w:rsidRPr="00D96063">
              <w:rPr>
                <w:rFonts w:cs="Arial"/>
                <w:color w:val="000000"/>
                <w:sz w:val="16"/>
                <w:szCs w:val="16"/>
              </w:rPr>
              <w:t>3.9</w:t>
            </w:r>
          </w:p>
        </w:tc>
        <w:tc>
          <w:tcPr>
            <w:tcW w:w="544" w:type="pct"/>
            <w:noWrap/>
            <w:hideMark/>
          </w:tcPr>
          <w:p w14:paraId="7F6CD147" w14:textId="77777777" w:rsidR="00C15F2E" w:rsidRPr="00D96063" w:rsidRDefault="00C15F2E" w:rsidP="00053198">
            <w:pPr>
              <w:jc w:val="right"/>
              <w:rPr>
                <w:rFonts w:cs="Arial"/>
                <w:color w:val="000000"/>
                <w:sz w:val="16"/>
                <w:szCs w:val="16"/>
              </w:rPr>
            </w:pPr>
            <w:r w:rsidRPr="00D96063">
              <w:rPr>
                <w:rFonts w:cs="Arial"/>
                <w:color w:val="000000"/>
                <w:sz w:val="16"/>
                <w:szCs w:val="16"/>
              </w:rPr>
              <w:t>2.7</w:t>
            </w:r>
          </w:p>
        </w:tc>
        <w:tc>
          <w:tcPr>
            <w:tcW w:w="544" w:type="pct"/>
            <w:noWrap/>
            <w:hideMark/>
          </w:tcPr>
          <w:p w14:paraId="0CA5963E" w14:textId="77777777" w:rsidR="00C15F2E" w:rsidRPr="00D96063" w:rsidRDefault="00C15F2E" w:rsidP="00053198">
            <w:pPr>
              <w:jc w:val="right"/>
              <w:rPr>
                <w:rFonts w:cs="Arial"/>
                <w:color w:val="000000"/>
                <w:sz w:val="16"/>
                <w:szCs w:val="16"/>
              </w:rPr>
            </w:pPr>
            <w:r w:rsidRPr="00D96063">
              <w:rPr>
                <w:rFonts w:cs="Arial"/>
                <w:color w:val="000000"/>
                <w:sz w:val="16"/>
                <w:szCs w:val="16"/>
              </w:rPr>
              <w:t>2.6</w:t>
            </w:r>
          </w:p>
        </w:tc>
        <w:tc>
          <w:tcPr>
            <w:tcW w:w="544" w:type="pct"/>
            <w:noWrap/>
            <w:hideMark/>
          </w:tcPr>
          <w:p w14:paraId="47818F55" w14:textId="77777777" w:rsidR="00C15F2E" w:rsidRPr="00D96063" w:rsidRDefault="00C15F2E" w:rsidP="00053198">
            <w:pPr>
              <w:jc w:val="right"/>
              <w:rPr>
                <w:rFonts w:cs="Arial"/>
                <w:color w:val="000000"/>
                <w:sz w:val="16"/>
                <w:szCs w:val="16"/>
              </w:rPr>
            </w:pPr>
            <w:r w:rsidRPr="00D96063">
              <w:rPr>
                <w:rFonts w:cs="Arial"/>
                <w:color w:val="000000"/>
                <w:sz w:val="16"/>
                <w:szCs w:val="16"/>
              </w:rPr>
              <w:t>2.4</w:t>
            </w:r>
          </w:p>
        </w:tc>
      </w:tr>
      <w:tr w:rsidR="00C15F2E" w:rsidRPr="00D96063" w14:paraId="781CCAB3" w14:textId="77777777" w:rsidTr="00053198">
        <w:trPr>
          <w:trHeight w:val="240"/>
        </w:trPr>
        <w:tc>
          <w:tcPr>
            <w:tcW w:w="1736" w:type="pct"/>
            <w:noWrap/>
            <w:hideMark/>
          </w:tcPr>
          <w:p w14:paraId="3A01A0AA" w14:textId="5E693E02"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Netherlands</w:t>
            </w:r>
          </w:p>
        </w:tc>
        <w:tc>
          <w:tcPr>
            <w:tcW w:w="544" w:type="pct"/>
            <w:noWrap/>
            <w:hideMark/>
          </w:tcPr>
          <w:p w14:paraId="6B7D7BE9" w14:textId="77777777" w:rsidR="00C15F2E" w:rsidRPr="00D96063" w:rsidRDefault="00C15F2E" w:rsidP="00053198">
            <w:pPr>
              <w:jc w:val="right"/>
              <w:rPr>
                <w:rFonts w:cs="Arial"/>
                <w:color w:val="000000"/>
                <w:sz w:val="16"/>
                <w:szCs w:val="16"/>
              </w:rPr>
            </w:pPr>
            <w:r w:rsidRPr="00D96063">
              <w:rPr>
                <w:rFonts w:cs="Arial"/>
                <w:color w:val="000000"/>
                <w:sz w:val="16"/>
                <w:szCs w:val="16"/>
              </w:rPr>
              <w:t>2.4</w:t>
            </w:r>
          </w:p>
        </w:tc>
        <w:tc>
          <w:tcPr>
            <w:tcW w:w="544" w:type="pct"/>
            <w:noWrap/>
            <w:hideMark/>
          </w:tcPr>
          <w:p w14:paraId="480797E6" w14:textId="77777777" w:rsidR="00C15F2E" w:rsidRPr="00D96063" w:rsidRDefault="00C15F2E" w:rsidP="00053198">
            <w:pPr>
              <w:jc w:val="right"/>
              <w:rPr>
                <w:rFonts w:cs="Arial"/>
                <w:color w:val="000000"/>
                <w:sz w:val="16"/>
                <w:szCs w:val="16"/>
              </w:rPr>
            </w:pPr>
            <w:r w:rsidRPr="00D96063">
              <w:rPr>
                <w:rFonts w:cs="Arial"/>
                <w:color w:val="000000"/>
                <w:sz w:val="16"/>
                <w:szCs w:val="16"/>
              </w:rPr>
              <w:t>1.5</w:t>
            </w:r>
          </w:p>
        </w:tc>
        <w:tc>
          <w:tcPr>
            <w:tcW w:w="544" w:type="pct"/>
            <w:noWrap/>
            <w:hideMark/>
          </w:tcPr>
          <w:p w14:paraId="665B2EF0" w14:textId="77777777" w:rsidR="00C15F2E" w:rsidRPr="00D96063" w:rsidRDefault="00C15F2E" w:rsidP="00053198">
            <w:pPr>
              <w:jc w:val="right"/>
              <w:rPr>
                <w:rFonts w:cs="Arial"/>
                <w:color w:val="000000"/>
                <w:sz w:val="16"/>
                <w:szCs w:val="16"/>
              </w:rPr>
            </w:pPr>
            <w:r w:rsidRPr="00D96063">
              <w:rPr>
                <w:rFonts w:cs="Arial"/>
                <w:color w:val="000000"/>
                <w:sz w:val="16"/>
                <w:szCs w:val="16"/>
              </w:rPr>
              <w:t>2.4</w:t>
            </w:r>
          </w:p>
        </w:tc>
        <w:tc>
          <w:tcPr>
            <w:tcW w:w="544" w:type="pct"/>
            <w:noWrap/>
            <w:hideMark/>
          </w:tcPr>
          <w:p w14:paraId="5324ABF7" w14:textId="77777777" w:rsidR="00C15F2E" w:rsidRPr="00D96063" w:rsidRDefault="00C15F2E" w:rsidP="00053198">
            <w:pPr>
              <w:jc w:val="right"/>
              <w:rPr>
                <w:rFonts w:cs="Arial"/>
                <w:color w:val="000000"/>
                <w:sz w:val="16"/>
                <w:szCs w:val="16"/>
              </w:rPr>
            </w:pPr>
            <w:r w:rsidRPr="00D96063">
              <w:rPr>
                <w:rFonts w:cs="Arial"/>
                <w:color w:val="000000"/>
                <w:sz w:val="16"/>
                <w:szCs w:val="16"/>
              </w:rPr>
              <w:t>1.9</w:t>
            </w:r>
          </w:p>
        </w:tc>
        <w:tc>
          <w:tcPr>
            <w:tcW w:w="544" w:type="pct"/>
            <w:noWrap/>
            <w:hideMark/>
          </w:tcPr>
          <w:p w14:paraId="40E60975" w14:textId="77777777" w:rsidR="00C15F2E" w:rsidRPr="00D96063" w:rsidRDefault="00C15F2E" w:rsidP="00053198">
            <w:pPr>
              <w:jc w:val="right"/>
              <w:rPr>
                <w:rFonts w:cs="Arial"/>
                <w:color w:val="000000"/>
                <w:sz w:val="16"/>
                <w:szCs w:val="16"/>
              </w:rPr>
            </w:pPr>
            <w:r w:rsidRPr="00D96063">
              <w:rPr>
                <w:rFonts w:cs="Arial"/>
                <w:color w:val="000000"/>
                <w:sz w:val="16"/>
                <w:szCs w:val="16"/>
              </w:rPr>
              <w:t>2.2</w:t>
            </w:r>
          </w:p>
        </w:tc>
        <w:tc>
          <w:tcPr>
            <w:tcW w:w="544" w:type="pct"/>
            <w:noWrap/>
            <w:hideMark/>
          </w:tcPr>
          <w:p w14:paraId="5405A877" w14:textId="77777777" w:rsidR="00C15F2E" w:rsidRPr="00D96063" w:rsidRDefault="00C15F2E" w:rsidP="00053198">
            <w:pPr>
              <w:jc w:val="right"/>
              <w:rPr>
                <w:rFonts w:cs="Arial"/>
                <w:color w:val="000000"/>
                <w:sz w:val="16"/>
                <w:szCs w:val="16"/>
              </w:rPr>
            </w:pPr>
            <w:r w:rsidRPr="00D96063">
              <w:rPr>
                <w:rFonts w:cs="Arial"/>
                <w:color w:val="000000"/>
                <w:sz w:val="16"/>
                <w:szCs w:val="16"/>
              </w:rPr>
              <w:t>2.2</w:t>
            </w:r>
          </w:p>
        </w:tc>
      </w:tr>
      <w:tr w:rsidR="00C15F2E" w:rsidRPr="00D96063" w14:paraId="74E645C6"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03991D55" w14:textId="4C540F56"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Italy</w:t>
            </w:r>
          </w:p>
        </w:tc>
        <w:tc>
          <w:tcPr>
            <w:tcW w:w="544" w:type="pct"/>
            <w:noWrap/>
            <w:hideMark/>
          </w:tcPr>
          <w:p w14:paraId="2406F35D" w14:textId="77777777" w:rsidR="00C15F2E" w:rsidRPr="00D96063" w:rsidRDefault="00C15F2E" w:rsidP="00053198">
            <w:pPr>
              <w:jc w:val="right"/>
              <w:rPr>
                <w:rFonts w:cs="Arial"/>
                <w:color w:val="000000"/>
                <w:sz w:val="16"/>
                <w:szCs w:val="16"/>
              </w:rPr>
            </w:pPr>
            <w:r w:rsidRPr="00D96063">
              <w:rPr>
                <w:rFonts w:cs="Arial"/>
                <w:color w:val="000000"/>
                <w:sz w:val="16"/>
                <w:szCs w:val="16"/>
              </w:rPr>
              <w:t>1.9</w:t>
            </w:r>
          </w:p>
        </w:tc>
        <w:tc>
          <w:tcPr>
            <w:tcW w:w="544" w:type="pct"/>
            <w:noWrap/>
            <w:hideMark/>
          </w:tcPr>
          <w:p w14:paraId="39B2F414" w14:textId="77777777" w:rsidR="00C15F2E" w:rsidRPr="00D96063" w:rsidRDefault="00C15F2E" w:rsidP="00053198">
            <w:pPr>
              <w:jc w:val="right"/>
              <w:rPr>
                <w:rFonts w:cs="Arial"/>
                <w:color w:val="000000"/>
                <w:sz w:val="16"/>
                <w:szCs w:val="16"/>
              </w:rPr>
            </w:pPr>
            <w:r w:rsidRPr="00D96063">
              <w:rPr>
                <w:rFonts w:cs="Arial"/>
                <w:color w:val="000000"/>
                <w:sz w:val="16"/>
                <w:szCs w:val="16"/>
              </w:rPr>
              <w:t>1.8</w:t>
            </w:r>
          </w:p>
        </w:tc>
        <w:tc>
          <w:tcPr>
            <w:tcW w:w="544" w:type="pct"/>
            <w:noWrap/>
            <w:hideMark/>
          </w:tcPr>
          <w:p w14:paraId="214A6D12" w14:textId="77777777" w:rsidR="00C15F2E" w:rsidRPr="00D96063" w:rsidRDefault="00C15F2E" w:rsidP="00053198">
            <w:pPr>
              <w:jc w:val="right"/>
              <w:rPr>
                <w:rFonts w:cs="Arial"/>
                <w:color w:val="000000"/>
                <w:sz w:val="16"/>
                <w:szCs w:val="16"/>
              </w:rPr>
            </w:pPr>
            <w:r w:rsidRPr="00D96063">
              <w:rPr>
                <w:rFonts w:cs="Arial"/>
                <w:color w:val="000000"/>
                <w:sz w:val="16"/>
                <w:szCs w:val="16"/>
              </w:rPr>
              <w:t>1.8</w:t>
            </w:r>
          </w:p>
        </w:tc>
        <w:tc>
          <w:tcPr>
            <w:tcW w:w="544" w:type="pct"/>
            <w:noWrap/>
            <w:hideMark/>
          </w:tcPr>
          <w:p w14:paraId="3F472228" w14:textId="77777777" w:rsidR="00C15F2E" w:rsidRPr="00D96063" w:rsidRDefault="00C15F2E" w:rsidP="00053198">
            <w:pPr>
              <w:jc w:val="right"/>
              <w:rPr>
                <w:rFonts w:cs="Arial"/>
                <w:color w:val="000000"/>
                <w:sz w:val="16"/>
                <w:szCs w:val="16"/>
              </w:rPr>
            </w:pPr>
            <w:r w:rsidRPr="00D96063">
              <w:rPr>
                <w:rFonts w:cs="Arial"/>
                <w:color w:val="000000"/>
                <w:sz w:val="16"/>
                <w:szCs w:val="16"/>
              </w:rPr>
              <w:t>2.3</w:t>
            </w:r>
          </w:p>
        </w:tc>
        <w:tc>
          <w:tcPr>
            <w:tcW w:w="544" w:type="pct"/>
            <w:noWrap/>
            <w:hideMark/>
          </w:tcPr>
          <w:p w14:paraId="26F63179" w14:textId="77777777" w:rsidR="00C15F2E" w:rsidRPr="00D96063" w:rsidRDefault="00C15F2E" w:rsidP="00053198">
            <w:pPr>
              <w:jc w:val="right"/>
              <w:rPr>
                <w:rFonts w:cs="Arial"/>
                <w:color w:val="000000"/>
                <w:sz w:val="16"/>
                <w:szCs w:val="16"/>
              </w:rPr>
            </w:pPr>
            <w:r w:rsidRPr="00D96063">
              <w:rPr>
                <w:rFonts w:cs="Arial"/>
                <w:color w:val="000000"/>
                <w:sz w:val="16"/>
                <w:szCs w:val="16"/>
              </w:rPr>
              <w:t>2.5</w:t>
            </w:r>
          </w:p>
        </w:tc>
        <w:tc>
          <w:tcPr>
            <w:tcW w:w="544" w:type="pct"/>
            <w:noWrap/>
            <w:hideMark/>
          </w:tcPr>
          <w:p w14:paraId="4DD4B9BC" w14:textId="77777777" w:rsidR="00C15F2E" w:rsidRPr="00D96063" w:rsidRDefault="00C15F2E" w:rsidP="00053198">
            <w:pPr>
              <w:jc w:val="right"/>
              <w:rPr>
                <w:rFonts w:cs="Arial"/>
                <w:color w:val="000000"/>
                <w:sz w:val="16"/>
                <w:szCs w:val="16"/>
              </w:rPr>
            </w:pPr>
            <w:r w:rsidRPr="00D96063">
              <w:rPr>
                <w:rFonts w:cs="Arial"/>
                <w:color w:val="000000"/>
                <w:sz w:val="16"/>
                <w:szCs w:val="16"/>
              </w:rPr>
              <w:t>2.2</w:t>
            </w:r>
          </w:p>
        </w:tc>
      </w:tr>
      <w:tr w:rsidR="00C15F2E" w:rsidRPr="00D96063" w14:paraId="046DF4BB" w14:textId="77777777" w:rsidTr="00053198">
        <w:trPr>
          <w:trHeight w:val="240"/>
        </w:trPr>
        <w:tc>
          <w:tcPr>
            <w:tcW w:w="1736" w:type="pct"/>
            <w:noWrap/>
            <w:hideMark/>
          </w:tcPr>
          <w:p w14:paraId="410FAD06" w14:textId="298035A6"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France</w:t>
            </w:r>
          </w:p>
        </w:tc>
        <w:tc>
          <w:tcPr>
            <w:tcW w:w="544" w:type="pct"/>
            <w:noWrap/>
            <w:hideMark/>
          </w:tcPr>
          <w:p w14:paraId="116D8ED5" w14:textId="77777777" w:rsidR="00C15F2E" w:rsidRPr="00D96063" w:rsidRDefault="00C15F2E" w:rsidP="00053198">
            <w:pPr>
              <w:jc w:val="right"/>
              <w:rPr>
                <w:rFonts w:cs="Arial"/>
                <w:color w:val="000000"/>
                <w:sz w:val="16"/>
                <w:szCs w:val="16"/>
              </w:rPr>
            </w:pPr>
            <w:r w:rsidRPr="00D96063">
              <w:rPr>
                <w:rFonts w:cs="Arial"/>
                <w:color w:val="000000"/>
                <w:sz w:val="16"/>
                <w:szCs w:val="16"/>
              </w:rPr>
              <w:t>4.4</w:t>
            </w:r>
          </w:p>
        </w:tc>
        <w:tc>
          <w:tcPr>
            <w:tcW w:w="544" w:type="pct"/>
            <w:noWrap/>
            <w:hideMark/>
          </w:tcPr>
          <w:p w14:paraId="330D3814" w14:textId="77777777" w:rsidR="00C15F2E" w:rsidRPr="00D96063" w:rsidRDefault="00C15F2E" w:rsidP="00053198">
            <w:pPr>
              <w:jc w:val="right"/>
              <w:rPr>
                <w:rFonts w:cs="Arial"/>
                <w:color w:val="000000"/>
                <w:sz w:val="16"/>
                <w:szCs w:val="16"/>
              </w:rPr>
            </w:pPr>
            <w:r w:rsidRPr="00D96063">
              <w:rPr>
                <w:rFonts w:cs="Arial"/>
                <w:color w:val="000000"/>
                <w:sz w:val="16"/>
                <w:szCs w:val="16"/>
              </w:rPr>
              <w:t>1.6</w:t>
            </w:r>
          </w:p>
        </w:tc>
        <w:tc>
          <w:tcPr>
            <w:tcW w:w="544" w:type="pct"/>
            <w:noWrap/>
            <w:hideMark/>
          </w:tcPr>
          <w:p w14:paraId="1D2D21AC" w14:textId="77777777" w:rsidR="00C15F2E" w:rsidRPr="00D96063" w:rsidRDefault="00C15F2E" w:rsidP="00053198">
            <w:pPr>
              <w:jc w:val="right"/>
              <w:rPr>
                <w:rFonts w:cs="Arial"/>
                <w:color w:val="000000"/>
                <w:sz w:val="16"/>
                <w:szCs w:val="16"/>
              </w:rPr>
            </w:pPr>
            <w:r w:rsidRPr="00D96063">
              <w:rPr>
                <w:rFonts w:cs="Arial"/>
                <w:color w:val="000000"/>
                <w:sz w:val="16"/>
                <w:szCs w:val="16"/>
              </w:rPr>
              <w:t>3.4</w:t>
            </w:r>
          </w:p>
        </w:tc>
        <w:tc>
          <w:tcPr>
            <w:tcW w:w="544" w:type="pct"/>
            <w:noWrap/>
            <w:hideMark/>
          </w:tcPr>
          <w:p w14:paraId="6771851F" w14:textId="77777777" w:rsidR="00C15F2E" w:rsidRPr="00D96063" w:rsidRDefault="00C15F2E" w:rsidP="00053198">
            <w:pPr>
              <w:jc w:val="right"/>
              <w:rPr>
                <w:rFonts w:cs="Arial"/>
                <w:color w:val="000000"/>
                <w:sz w:val="16"/>
                <w:szCs w:val="16"/>
              </w:rPr>
            </w:pPr>
            <w:r w:rsidRPr="00D96063">
              <w:rPr>
                <w:rFonts w:cs="Arial"/>
                <w:color w:val="000000"/>
                <w:sz w:val="16"/>
                <w:szCs w:val="16"/>
              </w:rPr>
              <w:t>1.5</w:t>
            </w:r>
          </w:p>
        </w:tc>
        <w:tc>
          <w:tcPr>
            <w:tcW w:w="544" w:type="pct"/>
            <w:noWrap/>
            <w:hideMark/>
          </w:tcPr>
          <w:p w14:paraId="090CD49A" w14:textId="77777777" w:rsidR="00C15F2E" w:rsidRPr="00D96063" w:rsidRDefault="00C15F2E" w:rsidP="00053198">
            <w:pPr>
              <w:jc w:val="right"/>
              <w:rPr>
                <w:rFonts w:cs="Arial"/>
                <w:color w:val="000000"/>
                <w:sz w:val="16"/>
                <w:szCs w:val="16"/>
              </w:rPr>
            </w:pPr>
            <w:r w:rsidRPr="00D96063">
              <w:rPr>
                <w:rFonts w:cs="Arial"/>
                <w:color w:val="000000"/>
                <w:sz w:val="16"/>
                <w:szCs w:val="16"/>
              </w:rPr>
              <w:t>2.4</w:t>
            </w:r>
          </w:p>
        </w:tc>
        <w:tc>
          <w:tcPr>
            <w:tcW w:w="544" w:type="pct"/>
            <w:noWrap/>
            <w:hideMark/>
          </w:tcPr>
          <w:p w14:paraId="4C44BF5B" w14:textId="77777777" w:rsidR="00C15F2E" w:rsidRPr="00D96063" w:rsidRDefault="00C15F2E" w:rsidP="00053198">
            <w:pPr>
              <w:jc w:val="right"/>
              <w:rPr>
                <w:rFonts w:cs="Arial"/>
                <w:color w:val="000000"/>
                <w:sz w:val="16"/>
                <w:szCs w:val="16"/>
              </w:rPr>
            </w:pPr>
            <w:r w:rsidRPr="00D96063">
              <w:rPr>
                <w:rFonts w:cs="Arial"/>
                <w:color w:val="000000"/>
                <w:sz w:val="16"/>
                <w:szCs w:val="16"/>
              </w:rPr>
              <w:t>1.5</w:t>
            </w:r>
          </w:p>
        </w:tc>
      </w:tr>
      <w:tr w:rsidR="00C15F2E" w:rsidRPr="00D96063" w14:paraId="11E62FDF"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09526847" w14:textId="606D4C4C" w:rsidR="00C15F2E" w:rsidRPr="00D96063" w:rsidRDefault="00B34425" w:rsidP="00B3442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EFTA</w:t>
            </w:r>
          </w:p>
        </w:tc>
        <w:tc>
          <w:tcPr>
            <w:tcW w:w="544" w:type="pct"/>
            <w:noWrap/>
            <w:hideMark/>
          </w:tcPr>
          <w:p w14:paraId="39772411" w14:textId="77777777" w:rsidR="00C15F2E" w:rsidRPr="00D96063" w:rsidRDefault="00C15F2E" w:rsidP="00053198">
            <w:pPr>
              <w:jc w:val="right"/>
              <w:rPr>
                <w:rFonts w:cs="Arial"/>
                <w:color w:val="000000"/>
                <w:sz w:val="16"/>
                <w:szCs w:val="16"/>
              </w:rPr>
            </w:pPr>
            <w:r w:rsidRPr="00D96063">
              <w:rPr>
                <w:rFonts w:cs="Arial"/>
                <w:color w:val="000000"/>
                <w:sz w:val="16"/>
                <w:szCs w:val="16"/>
              </w:rPr>
              <w:t>0.4</w:t>
            </w:r>
          </w:p>
        </w:tc>
        <w:tc>
          <w:tcPr>
            <w:tcW w:w="544" w:type="pct"/>
            <w:noWrap/>
            <w:hideMark/>
          </w:tcPr>
          <w:p w14:paraId="2AAF6377" w14:textId="77777777" w:rsidR="00C15F2E" w:rsidRPr="00D96063" w:rsidRDefault="00C15F2E" w:rsidP="00053198">
            <w:pPr>
              <w:jc w:val="right"/>
              <w:rPr>
                <w:rFonts w:cs="Arial"/>
                <w:color w:val="000000"/>
                <w:sz w:val="16"/>
                <w:szCs w:val="16"/>
              </w:rPr>
            </w:pPr>
            <w:r w:rsidRPr="00D96063">
              <w:rPr>
                <w:rFonts w:cs="Arial"/>
                <w:color w:val="000000"/>
                <w:sz w:val="16"/>
                <w:szCs w:val="16"/>
              </w:rPr>
              <w:t>0.5</w:t>
            </w:r>
          </w:p>
        </w:tc>
        <w:tc>
          <w:tcPr>
            <w:tcW w:w="544" w:type="pct"/>
            <w:noWrap/>
            <w:hideMark/>
          </w:tcPr>
          <w:p w14:paraId="2587840E" w14:textId="77777777" w:rsidR="00C15F2E" w:rsidRPr="00D96063" w:rsidRDefault="00C15F2E" w:rsidP="00053198">
            <w:pPr>
              <w:jc w:val="right"/>
              <w:rPr>
                <w:rFonts w:cs="Arial"/>
                <w:color w:val="000000"/>
                <w:sz w:val="16"/>
                <w:szCs w:val="16"/>
              </w:rPr>
            </w:pPr>
            <w:r w:rsidRPr="00D96063">
              <w:rPr>
                <w:rFonts w:cs="Arial"/>
                <w:color w:val="000000"/>
                <w:sz w:val="16"/>
                <w:szCs w:val="16"/>
              </w:rPr>
              <w:t>0.8</w:t>
            </w:r>
          </w:p>
        </w:tc>
        <w:tc>
          <w:tcPr>
            <w:tcW w:w="544" w:type="pct"/>
            <w:noWrap/>
            <w:hideMark/>
          </w:tcPr>
          <w:p w14:paraId="5AE1CCEC" w14:textId="77777777" w:rsidR="00C15F2E" w:rsidRPr="00D96063" w:rsidRDefault="00C15F2E" w:rsidP="00053198">
            <w:pPr>
              <w:jc w:val="right"/>
              <w:rPr>
                <w:rFonts w:cs="Arial"/>
                <w:color w:val="000000"/>
                <w:sz w:val="16"/>
                <w:szCs w:val="16"/>
              </w:rPr>
            </w:pPr>
            <w:r w:rsidRPr="00D96063">
              <w:rPr>
                <w:rFonts w:cs="Arial"/>
                <w:color w:val="000000"/>
                <w:sz w:val="16"/>
                <w:szCs w:val="16"/>
              </w:rPr>
              <w:t>0.6</w:t>
            </w:r>
          </w:p>
        </w:tc>
        <w:tc>
          <w:tcPr>
            <w:tcW w:w="544" w:type="pct"/>
            <w:noWrap/>
            <w:hideMark/>
          </w:tcPr>
          <w:p w14:paraId="237F70A6" w14:textId="77777777" w:rsidR="00C15F2E" w:rsidRPr="00D96063" w:rsidRDefault="00C15F2E" w:rsidP="00053198">
            <w:pPr>
              <w:jc w:val="right"/>
              <w:rPr>
                <w:rFonts w:cs="Arial"/>
                <w:color w:val="000000"/>
                <w:sz w:val="16"/>
                <w:szCs w:val="16"/>
              </w:rPr>
            </w:pPr>
            <w:r w:rsidRPr="00D96063">
              <w:rPr>
                <w:rFonts w:cs="Arial"/>
                <w:color w:val="000000"/>
                <w:sz w:val="16"/>
                <w:szCs w:val="16"/>
              </w:rPr>
              <w:t>0.7</w:t>
            </w:r>
          </w:p>
        </w:tc>
        <w:tc>
          <w:tcPr>
            <w:tcW w:w="544" w:type="pct"/>
            <w:noWrap/>
            <w:hideMark/>
          </w:tcPr>
          <w:p w14:paraId="6B114DE5" w14:textId="77777777" w:rsidR="00C15F2E" w:rsidRPr="00D96063" w:rsidRDefault="00C15F2E" w:rsidP="00053198">
            <w:pPr>
              <w:jc w:val="right"/>
              <w:rPr>
                <w:rFonts w:cs="Arial"/>
                <w:color w:val="000000"/>
                <w:sz w:val="16"/>
                <w:szCs w:val="16"/>
              </w:rPr>
            </w:pPr>
            <w:r w:rsidRPr="00D96063">
              <w:rPr>
                <w:rFonts w:cs="Arial"/>
                <w:color w:val="000000"/>
                <w:sz w:val="16"/>
                <w:szCs w:val="16"/>
              </w:rPr>
              <w:t>1.1</w:t>
            </w:r>
          </w:p>
        </w:tc>
      </w:tr>
      <w:tr w:rsidR="00C15F2E" w:rsidRPr="00D96063" w14:paraId="315BAE70" w14:textId="77777777" w:rsidTr="00053198">
        <w:trPr>
          <w:trHeight w:val="240"/>
        </w:trPr>
        <w:tc>
          <w:tcPr>
            <w:tcW w:w="1736" w:type="pct"/>
            <w:noWrap/>
            <w:hideMark/>
          </w:tcPr>
          <w:p w14:paraId="46C74438" w14:textId="2ADACBEE" w:rsidR="00C15F2E" w:rsidRPr="00D96063" w:rsidRDefault="00B34425" w:rsidP="00B3442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Other Europe</w:t>
            </w:r>
          </w:p>
        </w:tc>
        <w:tc>
          <w:tcPr>
            <w:tcW w:w="544" w:type="pct"/>
            <w:noWrap/>
            <w:hideMark/>
          </w:tcPr>
          <w:p w14:paraId="6590F9C0" w14:textId="77777777" w:rsidR="00C15F2E" w:rsidRPr="00D96063" w:rsidRDefault="00C15F2E" w:rsidP="00053198">
            <w:pPr>
              <w:jc w:val="right"/>
              <w:rPr>
                <w:rFonts w:cs="Arial"/>
                <w:color w:val="000000"/>
                <w:sz w:val="16"/>
                <w:szCs w:val="16"/>
              </w:rPr>
            </w:pPr>
            <w:r w:rsidRPr="00D96063">
              <w:rPr>
                <w:rFonts w:cs="Arial"/>
                <w:color w:val="000000"/>
                <w:sz w:val="16"/>
                <w:szCs w:val="16"/>
              </w:rPr>
              <w:t>7.2</w:t>
            </w:r>
          </w:p>
        </w:tc>
        <w:tc>
          <w:tcPr>
            <w:tcW w:w="544" w:type="pct"/>
            <w:noWrap/>
            <w:hideMark/>
          </w:tcPr>
          <w:p w14:paraId="05CA19B0" w14:textId="77777777" w:rsidR="00C15F2E" w:rsidRPr="00D96063" w:rsidRDefault="00C15F2E" w:rsidP="00053198">
            <w:pPr>
              <w:jc w:val="right"/>
              <w:rPr>
                <w:rFonts w:cs="Arial"/>
                <w:color w:val="000000"/>
                <w:sz w:val="16"/>
                <w:szCs w:val="16"/>
              </w:rPr>
            </w:pPr>
            <w:r w:rsidRPr="00D96063">
              <w:rPr>
                <w:rFonts w:cs="Arial"/>
                <w:color w:val="000000"/>
                <w:sz w:val="16"/>
                <w:szCs w:val="16"/>
              </w:rPr>
              <w:t>8.6</w:t>
            </w:r>
          </w:p>
        </w:tc>
        <w:tc>
          <w:tcPr>
            <w:tcW w:w="544" w:type="pct"/>
            <w:noWrap/>
            <w:hideMark/>
          </w:tcPr>
          <w:p w14:paraId="35482DBC" w14:textId="77777777" w:rsidR="00C15F2E" w:rsidRPr="00D96063" w:rsidRDefault="00C15F2E" w:rsidP="00053198">
            <w:pPr>
              <w:jc w:val="right"/>
              <w:rPr>
                <w:rFonts w:cs="Arial"/>
                <w:color w:val="000000"/>
                <w:sz w:val="16"/>
                <w:szCs w:val="16"/>
              </w:rPr>
            </w:pPr>
            <w:r w:rsidRPr="00D96063">
              <w:rPr>
                <w:rFonts w:cs="Arial"/>
                <w:color w:val="000000"/>
                <w:sz w:val="16"/>
                <w:szCs w:val="16"/>
              </w:rPr>
              <w:t>12.7</w:t>
            </w:r>
          </w:p>
        </w:tc>
        <w:tc>
          <w:tcPr>
            <w:tcW w:w="544" w:type="pct"/>
            <w:noWrap/>
            <w:hideMark/>
          </w:tcPr>
          <w:p w14:paraId="2D0F5300" w14:textId="77777777" w:rsidR="00C15F2E" w:rsidRPr="00D96063" w:rsidRDefault="00C15F2E" w:rsidP="00053198">
            <w:pPr>
              <w:jc w:val="right"/>
              <w:rPr>
                <w:rFonts w:cs="Arial"/>
                <w:color w:val="000000"/>
                <w:sz w:val="16"/>
                <w:szCs w:val="16"/>
              </w:rPr>
            </w:pPr>
            <w:r w:rsidRPr="00D96063">
              <w:rPr>
                <w:rFonts w:cs="Arial"/>
                <w:color w:val="000000"/>
                <w:sz w:val="16"/>
                <w:szCs w:val="16"/>
              </w:rPr>
              <w:t>11.8</w:t>
            </w:r>
          </w:p>
        </w:tc>
        <w:tc>
          <w:tcPr>
            <w:tcW w:w="544" w:type="pct"/>
            <w:noWrap/>
            <w:hideMark/>
          </w:tcPr>
          <w:p w14:paraId="3FEFE856" w14:textId="77777777" w:rsidR="00C15F2E" w:rsidRPr="00D96063" w:rsidRDefault="00C15F2E" w:rsidP="00053198">
            <w:pPr>
              <w:jc w:val="right"/>
              <w:rPr>
                <w:rFonts w:cs="Arial"/>
                <w:color w:val="000000"/>
                <w:sz w:val="16"/>
                <w:szCs w:val="16"/>
              </w:rPr>
            </w:pPr>
            <w:r w:rsidRPr="00D96063">
              <w:rPr>
                <w:rFonts w:cs="Arial"/>
                <w:color w:val="000000"/>
                <w:sz w:val="16"/>
                <w:szCs w:val="16"/>
              </w:rPr>
              <w:t>8.6</w:t>
            </w:r>
          </w:p>
        </w:tc>
        <w:tc>
          <w:tcPr>
            <w:tcW w:w="544" w:type="pct"/>
            <w:noWrap/>
            <w:hideMark/>
          </w:tcPr>
          <w:p w14:paraId="71B11410" w14:textId="77777777" w:rsidR="00C15F2E" w:rsidRPr="00D96063" w:rsidRDefault="00C15F2E" w:rsidP="00053198">
            <w:pPr>
              <w:jc w:val="right"/>
              <w:rPr>
                <w:rFonts w:cs="Arial"/>
                <w:color w:val="000000"/>
                <w:sz w:val="16"/>
                <w:szCs w:val="16"/>
              </w:rPr>
            </w:pPr>
            <w:r w:rsidRPr="00D96063">
              <w:rPr>
                <w:rFonts w:cs="Arial"/>
                <w:color w:val="000000"/>
                <w:sz w:val="16"/>
                <w:szCs w:val="16"/>
              </w:rPr>
              <w:t>12.0</w:t>
            </w:r>
          </w:p>
        </w:tc>
      </w:tr>
      <w:tr w:rsidR="00C15F2E" w:rsidRPr="00D96063" w14:paraId="0956CAC1"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253FC5A6" w14:textId="6EC52CFB"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United Kingdom</w:t>
            </w:r>
          </w:p>
        </w:tc>
        <w:tc>
          <w:tcPr>
            <w:tcW w:w="544" w:type="pct"/>
            <w:noWrap/>
            <w:hideMark/>
          </w:tcPr>
          <w:p w14:paraId="1A8E254F" w14:textId="77777777" w:rsidR="00C15F2E" w:rsidRPr="00D96063" w:rsidRDefault="00C15F2E" w:rsidP="00053198">
            <w:pPr>
              <w:jc w:val="right"/>
              <w:rPr>
                <w:rFonts w:cs="Arial"/>
                <w:color w:val="000000"/>
                <w:sz w:val="16"/>
                <w:szCs w:val="16"/>
              </w:rPr>
            </w:pPr>
            <w:r w:rsidRPr="00D96063">
              <w:rPr>
                <w:rFonts w:cs="Arial"/>
                <w:color w:val="000000"/>
                <w:sz w:val="16"/>
                <w:szCs w:val="16"/>
              </w:rPr>
              <w:t>4.0</w:t>
            </w:r>
          </w:p>
        </w:tc>
        <w:tc>
          <w:tcPr>
            <w:tcW w:w="544" w:type="pct"/>
            <w:noWrap/>
            <w:hideMark/>
          </w:tcPr>
          <w:p w14:paraId="5A39FD6C" w14:textId="77777777" w:rsidR="00C15F2E" w:rsidRPr="00D96063" w:rsidRDefault="00C15F2E" w:rsidP="00053198">
            <w:pPr>
              <w:jc w:val="right"/>
              <w:rPr>
                <w:rFonts w:cs="Arial"/>
                <w:color w:val="000000"/>
                <w:sz w:val="16"/>
                <w:szCs w:val="16"/>
              </w:rPr>
            </w:pPr>
            <w:r w:rsidRPr="00D96063">
              <w:rPr>
                <w:rFonts w:cs="Arial"/>
                <w:color w:val="000000"/>
                <w:sz w:val="16"/>
                <w:szCs w:val="16"/>
              </w:rPr>
              <w:t>5.4</w:t>
            </w:r>
          </w:p>
        </w:tc>
        <w:tc>
          <w:tcPr>
            <w:tcW w:w="544" w:type="pct"/>
            <w:noWrap/>
            <w:hideMark/>
          </w:tcPr>
          <w:p w14:paraId="7DBBFB23" w14:textId="77777777" w:rsidR="00C15F2E" w:rsidRPr="00D96063" w:rsidRDefault="00C15F2E" w:rsidP="00053198">
            <w:pPr>
              <w:jc w:val="right"/>
              <w:rPr>
                <w:rFonts w:cs="Arial"/>
                <w:color w:val="000000"/>
                <w:sz w:val="16"/>
                <w:szCs w:val="16"/>
              </w:rPr>
            </w:pPr>
            <w:r w:rsidRPr="00D96063">
              <w:rPr>
                <w:rFonts w:cs="Arial"/>
                <w:color w:val="000000"/>
                <w:sz w:val="16"/>
                <w:szCs w:val="16"/>
              </w:rPr>
              <w:t>9.7</w:t>
            </w:r>
          </w:p>
        </w:tc>
        <w:tc>
          <w:tcPr>
            <w:tcW w:w="544" w:type="pct"/>
            <w:noWrap/>
            <w:hideMark/>
          </w:tcPr>
          <w:p w14:paraId="2F9E64ED" w14:textId="77777777" w:rsidR="00C15F2E" w:rsidRPr="00D96063" w:rsidRDefault="00C15F2E" w:rsidP="00053198">
            <w:pPr>
              <w:jc w:val="right"/>
              <w:rPr>
                <w:rFonts w:cs="Arial"/>
                <w:color w:val="000000"/>
                <w:sz w:val="16"/>
                <w:szCs w:val="16"/>
              </w:rPr>
            </w:pPr>
            <w:r w:rsidRPr="00D96063">
              <w:rPr>
                <w:rFonts w:cs="Arial"/>
                <w:color w:val="000000"/>
                <w:sz w:val="16"/>
                <w:szCs w:val="16"/>
              </w:rPr>
              <w:t>8.6</w:t>
            </w:r>
          </w:p>
        </w:tc>
        <w:tc>
          <w:tcPr>
            <w:tcW w:w="544" w:type="pct"/>
            <w:noWrap/>
            <w:hideMark/>
          </w:tcPr>
          <w:p w14:paraId="6A92B1A2" w14:textId="77777777" w:rsidR="00C15F2E" w:rsidRPr="00D96063" w:rsidRDefault="00C15F2E" w:rsidP="00053198">
            <w:pPr>
              <w:jc w:val="right"/>
              <w:rPr>
                <w:rFonts w:cs="Arial"/>
                <w:color w:val="000000"/>
                <w:sz w:val="16"/>
                <w:szCs w:val="16"/>
              </w:rPr>
            </w:pPr>
            <w:r w:rsidRPr="00D96063">
              <w:rPr>
                <w:rFonts w:cs="Arial"/>
                <w:color w:val="000000"/>
                <w:sz w:val="16"/>
                <w:szCs w:val="16"/>
              </w:rPr>
              <w:t>5.1</w:t>
            </w:r>
          </w:p>
        </w:tc>
        <w:tc>
          <w:tcPr>
            <w:tcW w:w="544" w:type="pct"/>
            <w:noWrap/>
            <w:hideMark/>
          </w:tcPr>
          <w:p w14:paraId="18B59661" w14:textId="77777777" w:rsidR="00C15F2E" w:rsidRPr="00D96063" w:rsidRDefault="00C15F2E" w:rsidP="00053198">
            <w:pPr>
              <w:jc w:val="right"/>
              <w:rPr>
                <w:rFonts w:cs="Arial"/>
                <w:color w:val="000000"/>
                <w:sz w:val="16"/>
                <w:szCs w:val="16"/>
              </w:rPr>
            </w:pPr>
            <w:r w:rsidRPr="00D96063">
              <w:rPr>
                <w:rFonts w:cs="Arial"/>
                <w:color w:val="000000"/>
                <w:sz w:val="16"/>
                <w:szCs w:val="16"/>
              </w:rPr>
              <w:t>6.6</w:t>
            </w:r>
          </w:p>
        </w:tc>
      </w:tr>
      <w:tr w:rsidR="00C15F2E" w:rsidRPr="00D96063" w14:paraId="0AA0306F" w14:textId="77777777" w:rsidTr="00053198">
        <w:trPr>
          <w:trHeight w:val="240"/>
        </w:trPr>
        <w:tc>
          <w:tcPr>
            <w:tcW w:w="1736" w:type="pct"/>
            <w:noWrap/>
            <w:hideMark/>
          </w:tcPr>
          <w:p w14:paraId="61ACF47A" w14:textId="3FDF41A0"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Turkey</w:t>
            </w:r>
          </w:p>
        </w:tc>
        <w:tc>
          <w:tcPr>
            <w:tcW w:w="544" w:type="pct"/>
            <w:noWrap/>
            <w:hideMark/>
          </w:tcPr>
          <w:p w14:paraId="432BC629" w14:textId="77777777" w:rsidR="00C15F2E" w:rsidRPr="00D96063" w:rsidRDefault="00C15F2E" w:rsidP="00053198">
            <w:pPr>
              <w:jc w:val="right"/>
              <w:rPr>
                <w:rFonts w:cs="Arial"/>
                <w:color w:val="000000"/>
                <w:sz w:val="16"/>
                <w:szCs w:val="16"/>
              </w:rPr>
            </w:pPr>
            <w:r w:rsidRPr="00D96063">
              <w:rPr>
                <w:rFonts w:cs="Arial"/>
                <w:color w:val="000000"/>
                <w:sz w:val="16"/>
                <w:szCs w:val="16"/>
              </w:rPr>
              <w:t>2.6</w:t>
            </w:r>
          </w:p>
        </w:tc>
        <w:tc>
          <w:tcPr>
            <w:tcW w:w="544" w:type="pct"/>
            <w:noWrap/>
            <w:hideMark/>
          </w:tcPr>
          <w:p w14:paraId="015DE492" w14:textId="77777777" w:rsidR="00C15F2E" w:rsidRPr="00D96063" w:rsidRDefault="00C15F2E" w:rsidP="00053198">
            <w:pPr>
              <w:jc w:val="right"/>
              <w:rPr>
                <w:rFonts w:cs="Arial"/>
                <w:color w:val="000000"/>
                <w:sz w:val="16"/>
                <w:szCs w:val="16"/>
              </w:rPr>
            </w:pPr>
            <w:r w:rsidRPr="00D96063">
              <w:rPr>
                <w:rFonts w:cs="Arial"/>
                <w:color w:val="000000"/>
                <w:sz w:val="16"/>
                <w:szCs w:val="16"/>
              </w:rPr>
              <w:t>2.7</w:t>
            </w:r>
          </w:p>
        </w:tc>
        <w:tc>
          <w:tcPr>
            <w:tcW w:w="544" w:type="pct"/>
            <w:noWrap/>
            <w:hideMark/>
          </w:tcPr>
          <w:p w14:paraId="0A166812" w14:textId="77777777" w:rsidR="00C15F2E" w:rsidRPr="00D96063" w:rsidRDefault="00C15F2E" w:rsidP="00053198">
            <w:pPr>
              <w:jc w:val="right"/>
              <w:rPr>
                <w:rFonts w:cs="Arial"/>
                <w:color w:val="000000"/>
                <w:sz w:val="16"/>
                <w:szCs w:val="16"/>
              </w:rPr>
            </w:pPr>
            <w:r w:rsidRPr="00D96063">
              <w:rPr>
                <w:rFonts w:cs="Arial"/>
                <w:color w:val="000000"/>
                <w:sz w:val="16"/>
                <w:szCs w:val="16"/>
              </w:rPr>
              <w:t>2.5</w:t>
            </w:r>
          </w:p>
        </w:tc>
        <w:tc>
          <w:tcPr>
            <w:tcW w:w="544" w:type="pct"/>
            <w:noWrap/>
            <w:hideMark/>
          </w:tcPr>
          <w:p w14:paraId="18A32268" w14:textId="77777777" w:rsidR="00C15F2E" w:rsidRPr="00D96063" w:rsidRDefault="00C15F2E" w:rsidP="00053198">
            <w:pPr>
              <w:jc w:val="right"/>
              <w:rPr>
                <w:rFonts w:cs="Arial"/>
                <w:color w:val="000000"/>
                <w:sz w:val="16"/>
                <w:szCs w:val="16"/>
              </w:rPr>
            </w:pPr>
            <w:r w:rsidRPr="00D96063">
              <w:rPr>
                <w:rFonts w:cs="Arial"/>
                <w:color w:val="000000"/>
                <w:sz w:val="16"/>
                <w:szCs w:val="16"/>
              </w:rPr>
              <w:t>2.6</w:t>
            </w:r>
          </w:p>
        </w:tc>
        <w:tc>
          <w:tcPr>
            <w:tcW w:w="544" w:type="pct"/>
            <w:noWrap/>
            <w:hideMark/>
          </w:tcPr>
          <w:p w14:paraId="456BA0AC" w14:textId="77777777" w:rsidR="00C15F2E" w:rsidRPr="00D96063" w:rsidRDefault="00C15F2E" w:rsidP="00053198">
            <w:pPr>
              <w:jc w:val="right"/>
              <w:rPr>
                <w:rFonts w:cs="Arial"/>
                <w:color w:val="000000"/>
                <w:sz w:val="16"/>
                <w:szCs w:val="16"/>
              </w:rPr>
            </w:pPr>
            <w:r w:rsidRPr="00D96063">
              <w:rPr>
                <w:rFonts w:cs="Arial"/>
                <w:color w:val="000000"/>
                <w:sz w:val="16"/>
                <w:szCs w:val="16"/>
              </w:rPr>
              <w:t>2.8</w:t>
            </w:r>
          </w:p>
        </w:tc>
        <w:tc>
          <w:tcPr>
            <w:tcW w:w="544" w:type="pct"/>
            <w:noWrap/>
            <w:hideMark/>
          </w:tcPr>
          <w:p w14:paraId="4CFFC11C" w14:textId="77777777" w:rsidR="00C15F2E" w:rsidRPr="00D96063" w:rsidRDefault="00C15F2E" w:rsidP="00053198">
            <w:pPr>
              <w:jc w:val="right"/>
              <w:rPr>
                <w:rFonts w:cs="Arial"/>
                <w:color w:val="000000"/>
                <w:sz w:val="16"/>
                <w:szCs w:val="16"/>
              </w:rPr>
            </w:pPr>
            <w:r w:rsidRPr="00D96063">
              <w:rPr>
                <w:rFonts w:cs="Arial"/>
                <w:color w:val="000000"/>
                <w:sz w:val="16"/>
                <w:szCs w:val="16"/>
              </w:rPr>
              <w:t>4.5</w:t>
            </w:r>
          </w:p>
        </w:tc>
      </w:tr>
      <w:tr w:rsidR="00C15F2E" w:rsidRPr="00D96063" w14:paraId="4A56F54C"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3E6EBCF5" w14:textId="77777777" w:rsidR="00C15F2E" w:rsidRPr="00D96063" w:rsidRDefault="00C15F2E" w:rsidP="00053198">
            <w:pPr>
              <w:jc w:val="left"/>
              <w:rPr>
                <w:rFonts w:cs="Arial"/>
                <w:b/>
                <w:bCs/>
                <w:color w:val="000000"/>
                <w:sz w:val="16"/>
                <w:szCs w:val="16"/>
              </w:rPr>
            </w:pPr>
            <w:r w:rsidRPr="00D96063">
              <w:rPr>
                <w:rFonts w:cs="Arial"/>
                <w:b/>
                <w:bCs/>
                <w:color w:val="000000"/>
                <w:sz w:val="16"/>
                <w:szCs w:val="16"/>
              </w:rPr>
              <w:t>CIS</w:t>
            </w:r>
            <w:r w:rsidRPr="00D96063">
              <w:rPr>
                <w:rFonts w:cs="Arial"/>
                <w:b/>
                <w:bCs/>
                <w:color w:val="000000"/>
                <w:sz w:val="16"/>
                <w:szCs w:val="16"/>
                <w:vertAlign w:val="superscript"/>
              </w:rPr>
              <w:t>a</w:t>
            </w:r>
          </w:p>
        </w:tc>
        <w:tc>
          <w:tcPr>
            <w:tcW w:w="544" w:type="pct"/>
            <w:noWrap/>
            <w:hideMark/>
          </w:tcPr>
          <w:p w14:paraId="3953EA68"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0.5</w:t>
            </w:r>
          </w:p>
        </w:tc>
        <w:tc>
          <w:tcPr>
            <w:tcW w:w="544" w:type="pct"/>
            <w:noWrap/>
            <w:hideMark/>
          </w:tcPr>
          <w:p w14:paraId="635464BB"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0.5</w:t>
            </w:r>
          </w:p>
        </w:tc>
        <w:tc>
          <w:tcPr>
            <w:tcW w:w="544" w:type="pct"/>
            <w:noWrap/>
            <w:hideMark/>
          </w:tcPr>
          <w:p w14:paraId="37A948AE"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0.6</w:t>
            </w:r>
          </w:p>
        </w:tc>
        <w:tc>
          <w:tcPr>
            <w:tcW w:w="544" w:type="pct"/>
            <w:noWrap/>
            <w:hideMark/>
          </w:tcPr>
          <w:p w14:paraId="74560084"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1.1</w:t>
            </w:r>
          </w:p>
        </w:tc>
        <w:tc>
          <w:tcPr>
            <w:tcW w:w="544" w:type="pct"/>
            <w:noWrap/>
            <w:hideMark/>
          </w:tcPr>
          <w:p w14:paraId="225EC8D5"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1.5</w:t>
            </w:r>
          </w:p>
        </w:tc>
        <w:tc>
          <w:tcPr>
            <w:tcW w:w="544" w:type="pct"/>
            <w:noWrap/>
            <w:hideMark/>
          </w:tcPr>
          <w:p w14:paraId="294B570A"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1.4</w:t>
            </w:r>
          </w:p>
        </w:tc>
      </w:tr>
      <w:tr w:rsidR="00C15F2E" w:rsidRPr="00D96063" w14:paraId="3E0F7C4C" w14:textId="77777777" w:rsidTr="00053198">
        <w:trPr>
          <w:trHeight w:val="240"/>
        </w:trPr>
        <w:tc>
          <w:tcPr>
            <w:tcW w:w="1736" w:type="pct"/>
            <w:noWrap/>
            <w:hideMark/>
          </w:tcPr>
          <w:p w14:paraId="050D3636" w14:textId="0276E575" w:rsidR="00C15F2E" w:rsidRPr="00D96063" w:rsidRDefault="00B34425" w:rsidP="00B3442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Russian Federation</w:t>
            </w:r>
          </w:p>
        </w:tc>
        <w:tc>
          <w:tcPr>
            <w:tcW w:w="544" w:type="pct"/>
            <w:noWrap/>
            <w:hideMark/>
          </w:tcPr>
          <w:p w14:paraId="66E561AC" w14:textId="77777777" w:rsidR="00C15F2E" w:rsidRPr="00D96063" w:rsidRDefault="00C15F2E" w:rsidP="00053198">
            <w:pPr>
              <w:jc w:val="right"/>
              <w:rPr>
                <w:rFonts w:cs="Arial"/>
                <w:color w:val="000000"/>
                <w:sz w:val="16"/>
                <w:szCs w:val="16"/>
              </w:rPr>
            </w:pPr>
            <w:r w:rsidRPr="00D96063">
              <w:rPr>
                <w:rFonts w:cs="Arial"/>
                <w:color w:val="000000"/>
                <w:sz w:val="16"/>
                <w:szCs w:val="16"/>
              </w:rPr>
              <w:t>0.5</w:t>
            </w:r>
          </w:p>
        </w:tc>
        <w:tc>
          <w:tcPr>
            <w:tcW w:w="544" w:type="pct"/>
            <w:noWrap/>
            <w:hideMark/>
          </w:tcPr>
          <w:p w14:paraId="08E0FC33" w14:textId="77777777" w:rsidR="00C15F2E" w:rsidRPr="00D96063" w:rsidRDefault="00C15F2E" w:rsidP="00053198">
            <w:pPr>
              <w:jc w:val="right"/>
              <w:rPr>
                <w:rFonts w:cs="Arial"/>
                <w:color w:val="000000"/>
                <w:sz w:val="16"/>
                <w:szCs w:val="16"/>
              </w:rPr>
            </w:pPr>
            <w:r w:rsidRPr="00D96063">
              <w:rPr>
                <w:rFonts w:cs="Arial"/>
                <w:color w:val="000000"/>
                <w:sz w:val="16"/>
                <w:szCs w:val="16"/>
              </w:rPr>
              <w:t>0.5</w:t>
            </w:r>
          </w:p>
        </w:tc>
        <w:tc>
          <w:tcPr>
            <w:tcW w:w="544" w:type="pct"/>
            <w:noWrap/>
            <w:hideMark/>
          </w:tcPr>
          <w:p w14:paraId="3A37D58B" w14:textId="77777777" w:rsidR="00C15F2E" w:rsidRPr="00D96063" w:rsidRDefault="00C15F2E" w:rsidP="00053198">
            <w:pPr>
              <w:jc w:val="right"/>
              <w:rPr>
                <w:rFonts w:cs="Arial"/>
                <w:color w:val="000000"/>
                <w:sz w:val="16"/>
                <w:szCs w:val="16"/>
              </w:rPr>
            </w:pPr>
            <w:r w:rsidRPr="00D96063">
              <w:rPr>
                <w:rFonts w:cs="Arial"/>
                <w:color w:val="000000"/>
                <w:sz w:val="16"/>
                <w:szCs w:val="16"/>
              </w:rPr>
              <w:t>0.6</w:t>
            </w:r>
          </w:p>
        </w:tc>
        <w:tc>
          <w:tcPr>
            <w:tcW w:w="544" w:type="pct"/>
            <w:noWrap/>
            <w:hideMark/>
          </w:tcPr>
          <w:p w14:paraId="0B080500" w14:textId="77777777" w:rsidR="00C15F2E" w:rsidRPr="00D96063" w:rsidRDefault="00C15F2E" w:rsidP="00053198">
            <w:pPr>
              <w:jc w:val="right"/>
              <w:rPr>
                <w:rFonts w:cs="Arial"/>
                <w:color w:val="000000"/>
                <w:sz w:val="16"/>
                <w:szCs w:val="16"/>
              </w:rPr>
            </w:pPr>
            <w:r w:rsidRPr="00D96063">
              <w:rPr>
                <w:rFonts w:cs="Arial"/>
                <w:color w:val="000000"/>
                <w:sz w:val="16"/>
                <w:szCs w:val="16"/>
              </w:rPr>
              <w:t>1.1</w:t>
            </w:r>
          </w:p>
        </w:tc>
        <w:tc>
          <w:tcPr>
            <w:tcW w:w="544" w:type="pct"/>
            <w:noWrap/>
            <w:hideMark/>
          </w:tcPr>
          <w:p w14:paraId="4DB479C3" w14:textId="77777777" w:rsidR="00C15F2E" w:rsidRPr="00D96063" w:rsidRDefault="00C15F2E" w:rsidP="00053198">
            <w:pPr>
              <w:jc w:val="right"/>
              <w:rPr>
                <w:rFonts w:cs="Arial"/>
                <w:color w:val="000000"/>
                <w:sz w:val="16"/>
                <w:szCs w:val="16"/>
              </w:rPr>
            </w:pPr>
            <w:r w:rsidRPr="00D96063">
              <w:rPr>
                <w:rFonts w:cs="Arial"/>
                <w:color w:val="000000"/>
                <w:sz w:val="16"/>
                <w:szCs w:val="16"/>
              </w:rPr>
              <w:t>1.5</w:t>
            </w:r>
          </w:p>
        </w:tc>
        <w:tc>
          <w:tcPr>
            <w:tcW w:w="544" w:type="pct"/>
            <w:noWrap/>
            <w:hideMark/>
          </w:tcPr>
          <w:p w14:paraId="1FB0007D" w14:textId="77777777" w:rsidR="00C15F2E" w:rsidRPr="00D96063" w:rsidRDefault="00C15F2E" w:rsidP="00053198">
            <w:pPr>
              <w:jc w:val="right"/>
              <w:rPr>
                <w:rFonts w:cs="Arial"/>
                <w:color w:val="000000"/>
                <w:sz w:val="16"/>
                <w:szCs w:val="16"/>
              </w:rPr>
            </w:pPr>
            <w:r w:rsidRPr="00D96063">
              <w:rPr>
                <w:rFonts w:cs="Arial"/>
                <w:color w:val="000000"/>
                <w:sz w:val="16"/>
                <w:szCs w:val="16"/>
              </w:rPr>
              <w:t>1.4</w:t>
            </w:r>
          </w:p>
        </w:tc>
      </w:tr>
      <w:tr w:rsidR="00C15F2E" w:rsidRPr="00D96063" w14:paraId="14C75768"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732054FC" w14:textId="77777777" w:rsidR="00C15F2E" w:rsidRPr="00D96063" w:rsidRDefault="00C15F2E" w:rsidP="00053198">
            <w:pPr>
              <w:jc w:val="left"/>
              <w:rPr>
                <w:rFonts w:cs="Arial"/>
                <w:b/>
                <w:bCs/>
                <w:color w:val="000000"/>
                <w:sz w:val="16"/>
                <w:szCs w:val="16"/>
              </w:rPr>
            </w:pPr>
            <w:r w:rsidRPr="00D96063">
              <w:rPr>
                <w:rFonts w:cs="Arial"/>
                <w:b/>
                <w:bCs/>
                <w:color w:val="000000"/>
                <w:sz w:val="16"/>
                <w:szCs w:val="16"/>
              </w:rPr>
              <w:t>Africa</w:t>
            </w:r>
          </w:p>
        </w:tc>
        <w:tc>
          <w:tcPr>
            <w:tcW w:w="544" w:type="pct"/>
            <w:noWrap/>
            <w:hideMark/>
          </w:tcPr>
          <w:p w14:paraId="3A693E89"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11.2</w:t>
            </w:r>
          </w:p>
        </w:tc>
        <w:tc>
          <w:tcPr>
            <w:tcW w:w="544" w:type="pct"/>
            <w:noWrap/>
            <w:hideMark/>
          </w:tcPr>
          <w:p w14:paraId="7290D253"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11.2</w:t>
            </w:r>
          </w:p>
        </w:tc>
        <w:tc>
          <w:tcPr>
            <w:tcW w:w="544" w:type="pct"/>
            <w:noWrap/>
            <w:hideMark/>
          </w:tcPr>
          <w:p w14:paraId="38E1C213"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9.0</w:t>
            </w:r>
          </w:p>
        </w:tc>
        <w:tc>
          <w:tcPr>
            <w:tcW w:w="544" w:type="pct"/>
            <w:noWrap/>
            <w:hideMark/>
          </w:tcPr>
          <w:p w14:paraId="47DF198F"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9.1</w:t>
            </w:r>
          </w:p>
        </w:tc>
        <w:tc>
          <w:tcPr>
            <w:tcW w:w="544" w:type="pct"/>
            <w:noWrap/>
            <w:hideMark/>
          </w:tcPr>
          <w:p w14:paraId="54E467CD"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10.5</w:t>
            </w:r>
          </w:p>
        </w:tc>
        <w:tc>
          <w:tcPr>
            <w:tcW w:w="544" w:type="pct"/>
            <w:noWrap/>
            <w:hideMark/>
          </w:tcPr>
          <w:p w14:paraId="596F100B"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10.4</w:t>
            </w:r>
          </w:p>
        </w:tc>
      </w:tr>
      <w:tr w:rsidR="00C15F2E" w:rsidRPr="00D96063" w14:paraId="72CD3397" w14:textId="77777777" w:rsidTr="00053198">
        <w:trPr>
          <w:trHeight w:val="240"/>
        </w:trPr>
        <w:tc>
          <w:tcPr>
            <w:tcW w:w="1736" w:type="pct"/>
            <w:noWrap/>
            <w:hideMark/>
          </w:tcPr>
          <w:p w14:paraId="3E70E95A" w14:textId="60814790" w:rsidR="00C15F2E" w:rsidRPr="00D96063" w:rsidRDefault="00B34425" w:rsidP="00B3442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South Africa</w:t>
            </w:r>
          </w:p>
        </w:tc>
        <w:tc>
          <w:tcPr>
            <w:tcW w:w="544" w:type="pct"/>
            <w:noWrap/>
            <w:hideMark/>
          </w:tcPr>
          <w:p w14:paraId="0CB500DC" w14:textId="77777777" w:rsidR="00C15F2E" w:rsidRPr="00D96063" w:rsidRDefault="00C15F2E" w:rsidP="00053198">
            <w:pPr>
              <w:jc w:val="right"/>
              <w:rPr>
                <w:rFonts w:cs="Arial"/>
                <w:color w:val="000000"/>
                <w:sz w:val="16"/>
                <w:szCs w:val="16"/>
              </w:rPr>
            </w:pPr>
            <w:r w:rsidRPr="00D96063">
              <w:rPr>
                <w:rFonts w:cs="Arial"/>
                <w:color w:val="000000"/>
                <w:sz w:val="16"/>
                <w:szCs w:val="16"/>
              </w:rPr>
              <w:t>2.6</w:t>
            </w:r>
          </w:p>
        </w:tc>
        <w:tc>
          <w:tcPr>
            <w:tcW w:w="544" w:type="pct"/>
            <w:noWrap/>
            <w:hideMark/>
          </w:tcPr>
          <w:p w14:paraId="16EE9F43" w14:textId="77777777" w:rsidR="00C15F2E" w:rsidRPr="00D96063" w:rsidRDefault="00C15F2E" w:rsidP="00053198">
            <w:pPr>
              <w:jc w:val="right"/>
              <w:rPr>
                <w:rFonts w:cs="Arial"/>
                <w:color w:val="000000"/>
                <w:sz w:val="16"/>
                <w:szCs w:val="16"/>
              </w:rPr>
            </w:pPr>
            <w:r w:rsidRPr="00D96063">
              <w:rPr>
                <w:rFonts w:cs="Arial"/>
                <w:color w:val="000000"/>
                <w:sz w:val="16"/>
                <w:szCs w:val="16"/>
              </w:rPr>
              <w:t>3.0</w:t>
            </w:r>
          </w:p>
        </w:tc>
        <w:tc>
          <w:tcPr>
            <w:tcW w:w="544" w:type="pct"/>
            <w:noWrap/>
            <w:hideMark/>
          </w:tcPr>
          <w:p w14:paraId="5B608EAD" w14:textId="77777777" w:rsidR="00C15F2E" w:rsidRPr="00D96063" w:rsidRDefault="00C15F2E" w:rsidP="00053198">
            <w:pPr>
              <w:jc w:val="right"/>
              <w:rPr>
                <w:rFonts w:cs="Arial"/>
                <w:color w:val="000000"/>
                <w:sz w:val="16"/>
                <w:szCs w:val="16"/>
              </w:rPr>
            </w:pPr>
            <w:r w:rsidRPr="00D96063">
              <w:rPr>
                <w:rFonts w:cs="Arial"/>
                <w:color w:val="000000"/>
                <w:sz w:val="16"/>
                <w:szCs w:val="16"/>
              </w:rPr>
              <w:t>2.9</w:t>
            </w:r>
          </w:p>
        </w:tc>
        <w:tc>
          <w:tcPr>
            <w:tcW w:w="544" w:type="pct"/>
            <w:noWrap/>
            <w:hideMark/>
          </w:tcPr>
          <w:p w14:paraId="224E6BAD" w14:textId="77777777" w:rsidR="00C15F2E" w:rsidRPr="00D96063" w:rsidRDefault="00C15F2E" w:rsidP="00053198">
            <w:pPr>
              <w:jc w:val="right"/>
              <w:rPr>
                <w:rFonts w:cs="Arial"/>
                <w:color w:val="000000"/>
                <w:sz w:val="16"/>
                <w:szCs w:val="16"/>
              </w:rPr>
            </w:pPr>
            <w:r w:rsidRPr="00D96063">
              <w:rPr>
                <w:rFonts w:cs="Arial"/>
                <w:color w:val="000000"/>
                <w:sz w:val="16"/>
                <w:szCs w:val="16"/>
              </w:rPr>
              <w:t>3.2</w:t>
            </w:r>
          </w:p>
        </w:tc>
        <w:tc>
          <w:tcPr>
            <w:tcW w:w="544" w:type="pct"/>
            <w:noWrap/>
            <w:hideMark/>
          </w:tcPr>
          <w:p w14:paraId="358583BF" w14:textId="77777777" w:rsidR="00C15F2E" w:rsidRPr="00D96063" w:rsidRDefault="00C15F2E" w:rsidP="00053198">
            <w:pPr>
              <w:jc w:val="right"/>
              <w:rPr>
                <w:rFonts w:cs="Arial"/>
                <w:color w:val="000000"/>
                <w:sz w:val="16"/>
                <w:szCs w:val="16"/>
              </w:rPr>
            </w:pPr>
            <w:r w:rsidRPr="00D96063">
              <w:rPr>
                <w:rFonts w:cs="Arial"/>
                <w:color w:val="000000"/>
                <w:sz w:val="16"/>
                <w:szCs w:val="16"/>
              </w:rPr>
              <w:t>3.4</w:t>
            </w:r>
          </w:p>
        </w:tc>
        <w:tc>
          <w:tcPr>
            <w:tcW w:w="544" w:type="pct"/>
            <w:noWrap/>
            <w:hideMark/>
          </w:tcPr>
          <w:p w14:paraId="5E1BFD31" w14:textId="77777777" w:rsidR="00C15F2E" w:rsidRPr="00D96063" w:rsidRDefault="00C15F2E" w:rsidP="00053198">
            <w:pPr>
              <w:jc w:val="right"/>
              <w:rPr>
                <w:rFonts w:cs="Arial"/>
                <w:color w:val="000000"/>
                <w:sz w:val="16"/>
                <w:szCs w:val="16"/>
              </w:rPr>
            </w:pPr>
            <w:r w:rsidRPr="00D96063">
              <w:rPr>
                <w:rFonts w:cs="Arial"/>
                <w:color w:val="000000"/>
                <w:sz w:val="16"/>
                <w:szCs w:val="16"/>
              </w:rPr>
              <w:t>3.4</w:t>
            </w:r>
          </w:p>
        </w:tc>
      </w:tr>
      <w:tr w:rsidR="00C15F2E" w:rsidRPr="00D96063" w14:paraId="644112EA" w14:textId="77777777" w:rsidTr="00B34425">
        <w:trPr>
          <w:cnfStyle w:val="000000010000" w:firstRow="0" w:lastRow="0" w:firstColumn="0" w:lastColumn="0" w:oddVBand="0" w:evenVBand="0" w:oddHBand="0" w:evenHBand="1" w:firstRowFirstColumn="0" w:firstRowLastColumn="0" w:lastRowFirstColumn="0" w:lastRowLastColumn="0"/>
          <w:trHeight w:val="325"/>
        </w:trPr>
        <w:tc>
          <w:tcPr>
            <w:tcW w:w="1736" w:type="pct"/>
            <w:noWrap/>
            <w:hideMark/>
          </w:tcPr>
          <w:p w14:paraId="45410C2F" w14:textId="77777777" w:rsidR="00C15F2E" w:rsidRPr="00D96063" w:rsidRDefault="00C15F2E" w:rsidP="00053198">
            <w:pPr>
              <w:jc w:val="left"/>
              <w:rPr>
                <w:rFonts w:cs="Arial"/>
                <w:b/>
                <w:bCs/>
                <w:color w:val="000000"/>
                <w:sz w:val="16"/>
                <w:szCs w:val="16"/>
              </w:rPr>
            </w:pPr>
            <w:r w:rsidRPr="00D96063">
              <w:rPr>
                <w:rFonts w:cs="Arial"/>
                <w:b/>
                <w:bCs/>
                <w:color w:val="000000"/>
                <w:sz w:val="16"/>
                <w:szCs w:val="16"/>
              </w:rPr>
              <w:t>Middle East</w:t>
            </w:r>
          </w:p>
        </w:tc>
        <w:tc>
          <w:tcPr>
            <w:tcW w:w="544" w:type="pct"/>
            <w:noWrap/>
            <w:hideMark/>
          </w:tcPr>
          <w:p w14:paraId="6B7D494E"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6.2</w:t>
            </w:r>
          </w:p>
        </w:tc>
        <w:tc>
          <w:tcPr>
            <w:tcW w:w="544" w:type="pct"/>
            <w:noWrap/>
            <w:hideMark/>
          </w:tcPr>
          <w:p w14:paraId="40721432"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5.6</w:t>
            </w:r>
          </w:p>
        </w:tc>
        <w:tc>
          <w:tcPr>
            <w:tcW w:w="544" w:type="pct"/>
            <w:noWrap/>
            <w:hideMark/>
          </w:tcPr>
          <w:p w14:paraId="737D9A80"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4.0</w:t>
            </w:r>
          </w:p>
        </w:tc>
        <w:tc>
          <w:tcPr>
            <w:tcW w:w="544" w:type="pct"/>
            <w:noWrap/>
            <w:hideMark/>
          </w:tcPr>
          <w:p w14:paraId="349D269F"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3.8</w:t>
            </w:r>
          </w:p>
        </w:tc>
        <w:tc>
          <w:tcPr>
            <w:tcW w:w="544" w:type="pct"/>
            <w:noWrap/>
            <w:hideMark/>
          </w:tcPr>
          <w:p w14:paraId="0BDF8100"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4.4</w:t>
            </w:r>
          </w:p>
        </w:tc>
        <w:tc>
          <w:tcPr>
            <w:tcW w:w="544" w:type="pct"/>
            <w:noWrap/>
            <w:hideMark/>
          </w:tcPr>
          <w:p w14:paraId="18648B4F"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4.1</w:t>
            </w:r>
          </w:p>
        </w:tc>
      </w:tr>
      <w:tr w:rsidR="00C15F2E" w:rsidRPr="00D96063" w14:paraId="4F13ED89" w14:textId="77777777" w:rsidTr="00053198">
        <w:trPr>
          <w:trHeight w:val="240"/>
        </w:trPr>
        <w:tc>
          <w:tcPr>
            <w:tcW w:w="1736" w:type="pct"/>
            <w:noWrap/>
            <w:hideMark/>
          </w:tcPr>
          <w:p w14:paraId="2F7F8435" w14:textId="1A22F920" w:rsidR="00C15F2E" w:rsidRPr="00D96063" w:rsidRDefault="00B34425" w:rsidP="00B3442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United Arab Emirates</w:t>
            </w:r>
          </w:p>
        </w:tc>
        <w:tc>
          <w:tcPr>
            <w:tcW w:w="544" w:type="pct"/>
            <w:noWrap/>
            <w:hideMark/>
          </w:tcPr>
          <w:p w14:paraId="49FFBFFE" w14:textId="77777777" w:rsidR="00C15F2E" w:rsidRPr="00D96063" w:rsidRDefault="00C15F2E" w:rsidP="00053198">
            <w:pPr>
              <w:jc w:val="right"/>
              <w:rPr>
                <w:rFonts w:cs="Arial"/>
                <w:color w:val="000000"/>
                <w:sz w:val="16"/>
                <w:szCs w:val="16"/>
              </w:rPr>
            </w:pPr>
            <w:r w:rsidRPr="00D96063">
              <w:rPr>
                <w:rFonts w:cs="Arial"/>
                <w:color w:val="000000"/>
                <w:sz w:val="16"/>
                <w:szCs w:val="16"/>
              </w:rPr>
              <w:t>4.1</w:t>
            </w:r>
          </w:p>
        </w:tc>
        <w:tc>
          <w:tcPr>
            <w:tcW w:w="544" w:type="pct"/>
            <w:noWrap/>
            <w:hideMark/>
          </w:tcPr>
          <w:p w14:paraId="73754BD6" w14:textId="77777777" w:rsidR="00C15F2E" w:rsidRPr="00D96063" w:rsidRDefault="00C15F2E" w:rsidP="00053198">
            <w:pPr>
              <w:jc w:val="right"/>
              <w:rPr>
                <w:rFonts w:cs="Arial"/>
                <w:color w:val="000000"/>
                <w:sz w:val="16"/>
                <w:szCs w:val="16"/>
              </w:rPr>
            </w:pPr>
            <w:r w:rsidRPr="00D96063">
              <w:rPr>
                <w:rFonts w:cs="Arial"/>
                <w:color w:val="000000"/>
                <w:sz w:val="16"/>
                <w:szCs w:val="16"/>
              </w:rPr>
              <w:t>1.9</w:t>
            </w:r>
          </w:p>
        </w:tc>
        <w:tc>
          <w:tcPr>
            <w:tcW w:w="544" w:type="pct"/>
            <w:noWrap/>
            <w:hideMark/>
          </w:tcPr>
          <w:p w14:paraId="75EB4567" w14:textId="77777777" w:rsidR="00C15F2E" w:rsidRPr="00D96063" w:rsidRDefault="00C15F2E" w:rsidP="00053198">
            <w:pPr>
              <w:jc w:val="right"/>
              <w:rPr>
                <w:rFonts w:cs="Arial"/>
                <w:color w:val="000000"/>
                <w:sz w:val="16"/>
                <w:szCs w:val="16"/>
              </w:rPr>
            </w:pPr>
            <w:r w:rsidRPr="00D96063">
              <w:rPr>
                <w:rFonts w:cs="Arial"/>
                <w:color w:val="000000"/>
                <w:sz w:val="16"/>
                <w:szCs w:val="16"/>
              </w:rPr>
              <w:t>2.5</w:t>
            </w:r>
          </w:p>
        </w:tc>
        <w:tc>
          <w:tcPr>
            <w:tcW w:w="544" w:type="pct"/>
            <w:noWrap/>
            <w:hideMark/>
          </w:tcPr>
          <w:p w14:paraId="5DD27993" w14:textId="77777777" w:rsidR="00C15F2E" w:rsidRPr="00D96063" w:rsidRDefault="00C15F2E" w:rsidP="00053198">
            <w:pPr>
              <w:jc w:val="right"/>
              <w:rPr>
                <w:rFonts w:cs="Arial"/>
                <w:color w:val="000000"/>
                <w:sz w:val="16"/>
                <w:szCs w:val="16"/>
              </w:rPr>
            </w:pPr>
            <w:r w:rsidRPr="00D96063">
              <w:rPr>
                <w:rFonts w:cs="Arial"/>
                <w:color w:val="000000"/>
                <w:sz w:val="16"/>
                <w:szCs w:val="16"/>
              </w:rPr>
              <w:t>2.4</w:t>
            </w:r>
          </w:p>
        </w:tc>
        <w:tc>
          <w:tcPr>
            <w:tcW w:w="544" w:type="pct"/>
            <w:noWrap/>
            <w:hideMark/>
          </w:tcPr>
          <w:p w14:paraId="6E8EF1AA" w14:textId="77777777" w:rsidR="00C15F2E" w:rsidRPr="00D96063" w:rsidRDefault="00C15F2E" w:rsidP="00053198">
            <w:pPr>
              <w:jc w:val="right"/>
              <w:rPr>
                <w:rFonts w:cs="Arial"/>
                <w:color w:val="000000"/>
                <w:sz w:val="16"/>
                <w:szCs w:val="16"/>
              </w:rPr>
            </w:pPr>
            <w:r w:rsidRPr="00D96063">
              <w:rPr>
                <w:rFonts w:cs="Arial"/>
                <w:color w:val="000000"/>
                <w:sz w:val="16"/>
                <w:szCs w:val="16"/>
              </w:rPr>
              <w:t>2.6</w:t>
            </w:r>
          </w:p>
        </w:tc>
        <w:tc>
          <w:tcPr>
            <w:tcW w:w="544" w:type="pct"/>
            <w:noWrap/>
            <w:hideMark/>
          </w:tcPr>
          <w:p w14:paraId="7CD9EADC" w14:textId="77777777" w:rsidR="00C15F2E" w:rsidRPr="00D96063" w:rsidRDefault="00C15F2E" w:rsidP="00053198">
            <w:pPr>
              <w:jc w:val="right"/>
              <w:rPr>
                <w:rFonts w:cs="Arial"/>
                <w:color w:val="000000"/>
                <w:sz w:val="16"/>
                <w:szCs w:val="16"/>
              </w:rPr>
            </w:pPr>
            <w:r w:rsidRPr="00D96063">
              <w:rPr>
                <w:rFonts w:cs="Arial"/>
                <w:color w:val="000000"/>
                <w:sz w:val="16"/>
                <w:szCs w:val="16"/>
              </w:rPr>
              <w:t>2.6</w:t>
            </w:r>
          </w:p>
        </w:tc>
      </w:tr>
      <w:tr w:rsidR="00C15F2E" w:rsidRPr="00D96063" w14:paraId="27DEF170"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4A8C8519" w14:textId="77777777" w:rsidR="00C15F2E" w:rsidRPr="00D96063" w:rsidRDefault="00C15F2E" w:rsidP="00053198">
            <w:pPr>
              <w:jc w:val="left"/>
              <w:rPr>
                <w:rFonts w:cs="Arial"/>
                <w:b/>
                <w:bCs/>
                <w:color w:val="000000"/>
                <w:sz w:val="16"/>
                <w:szCs w:val="16"/>
              </w:rPr>
            </w:pPr>
            <w:r w:rsidRPr="00D96063">
              <w:rPr>
                <w:rFonts w:cs="Arial"/>
                <w:b/>
                <w:bCs/>
                <w:color w:val="000000"/>
                <w:sz w:val="16"/>
                <w:szCs w:val="16"/>
              </w:rPr>
              <w:t>Asia</w:t>
            </w:r>
          </w:p>
        </w:tc>
        <w:tc>
          <w:tcPr>
            <w:tcW w:w="544" w:type="pct"/>
            <w:noWrap/>
            <w:hideMark/>
          </w:tcPr>
          <w:p w14:paraId="0BDAF23E"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31.9</w:t>
            </w:r>
          </w:p>
        </w:tc>
        <w:tc>
          <w:tcPr>
            <w:tcW w:w="544" w:type="pct"/>
            <w:noWrap/>
            <w:hideMark/>
          </w:tcPr>
          <w:p w14:paraId="698BE60D"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35.0</w:t>
            </w:r>
          </w:p>
        </w:tc>
        <w:tc>
          <w:tcPr>
            <w:tcW w:w="544" w:type="pct"/>
            <w:noWrap/>
            <w:hideMark/>
          </w:tcPr>
          <w:p w14:paraId="37055D09"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34.1</w:t>
            </w:r>
          </w:p>
        </w:tc>
        <w:tc>
          <w:tcPr>
            <w:tcW w:w="544" w:type="pct"/>
            <w:noWrap/>
            <w:hideMark/>
          </w:tcPr>
          <w:p w14:paraId="63CEF3B7"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35.6</w:t>
            </w:r>
          </w:p>
        </w:tc>
        <w:tc>
          <w:tcPr>
            <w:tcW w:w="544" w:type="pct"/>
            <w:noWrap/>
            <w:hideMark/>
          </w:tcPr>
          <w:p w14:paraId="15689E55"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39.2</w:t>
            </w:r>
          </w:p>
        </w:tc>
        <w:tc>
          <w:tcPr>
            <w:tcW w:w="544" w:type="pct"/>
            <w:noWrap/>
            <w:hideMark/>
          </w:tcPr>
          <w:p w14:paraId="698ED71A"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37.6</w:t>
            </w:r>
          </w:p>
        </w:tc>
      </w:tr>
      <w:tr w:rsidR="00C15F2E" w:rsidRPr="00D96063" w14:paraId="2BE203DD" w14:textId="77777777" w:rsidTr="00053198">
        <w:trPr>
          <w:trHeight w:val="240"/>
        </w:trPr>
        <w:tc>
          <w:tcPr>
            <w:tcW w:w="1736" w:type="pct"/>
            <w:noWrap/>
            <w:hideMark/>
          </w:tcPr>
          <w:p w14:paraId="2EE12C3B" w14:textId="1C4DA876" w:rsidR="00C15F2E" w:rsidRPr="00D96063" w:rsidRDefault="00B34425" w:rsidP="00B3442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China</w:t>
            </w:r>
          </w:p>
        </w:tc>
        <w:tc>
          <w:tcPr>
            <w:tcW w:w="544" w:type="pct"/>
            <w:noWrap/>
            <w:hideMark/>
          </w:tcPr>
          <w:p w14:paraId="0F6AA569" w14:textId="77777777" w:rsidR="00C15F2E" w:rsidRPr="00D96063" w:rsidRDefault="00C15F2E" w:rsidP="00053198">
            <w:pPr>
              <w:jc w:val="right"/>
              <w:rPr>
                <w:rFonts w:cs="Arial"/>
                <w:color w:val="000000"/>
                <w:sz w:val="16"/>
                <w:szCs w:val="16"/>
              </w:rPr>
            </w:pPr>
            <w:r w:rsidRPr="00D96063">
              <w:rPr>
                <w:rFonts w:cs="Arial"/>
                <w:color w:val="000000"/>
                <w:sz w:val="16"/>
                <w:szCs w:val="16"/>
              </w:rPr>
              <w:t>13.4</w:t>
            </w:r>
          </w:p>
        </w:tc>
        <w:tc>
          <w:tcPr>
            <w:tcW w:w="544" w:type="pct"/>
            <w:noWrap/>
            <w:hideMark/>
          </w:tcPr>
          <w:p w14:paraId="095855AF" w14:textId="77777777" w:rsidR="00C15F2E" w:rsidRPr="00D96063" w:rsidRDefault="00C15F2E" w:rsidP="00053198">
            <w:pPr>
              <w:jc w:val="right"/>
              <w:rPr>
                <w:rFonts w:cs="Arial"/>
                <w:color w:val="000000"/>
                <w:sz w:val="16"/>
                <w:szCs w:val="16"/>
              </w:rPr>
            </w:pPr>
            <w:r w:rsidRPr="00D96063">
              <w:rPr>
                <w:rFonts w:cs="Arial"/>
                <w:color w:val="000000"/>
                <w:sz w:val="16"/>
                <w:szCs w:val="16"/>
              </w:rPr>
              <w:t>16.9</w:t>
            </w:r>
          </w:p>
        </w:tc>
        <w:tc>
          <w:tcPr>
            <w:tcW w:w="544" w:type="pct"/>
            <w:noWrap/>
            <w:hideMark/>
          </w:tcPr>
          <w:p w14:paraId="1CDBD851" w14:textId="77777777" w:rsidR="00C15F2E" w:rsidRPr="00D96063" w:rsidRDefault="00C15F2E" w:rsidP="00053198">
            <w:pPr>
              <w:jc w:val="right"/>
              <w:rPr>
                <w:rFonts w:cs="Arial"/>
                <w:color w:val="000000"/>
                <w:sz w:val="16"/>
                <w:szCs w:val="16"/>
              </w:rPr>
            </w:pPr>
            <w:r w:rsidRPr="00D96063">
              <w:rPr>
                <w:rFonts w:cs="Arial"/>
                <w:color w:val="000000"/>
                <w:sz w:val="16"/>
                <w:szCs w:val="16"/>
              </w:rPr>
              <w:t>17.3</w:t>
            </w:r>
          </w:p>
        </w:tc>
        <w:tc>
          <w:tcPr>
            <w:tcW w:w="544" w:type="pct"/>
            <w:noWrap/>
            <w:hideMark/>
          </w:tcPr>
          <w:p w14:paraId="390668AD" w14:textId="77777777" w:rsidR="00C15F2E" w:rsidRPr="00D96063" w:rsidRDefault="00C15F2E" w:rsidP="00053198">
            <w:pPr>
              <w:jc w:val="right"/>
              <w:rPr>
                <w:rFonts w:cs="Arial"/>
                <w:color w:val="000000"/>
                <w:sz w:val="16"/>
                <w:szCs w:val="16"/>
              </w:rPr>
            </w:pPr>
            <w:r w:rsidRPr="00D96063">
              <w:rPr>
                <w:rFonts w:cs="Arial"/>
                <w:color w:val="000000"/>
                <w:sz w:val="16"/>
                <w:szCs w:val="16"/>
              </w:rPr>
              <w:t>16.8</w:t>
            </w:r>
          </w:p>
        </w:tc>
        <w:tc>
          <w:tcPr>
            <w:tcW w:w="544" w:type="pct"/>
            <w:noWrap/>
            <w:hideMark/>
          </w:tcPr>
          <w:p w14:paraId="45EA991A" w14:textId="77777777" w:rsidR="00C15F2E" w:rsidRPr="00D96063" w:rsidRDefault="00C15F2E" w:rsidP="00053198">
            <w:pPr>
              <w:jc w:val="right"/>
              <w:rPr>
                <w:rFonts w:cs="Arial"/>
                <w:color w:val="000000"/>
                <w:sz w:val="16"/>
                <w:szCs w:val="16"/>
              </w:rPr>
            </w:pPr>
            <w:r w:rsidRPr="00D96063">
              <w:rPr>
                <w:rFonts w:cs="Arial"/>
                <w:color w:val="000000"/>
                <w:sz w:val="16"/>
                <w:szCs w:val="16"/>
              </w:rPr>
              <w:t>19.1</w:t>
            </w:r>
          </w:p>
        </w:tc>
        <w:tc>
          <w:tcPr>
            <w:tcW w:w="544" w:type="pct"/>
            <w:noWrap/>
            <w:hideMark/>
          </w:tcPr>
          <w:p w14:paraId="540055A2" w14:textId="77777777" w:rsidR="00C15F2E" w:rsidRPr="00D96063" w:rsidRDefault="00C15F2E" w:rsidP="00053198">
            <w:pPr>
              <w:jc w:val="right"/>
              <w:rPr>
                <w:rFonts w:cs="Arial"/>
                <w:color w:val="000000"/>
                <w:sz w:val="16"/>
                <w:szCs w:val="16"/>
              </w:rPr>
            </w:pPr>
            <w:r w:rsidRPr="00D96063">
              <w:rPr>
                <w:rFonts w:cs="Arial"/>
                <w:color w:val="000000"/>
                <w:sz w:val="16"/>
                <w:szCs w:val="16"/>
              </w:rPr>
              <w:t>18.2</w:t>
            </w:r>
          </w:p>
        </w:tc>
      </w:tr>
      <w:tr w:rsidR="00C15F2E" w:rsidRPr="00D96063" w14:paraId="00AA34F5"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18BB113A" w14:textId="092E413B" w:rsidR="00C15F2E" w:rsidRPr="00D96063" w:rsidRDefault="00477BF5" w:rsidP="00B3442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Japan</w:t>
            </w:r>
          </w:p>
        </w:tc>
        <w:tc>
          <w:tcPr>
            <w:tcW w:w="544" w:type="pct"/>
            <w:noWrap/>
            <w:hideMark/>
          </w:tcPr>
          <w:p w14:paraId="5B908CAD" w14:textId="77777777" w:rsidR="00C15F2E" w:rsidRPr="00D96063" w:rsidRDefault="00C15F2E" w:rsidP="00053198">
            <w:pPr>
              <w:jc w:val="right"/>
              <w:rPr>
                <w:rFonts w:cs="Arial"/>
                <w:color w:val="000000"/>
                <w:sz w:val="16"/>
                <w:szCs w:val="16"/>
              </w:rPr>
            </w:pPr>
            <w:r w:rsidRPr="00D96063">
              <w:rPr>
                <w:rFonts w:cs="Arial"/>
                <w:color w:val="000000"/>
                <w:sz w:val="16"/>
                <w:szCs w:val="16"/>
              </w:rPr>
              <w:t>1.2</w:t>
            </w:r>
          </w:p>
        </w:tc>
        <w:tc>
          <w:tcPr>
            <w:tcW w:w="544" w:type="pct"/>
            <w:noWrap/>
            <w:hideMark/>
          </w:tcPr>
          <w:p w14:paraId="5371A1F0" w14:textId="77777777" w:rsidR="00C15F2E" w:rsidRPr="00D96063" w:rsidRDefault="00C15F2E" w:rsidP="00053198">
            <w:pPr>
              <w:jc w:val="right"/>
              <w:rPr>
                <w:rFonts w:cs="Arial"/>
                <w:color w:val="000000"/>
                <w:sz w:val="16"/>
                <w:szCs w:val="16"/>
              </w:rPr>
            </w:pPr>
            <w:r w:rsidRPr="00D96063">
              <w:rPr>
                <w:rFonts w:cs="Arial"/>
                <w:color w:val="000000"/>
                <w:sz w:val="16"/>
                <w:szCs w:val="16"/>
              </w:rPr>
              <w:t>1.1</w:t>
            </w:r>
          </w:p>
        </w:tc>
        <w:tc>
          <w:tcPr>
            <w:tcW w:w="544" w:type="pct"/>
            <w:noWrap/>
            <w:hideMark/>
          </w:tcPr>
          <w:p w14:paraId="495E4CE7" w14:textId="77777777" w:rsidR="00C15F2E" w:rsidRPr="00D96063" w:rsidRDefault="00C15F2E" w:rsidP="00053198">
            <w:pPr>
              <w:jc w:val="right"/>
              <w:rPr>
                <w:rFonts w:cs="Arial"/>
                <w:color w:val="000000"/>
                <w:sz w:val="16"/>
                <w:szCs w:val="16"/>
              </w:rPr>
            </w:pPr>
            <w:r w:rsidRPr="00D96063">
              <w:rPr>
                <w:rFonts w:cs="Arial"/>
                <w:color w:val="000000"/>
                <w:sz w:val="16"/>
                <w:szCs w:val="16"/>
              </w:rPr>
              <w:t>1.3</w:t>
            </w:r>
          </w:p>
        </w:tc>
        <w:tc>
          <w:tcPr>
            <w:tcW w:w="544" w:type="pct"/>
            <w:noWrap/>
            <w:hideMark/>
          </w:tcPr>
          <w:p w14:paraId="41B91628" w14:textId="77777777" w:rsidR="00C15F2E" w:rsidRPr="00D96063" w:rsidRDefault="00C15F2E" w:rsidP="00053198">
            <w:pPr>
              <w:jc w:val="right"/>
              <w:rPr>
                <w:rFonts w:cs="Arial"/>
                <w:color w:val="000000"/>
                <w:sz w:val="16"/>
                <w:szCs w:val="16"/>
              </w:rPr>
            </w:pPr>
            <w:r w:rsidRPr="00D96063">
              <w:rPr>
                <w:rFonts w:cs="Arial"/>
                <w:color w:val="000000"/>
                <w:sz w:val="16"/>
                <w:szCs w:val="16"/>
              </w:rPr>
              <w:t>1.6</w:t>
            </w:r>
          </w:p>
        </w:tc>
        <w:tc>
          <w:tcPr>
            <w:tcW w:w="544" w:type="pct"/>
            <w:noWrap/>
            <w:hideMark/>
          </w:tcPr>
          <w:p w14:paraId="7493C702" w14:textId="77777777" w:rsidR="00C15F2E" w:rsidRPr="00D96063" w:rsidRDefault="00C15F2E" w:rsidP="00053198">
            <w:pPr>
              <w:jc w:val="right"/>
              <w:rPr>
                <w:rFonts w:cs="Arial"/>
                <w:color w:val="000000"/>
                <w:sz w:val="16"/>
                <w:szCs w:val="16"/>
              </w:rPr>
            </w:pPr>
            <w:r w:rsidRPr="00D96063">
              <w:rPr>
                <w:rFonts w:cs="Arial"/>
                <w:color w:val="000000"/>
                <w:sz w:val="16"/>
                <w:szCs w:val="16"/>
              </w:rPr>
              <w:t>1.7</w:t>
            </w:r>
          </w:p>
        </w:tc>
        <w:tc>
          <w:tcPr>
            <w:tcW w:w="544" w:type="pct"/>
            <w:noWrap/>
            <w:hideMark/>
          </w:tcPr>
          <w:p w14:paraId="644686B2" w14:textId="77777777" w:rsidR="00C15F2E" w:rsidRPr="00D96063" w:rsidRDefault="00C15F2E" w:rsidP="00053198">
            <w:pPr>
              <w:jc w:val="right"/>
              <w:rPr>
                <w:rFonts w:cs="Arial"/>
                <w:color w:val="000000"/>
                <w:sz w:val="16"/>
                <w:szCs w:val="16"/>
              </w:rPr>
            </w:pPr>
            <w:r w:rsidRPr="00D96063">
              <w:rPr>
                <w:rFonts w:cs="Arial"/>
                <w:color w:val="000000"/>
                <w:sz w:val="16"/>
                <w:szCs w:val="16"/>
              </w:rPr>
              <w:t>1.8</w:t>
            </w:r>
          </w:p>
        </w:tc>
      </w:tr>
      <w:tr w:rsidR="00C15F2E" w:rsidRPr="00D96063" w14:paraId="4D69B6DE" w14:textId="77777777" w:rsidTr="00053198">
        <w:trPr>
          <w:trHeight w:val="240"/>
        </w:trPr>
        <w:tc>
          <w:tcPr>
            <w:tcW w:w="1736" w:type="pct"/>
            <w:noWrap/>
            <w:hideMark/>
          </w:tcPr>
          <w:p w14:paraId="1CBE49C3" w14:textId="7E06903D" w:rsidR="00C15F2E" w:rsidRPr="00D96063" w:rsidRDefault="00477BF5" w:rsidP="00477BF5">
            <w:pPr>
              <w:ind w:left="57" w:hanging="57"/>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Other Asia</w:t>
            </w:r>
          </w:p>
        </w:tc>
        <w:tc>
          <w:tcPr>
            <w:tcW w:w="544" w:type="pct"/>
            <w:noWrap/>
            <w:hideMark/>
          </w:tcPr>
          <w:p w14:paraId="4B207E81" w14:textId="77777777" w:rsidR="00C15F2E" w:rsidRPr="00D96063" w:rsidRDefault="00C15F2E" w:rsidP="00053198">
            <w:pPr>
              <w:jc w:val="right"/>
              <w:rPr>
                <w:rFonts w:cs="Arial"/>
                <w:color w:val="000000"/>
                <w:sz w:val="16"/>
                <w:szCs w:val="16"/>
              </w:rPr>
            </w:pPr>
            <w:r w:rsidRPr="00D96063">
              <w:rPr>
                <w:rFonts w:cs="Arial"/>
                <w:color w:val="000000"/>
                <w:sz w:val="16"/>
                <w:szCs w:val="16"/>
              </w:rPr>
              <w:t>17.3</w:t>
            </w:r>
          </w:p>
        </w:tc>
        <w:tc>
          <w:tcPr>
            <w:tcW w:w="544" w:type="pct"/>
            <w:noWrap/>
            <w:hideMark/>
          </w:tcPr>
          <w:p w14:paraId="38A1F6D7" w14:textId="77777777" w:rsidR="00C15F2E" w:rsidRPr="00D96063" w:rsidRDefault="00C15F2E" w:rsidP="00053198">
            <w:pPr>
              <w:jc w:val="right"/>
              <w:rPr>
                <w:rFonts w:cs="Arial"/>
                <w:color w:val="000000"/>
                <w:sz w:val="16"/>
                <w:szCs w:val="16"/>
              </w:rPr>
            </w:pPr>
            <w:r w:rsidRPr="00D96063">
              <w:rPr>
                <w:rFonts w:cs="Arial"/>
                <w:color w:val="000000"/>
                <w:sz w:val="16"/>
                <w:szCs w:val="16"/>
              </w:rPr>
              <w:t>16.9</w:t>
            </w:r>
          </w:p>
        </w:tc>
        <w:tc>
          <w:tcPr>
            <w:tcW w:w="544" w:type="pct"/>
            <w:noWrap/>
            <w:hideMark/>
          </w:tcPr>
          <w:p w14:paraId="38875B57" w14:textId="77777777" w:rsidR="00C15F2E" w:rsidRPr="00D96063" w:rsidRDefault="00C15F2E" w:rsidP="00053198">
            <w:pPr>
              <w:jc w:val="right"/>
              <w:rPr>
                <w:rFonts w:cs="Arial"/>
                <w:color w:val="000000"/>
                <w:sz w:val="16"/>
                <w:szCs w:val="16"/>
              </w:rPr>
            </w:pPr>
            <w:r w:rsidRPr="00D96063">
              <w:rPr>
                <w:rFonts w:cs="Arial"/>
                <w:color w:val="000000"/>
                <w:sz w:val="16"/>
                <w:szCs w:val="16"/>
              </w:rPr>
              <w:t>15.5</w:t>
            </w:r>
          </w:p>
        </w:tc>
        <w:tc>
          <w:tcPr>
            <w:tcW w:w="544" w:type="pct"/>
            <w:noWrap/>
            <w:hideMark/>
          </w:tcPr>
          <w:p w14:paraId="3BC7EC27" w14:textId="77777777" w:rsidR="00C15F2E" w:rsidRPr="00D96063" w:rsidRDefault="00C15F2E" w:rsidP="00053198">
            <w:pPr>
              <w:jc w:val="right"/>
              <w:rPr>
                <w:rFonts w:cs="Arial"/>
                <w:color w:val="000000"/>
                <w:sz w:val="16"/>
                <w:szCs w:val="16"/>
              </w:rPr>
            </w:pPr>
            <w:r w:rsidRPr="00D96063">
              <w:rPr>
                <w:rFonts w:cs="Arial"/>
                <w:color w:val="000000"/>
                <w:sz w:val="16"/>
                <w:szCs w:val="16"/>
              </w:rPr>
              <w:t>17.2</w:t>
            </w:r>
          </w:p>
        </w:tc>
        <w:tc>
          <w:tcPr>
            <w:tcW w:w="544" w:type="pct"/>
            <w:noWrap/>
            <w:hideMark/>
          </w:tcPr>
          <w:p w14:paraId="7FBB5BF2" w14:textId="77777777" w:rsidR="00C15F2E" w:rsidRPr="00D96063" w:rsidRDefault="00C15F2E" w:rsidP="00053198">
            <w:pPr>
              <w:jc w:val="right"/>
              <w:rPr>
                <w:rFonts w:cs="Arial"/>
                <w:color w:val="000000"/>
                <w:sz w:val="16"/>
                <w:szCs w:val="16"/>
              </w:rPr>
            </w:pPr>
            <w:r w:rsidRPr="00D96063">
              <w:rPr>
                <w:rFonts w:cs="Arial"/>
                <w:color w:val="000000"/>
                <w:sz w:val="16"/>
                <w:szCs w:val="16"/>
              </w:rPr>
              <w:t>18.3</w:t>
            </w:r>
          </w:p>
        </w:tc>
        <w:tc>
          <w:tcPr>
            <w:tcW w:w="544" w:type="pct"/>
            <w:noWrap/>
            <w:hideMark/>
          </w:tcPr>
          <w:p w14:paraId="51C35391" w14:textId="77777777" w:rsidR="00C15F2E" w:rsidRPr="00D96063" w:rsidRDefault="00C15F2E" w:rsidP="00053198">
            <w:pPr>
              <w:jc w:val="right"/>
              <w:rPr>
                <w:rFonts w:cs="Arial"/>
                <w:color w:val="000000"/>
                <w:sz w:val="16"/>
                <w:szCs w:val="16"/>
              </w:rPr>
            </w:pPr>
            <w:r w:rsidRPr="00D96063">
              <w:rPr>
                <w:rFonts w:cs="Arial"/>
                <w:color w:val="000000"/>
                <w:sz w:val="16"/>
                <w:szCs w:val="16"/>
              </w:rPr>
              <w:t>17.7</w:t>
            </w:r>
          </w:p>
        </w:tc>
      </w:tr>
      <w:tr w:rsidR="00C15F2E" w:rsidRPr="00D96063" w14:paraId="692C853F"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6B9950A4" w14:textId="4B15FD31"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India</w:t>
            </w:r>
          </w:p>
        </w:tc>
        <w:tc>
          <w:tcPr>
            <w:tcW w:w="544" w:type="pct"/>
            <w:noWrap/>
            <w:hideMark/>
          </w:tcPr>
          <w:p w14:paraId="73B7964A" w14:textId="77777777" w:rsidR="00C15F2E" w:rsidRPr="00D96063" w:rsidRDefault="00C15F2E" w:rsidP="00053198">
            <w:pPr>
              <w:jc w:val="right"/>
              <w:rPr>
                <w:rFonts w:cs="Arial"/>
                <w:color w:val="000000"/>
                <w:sz w:val="16"/>
                <w:szCs w:val="16"/>
              </w:rPr>
            </w:pPr>
            <w:r w:rsidRPr="00D96063">
              <w:rPr>
                <w:rFonts w:cs="Arial"/>
                <w:color w:val="000000"/>
                <w:sz w:val="16"/>
                <w:szCs w:val="16"/>
              </w:rPr>
              <w:t>5.9</w:t>
            </w:r>
          </w:p>
        </w:tc>
        <w:tc>
          <w:tcPr>
            <w:tcW w:w="544" w:type="pct"/>
            <w:noWrap/>
            <w:hideMark/>
          </w:tcPr>
          <w:p w14:paraId="650D98AE" w14:textId="77777777" w:rsidR="00C15F2E" w:rsidRPr="00D96063" w:rsidRDefault="00C15F2E" w:rsidP="00053198">
            <w:pPr>
              <w:jc w:val="right"/>
              <w:rPr>
                <w:rFonts w:cs="Arial"/>
                <w:color w:val="000000"/>
                <w:sz w:val="16"/>
                <w:szCs w:val="16"/>
              </w:rPr>
            </w:pPr>
            <w:r w:rsidRPr="00D96063">
              <w:rPr>
                <w:rFonts w:cs="Arial"/>
                <w:color w:val="000000"/>
                <w:sz w:val="16"/>
                <w:szCs w:val="16"/>
              </w:rPr>
              <w:t>5.8</w:t>
            </w:r>
          </w:p>
        </w:tc>
        <w:tc>
          <w:tcPr>
            <w:tcW w:w="544" w:type="pct"/>
            <w:noWrap/>
            <w:hideMark/>
          </w:tcPr>
          <w:p w14:paraId="55A73888" w14:textId="77777777" w:rsidR="00C15F2E" w:rsidRPr="00D96063" w:rsidRDefault="00C15F2E" w:rsidP="00053198">
            <w:pPr>
              <w:jc w:val="right"/>
              <w:rPr>
                <w:rFonts w:cs="Arial"/>
                <w:color w:val="000000"/>
                <w:sz w:val="16"/>
                <w:szCs w:val="16"/>
              </w:rPr>
            </w:pPr>
            <w:r w:rsidRPr="00D96063">
              <w:rPr>
                <w:rFonts w:cs="Arial"/>
                <w:color w:val="000000"/>
                <w:sz w:val="16"/>
                <w:szCs w:val="16"/>
              </w:rPr>
              <w:t>4.6</w:t>
            </w:r>
          </w:p>
        </w:tc>
        <w:tc>
          <w:tcPr>
            <w:tcW w:w="544" w:type="pct"/>
            <w:noWrap/>
            <w:hideMark/>
          </w:tcPr>
          <w:p w14:paraId="0B3093C6" w14:textId="77777777" w:rsidR="00C15F2E" w:rsidRPr="00D96063" w:rsidRDefault="00C15F2E" w:rsidP="00053198">
            <w:pPr>
              <w:jc w:val="right"/>
              <w:rPr>
                <w:rFonts w:cs="Arial"/>
                <w:color w:val="000000"/>
                <w:sz w:val="16"/>
                <w:szCs w:val="16"/>
              </w:rPr>
            </w:pPr>
            <w:r w:rsidRPr="00D96063">
              <w:rPr>
                <w:rFonts w:cs="Arial"/>
                <w:color w:val="000000"/>
                <w:sz w:val="16"/>
                <w:szCs w:val="16"/>
              </w:rPr>
              <w:t>5.0</w:t>
            </w:r>
          </w:p>
        </w:tc>
        <w:tc>
          <w:tcPr>
            <w:tcW w:w="544" w:type="pct"/>
            <w:noWrap/>
            <w:hideMark/>
          </w:tcPr>
          <w:p w14:paraId="61A1C8A7" w14:textId="77777777" w:rsidR="00C15F2E" w:rsidRPr="00D96063" w:rsidRDefault="00C15F2E" w:rsidP="00053198">
            <w:pPr>
              <w:jc w:val="right"/>
              <w:rPr>
                <w:rFonts w:cs="Arial"/>
                <w:color w:val="000000"/>
                <w:sz w:val="16"/>
                <w:szCs w:val="16"/>
              </w:rPr>
            </w:pPr>
            <w:r w:rsidRPr="00D96063">
              <w:rPr>
                <w:rFonts w:cs="Arial"/>
                <w:color w:val="000000"/>
                <w:sz w:val="16"/>
                <w:szCs w:val="16"/>
              </w:rPr>
              <w:t>5.7</w:t>
            </w:r>
          </w:p>
        </w:tc>
        <w:tc>
          <w:tcPr>
            <w:tcW w:w="544" w:type="pct"/>
            <w:noWrap/>
            <w:hideMark/>
          </w:tcPr>
          <w:p w14:paraId="169B9193" w14:textId="77777777" w:rsidR="00C15F2E" w:rsidRPr="00D96063" w:rsidRDefault="00C15F2E" w:rsidP="00053198">
            <w:pPr>
              <w:jc w:val="right"/>
              <w:rPr>
                <w:rFonts w:cs="Arial"/>
                <w:color w:val="000000"/>
                <w:sz w:val="16"/>
                <w:szCs w:val="16"/>
              </w:rPr>
            </w:pPr>
            <w:r w:rsidRPr="00D96063">
              <w:rPr>
                <w:rFonts w:cs="Arial"/>
                <w:color w:val="000000"/>
                <w:sz w:val="16"/>
                <w:szCs w:val="16"/>
              </w:rPr>
              <w:t>5.6</w:t>
            </w:r>
          </w:p>
        </w:tc>
      </w:tr>
      <w:tr w:rsidR="00C15F2E" w:rsidRPr="00D96063" w14:paraId="041DEBF5" w14:textId="77777777" w:rsidTr="00053198">
        <w:trPr>
          <w:trHeight w:val="240"/>
        </w:trPr>
        <w:tc>
          <w:tcPr>
            <w:tcW w:w="1736" w:type="pct"/>
            <w:noWrap/>
            <w:hideMark/>
          </w:tcPr>
          <w:p w14:paraId="6C00C1B6" w14:textId="10A2317B"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Viet Nam</w:t>
            </w:r>
          </w:p>
        </w:tc>
        <w:tc>
          <w:tcPr>
            <w:tcW w:w="544" w:type="pct"/>
            <w:noWrap/>
            <w:hideMark/>
          </w:tcPr>
          <w:p w14:paraId="74145EAC" w14:textId="77777777" w:rsidR="00C15F2E" w:rsidRPr="00D96063" w:rsidRDefault="00C15F2E" w:rsidP="00053198">
            <w:pPr>
              <w:jc w:val="right"/>
              <w:rPr>
                <w:rFonts w:cs="Arial"/>
                <w:color w:val="000000"/>
                <w:sz w:val="16"/>
                <w:szCs w:val="16"/>
              </w:rPr>
            </w:pPr>
            <w:r w:rsidRPr="00D96063">
              <w:rPr>
                <w:rFonts w:cs="Arial"/>
                <w:color w:val="000000"/>
                <w:sz w:val="16"/>
                <w:szCs w:val="16"/>
              </w:rPr>
              <w:t>1.8</w:t>
            </w:r>
          </w:p>
        </w:tc>
        <w:tc>
          <w:tcPr>
            <w:tcW w:w="544" w:type="pct"/>
            <w:noWrap/>
            <w:hideMark/>
          </w:tcPr>
          <w:p w14:paraId="4C80DA8E" w14:textId="77777777" w:rsidR="00C15F2E" w:rsidRPr="00D96063" w:rsidRDefault="00C15F2E" w:rsidP="00053198">
            <w:pPr>
              <w:jc w:val="right"/>
              <w:rPr>
                <w:rFonts w:cs="Arial"/>
                <w:color w:val="000000"/>
                <w:sz w:val="16"/>
                <w:szCs w:val="16"/>
              </w:rPr>
            </w:pPr>
            <w:r w:rsidRPr="00D96063">
              <w:rPr>
                <w:rFonts w:cs="Arial"/>
                <w:color w:val="000000"/>
                <w:sz w:val="16"/>
                <w:szCs w:val="16"/>
              </w:rPr>
              <w:t>2.8</w:t>
            </w:r>
          </w:p>
        </w:tc>
        <w:tc>
          <w:tcPr>
            <w:tcW w:w="544" w:type="pct"/>
            <w:noWrap/>
            <w:hideMark/>
          </w:tcPr>
          <w:p w14:paraId="064D4CFC" w14:textId="77777777" w:rsidR="00C15F2E" w:rsidRPr="00D96063" w:rsidRDefault="00C15F2E" w:rsidP="00053198">
            <w:pPr>
              <w:jc w:val="right"/>
              <w:rPr>
                <w:rFonts w:cs="Arial"/>
                <w:color w:val="000000"/>
                <w:sz w:val="16"/>
                <w:szCs w:val="16"/>
              </w:rPr>
            </w:pPr>
            <w:r w:rsidRPr="00D96063">
              <w:rPr>
                <w:rFonts w:cs="Arial"/>
                <w:color w:val="000000"/>
                <w:sz w:val="16"/>
                <w:szCs w:val="16"/>
              </w:rPr>
              <w:t>1.9</w:t>
            </w:r>
          </w:p>
        </w:tc>
        <w:tc>
          <w:tcPr>
            <w:tcW w:w="544" w:type="pct"/>
            <w:noWrap/>
            <w:hideMark/>
          </w:tcPr>
          <w:p w14:paraId="5E8F1964" w14:textId="77777777" w:rsidR="00C15F2E" w:rsidRPr="00D96063" w:rsidRDefault="00C15F2E" w:rsidP="00053198">
            <w:pPr>
              <w:jc w:val="right"/>
              <w:rPr>
                <w:rFonts w:cs="Arial"/>
                <w:color w:val="000000"/>
                <w:sz w:val="16"/>
                <w:szCs w:val="16"/>
              </w:rPr>
            </w:pPr>
            <w:r w:rsidRPr="00D96063">
              <w:rPr>
                <w:rFonts w:cs="Arial"/>
                <w:color w:val="000000"/>
                <w:sz w:val="16"/>
                <w:szCs w:val="16"/>
              </w:rPr>
              <w:t>2.3</w:t>
            </w:r>
          </w:p>
        </w:tc>
        <w:tc>
          <w:tcPr>
            <w:tcW w:w="544" w:type="pct"/>
            <w:noWrap/>
            <w:hideMark/>
          </w:tcPr>
          <w:p w14:paraId="32CDF3DC" w14:textId="77777777" w:rsidR="00C15F2E" w:rsidRPr="00D96063" w:rsidRDefault="00C15F2E" w:rsidP="00053198">
            <w:pPr>
              <w:jc w:val="right"/>
              <w:rPr>
                <w:rFonts w:cs="Arial"/>
                <w:color w:val="000000"/>
                <w:sz w:val="16"/>
                <w:szCs w:val="16"/>
              </w:rPr>
            </w:pPr>
            <w:r w:rsidRPr="00D96063">
              <w:rPr>
                <w:rFonts w:cs="Arial"/>
                <w:color w:val="000000"/>
                <w:sz w:val="16"/>
                <w:szCs w:val="16"/>
              </w:rPr>
              <w:t>2.9</w:t>
            </w:r>
          </w:p>
        </w:tc>
        <w:tc>
          <w:tcPr>
            <w:tcW w:w="544" w:type="pct"/>
            <w:noWrap/>
            <w:hideMark/>
          </w:tcPr>
          <w:p w14:paraId="2211134B" w14:textId="77777777" w:rsidR="00C15F2E" w:rsidRPr="00D96063" w:rsidRDefault="00C15F2E" w:rsidP="00053198">
            <w:pPr>
              <w:jc w:val="right"/>
              <w:rPr>
                <w:rFonts w:cs="Arial"/>
                <w:color w:val="000000"/>
                <w:sz w:val="16"/>
                <w:szCs w:val="16"/>
              </w:rPr>
            </w:pPr>
            <w:r w:rsidRPr="00D96063">
              <w:rPr>
                <w:rFonts w:cs="Arial"/>
                <w:color w:val="000000"/>
                <w:sz w:val="16"/>
                <w:szCs w:val="16"/>
              </w:rPr>
              <w:t>3.0</w:t>
            </w:r>
          </w:p>
        </w:tc>
      </w:tr>
      <w:tr w:rsidR="00C15F2E" w:rsidRPr="00D96063" w14:paraId="586093EC" w14:textId="77777777" w:rsidTr="00053198">
        <w:trPr>
          <w:cnfStyle w:val="000000010000" w:firstRow="0" w:lastRow="0" w:firstColumn="0" w:lastColumn="0" w:oddVBand="0" w:evenVBand="0" w:oddHBand="0" w:evenHBand="1" w:firstRowFirstColumn="0" w:firstRowLastColumn="0" w:lastRowFirstColumn="0" w:lastRowLastColumn="0"/>
          <w:trHeight w:val="240"/>
        </w:trPr>
        <w:tc>
          <w:tcPr>
            <w:tcW w:w="1736" w:type="pct"/>
            <w:noWrap/>
            <w:hideMark/>
          </w:tcPr>
          <w:p w14:paraId="0AF1C2F7" w14:textId="70714C7B"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 xml:space="preserve">Republic of Korea </w:t>
            </w:r>
          </w:p>
        </w:tc>
        <w:tc>
          <w:tcPr>
            <w:tcW w:w="544" w:type="pct"/>
            <w:noWrap/>
            <w:hideMark/>
          </w:tcPr>
          <w:p w14:paraId="77D1309B" w14:textId="77777777" w:rsidR="00C15F2E" w:rsidRPr="00D96063" w:rsidRDefault="00C15F2E" w:rsidP="00053198">
            <w:pPr>
              <w:jc w:val="right"/>
              <w:rPr>
                <w:rFonts w:cs="Arial"/>
                <w:color w:val="000000"/>
                <w:sz w:val="16"/>
                <w:szCs w:val="16"/>
              </w:rPr>
            </w:pPr>
            <w:r w:rsidRPr="00D96063">
              <w:rPr>
                <w:rFonts w:cs="Arial"/>
                <w:color w:val="000000"/>
                <w:sz w:val="16"/>
                <w:szCs w:val="16"/>
              </w:rPr>
              <w:t>1.7</w:t>
            </w:r>
          </w:p>
        </w:tc>
        <w:tc>
          <w:tcPr>
            <w:tcW w:w="544" w:type="pct"/>
            <w:noWrap/>
            <w:hideMark/>
          </w:tcPr>
          <w:p w14:paraId="2F4290F6" w14:textId="77777777" w:rsidR="00C15F2E" w:rsidRPr="00D96063" w:rsidRDefault="00C15F2E" w:rsidP="00053198">
            <w:pPr>
              <w:jc w:val="right"/>
              <w:rPr>
                <w:rFonts w:cs="Arial"/>
                <w:color w:val="000000"/>
                <w:sz w:val="16"/>
                <w:szCs w:val="16"/>
              </w:rPr>
            </w:pPr>
            <w:r w:rsidRPr="00D96063">
              <w:rPr>
                <w:rFonts w:cs="Arial"/>
                <w:color w:val="000000"/>
                <w:sz w:val="16"/>
                <w:szCs w:val="16"/>
              </w:rPr>
              <w:t>1.8</w:t>
            </w:r>
          </w:p>
        </w:tc>
        <w:tc>
          <w:tcPr>
            <w:tcW w:w="544" w:type="pct"/>
            <w:noWrap/>
            <w:hideMark/>
          </w:tcPr>
          <w:p w14:paraId="27C00183" w14:textId="77777777" w:rsidR="00C15F2E" w:rsidRPr="00D96063" w:rsidRDefault="00C15F2E" w:rsidP="00053198">
            <w:pPr>
              <w:jc w:val="right"/>
              <w:rPr>
                <w:rFonts w:cs="Arial"/>
                <w:color w:val="000000"/>
                <w:sz w:val="16"/>
                <w:szCs w:val="16"/>
              </w:rPr>
            </w:pPr>
            <w:r w:rsidRPr="00D96063">
              <w:rPr>
                <w:rFonts w:cs="Arial"/>
                <w:color w:val="000000"/>
                <w:sz w:val="16"/>
                <w:szCs w:val="16"/>
              </w:rPr>
              <w:t>2.4</w:t>
            </w:r>
          </w:p>
        </w:tc>
        <w:tc>
          <w:tcPr>
            <w:tcW w:w="544" w:type="pct"/>
            <w:noWrap/>
            <w:hideMark/>
          </w:tcPr>
          <w:p w14:paraId="0C06D7C2" w14:textId="77777777" w:rsidR="00C15F2E" w:rsidRPr="00D96063" w:rsidRDefault="00C15F2E" w:rsidP="00053198">
            <w:pPr>
              <w:jc w:val="right"/>
              <w:rPr>
                <w:rFonts w:cs="Arial"/>
                <w:color w:val="000000"/>
                <w:sz w:val="16"/>
                <w:szCs w:val="16"/>
              </w:rPr>
            </w:pPr>
            <w:r w:rsidRPr="00D96063">
              <w:rPr>
                <w:rFonts w:cs="Arial"/>
                <w:color w:val="000000"/>
                <w:sz w:val="16"/>
                <w:szCs w:val="16"/>
              </w:rPr>
              <w:t>2.4</w:t>
            </w:r>
          </w:p>
        </w:tc>
        <w:tc>
          <w:tcPr>
            <w:tcW w:w="544" w:type="pct"/>
            <w:noWrap/>
            <w:hideMark/>
          </w:tcPr>
          <w:p w14:paraId="7D8FE6CB" w14:textId="77777777" w:rsidR="00C15F2E" w:rsidRPr="00D96063" w:rsidRDefault="00C15F2E" w:rsidP="00053198">
            <w:pPr>
              <w:jc w:val="right"/>
              <w:rPr>
                <w:rFonts w:cs="Arial"/>
                <w:color w:val="000000"/>
                <w:sz w:val="16"/>
                <w:szCs w:val="16"/>
              </w:rPr>
            </w:pPr>
            <w:r w:rsidRPr="00D96063">
              <w:rPr>
                <w:rFonts w:cs="Arial"/>
                <w:color w:val="000000"/>
                <w:sz w:val="16"/>
                <w:szCs w:val="16"/>
              </w:rPr>
              <w:t>2.5</w:t>
            </w:r>
          </w:p>
        </w:tc>
        <w:tc>
          <w:tcPr>
            <w:tcW w:w="544" w:type="pct"/>
            <w:noWrap/>
            <w:hideMark/>
          </w:tcPr>
          <w:p w14:paraId="1495F83A" w14:textId="77777777" w:rsidR="00C15F2E" w:rsidRPr="00D96063" w:rsidRDefault="00C15F2E" w:rsidP="00053198">
            <w:pPr>
              <w:jc w:val="right"/>
              <w:rPr>
                <w:rFonts w:cs="Arial"/>
                <w:color w:val="000000"/>
                <w:sz w:val="16"/>
                <w:szCs w:val="16"/>
              </w:rPr>
            </w:pPr>
            <w:r w:rsidRPr="00D96063">
              <w:rPr>
                <w:rFonts w:cs="Arial"/>
                <w:color w:val="000000"/>
                <w:sz w:val="16"/>
                <w:szCs w:val="16"/>
              </w:rPr>
              <w:t>2.4</w:t>
            </w:r>
          </w:p>
        </w:tc>
      </w:tr>
      <w:tr w:rsidR="00C15F2E" w:rsidRPr="00D96063" w14:paraId="5DB62956" w14:textId="77777777" w:rsidTr="00792A33">
        <w:trPr>
          <w:trHeight w:val="240"/>
        </w:trPr>
        <w:tc>
          <w:tcPr>
            <w:tcW w:w="1736" w:type="pct"/>
            <w:tcBorders>
              <w:bottom w:val="nil"/>
            </w:tcBorders>
            <w:noWrap/>
            <w:hideMark/>
          </w:tcPr>
          <w:p w14:paraId="0C17B02F" w14:textId="1043E33D" w:rsidR="00C15F2E" w:rsidRPr="00D96063" w:rsidRDefault="00477BF5" w:rsidP="00477BF5">
            <w:pPr>
              <w:ind w:left="284" w:hanging="284"/>
              <w:jc w:val="left"/>
              <w:rPr>
                <w:rFonts w:cs="Arial"/>
                <w:color w:val="000000"/>
                <w:sz w:val="16"/>
                <w:szCs w:val="16"/>
              </w:rPr>
            </w:pPr>
            <w:r w:rsidRPr="00D96063">
              <w:rPr>
                <w:rFonts w:cs="Arial"/>
                <w:color w:val="000000"/>
                <w:sz w:val="16"/>
                <w:szCs w:val="16"/>
              </w:rPr>
              <w:tab/>
            </w:r>
            <w:r w:rsidR="00C15F2E" w:rsidRPr="00D96063">
              <w:rPr>
                <w:rFonts w:cs="Arial"/>
                <w:color w:val="000000"/>
                <w:sz w:val="16"/>
                <w:szCs w:val="16"/>
              </w:rPr>
              <w:t>Thailand</w:t>
            </w:r>
          </w:p>
        </w:tc>
        <w:tc>
          <w:tcPr>
            <w:tcW w:w="544" w:type="pct"/>
            <w:tcBorders>
              <w:bottom w:val="nil"/>
            </w:tcBorders>
            <w:noWrap/>
            <w:hideMark/>
          </w:tcPr>
          <w:p w14:paraId="03CEC0B0" w14:textId="77777777" w:rsidR="00C15F2E" w:rsidRPr="00D96063" w:rsidRDefault="00C15F2E" w:rsidP="00053198">
            <w:pPr>
              <w:jc w:val="right"/>
              <w:rPr>
                <w:rFonts w:cs="Arial"/>
                <w:color w:val="000000"/>
                <w:sz w:val="16"/>
                <w:szCs w:val="16"/>
              </w:rPr>
            </w:pPr>
            <w:r w:rsidRPr="00D96063">
              <w:rPr>
                <w:rFonts w:cs="Arial"/>
                <w:color w:val="000000"/>
                <w:sz w:val="16"/>
                <w:szCs w:val="16"/>
              </w:rPr>
              <w:t>3.4</w:t>
            </w:r>
          </w:p>
        </w:tc>
        <w:tc>
          <w:tcPr>
            <w:tcW w:w="544" w:type="pct"/>
            <w:tcBorders>
              <w:bottom w:val="nil"/>
            </w:tcBorders>
            <w:noWrap/>
            <w:hideMark/>
          </w:tcPr>
          <w:p w14:paraId="2DC2C999" w14:textId="77777777" w:rsidR="00C15F2E" w:rsidRPr="00D96063" w:rsidRDefault="00C15F2E" w:rsidP="00053198">
            <w:pPr>
              <w:jc w:val="right"/>
              <w:rPr>
                <w:rFonts w:cs="Arial"/>
                <w:color w:val="000000"/>
                <w:sz w:val="16"/>
                <w:szCs w:val="16"/>
              </w:rPr>
            </w:pPr>
            <w:r w:rsidRPr="00D96063">
              <w:rPr>
                <w:rFonts w:cs="Arial"/>
                <w:color w:val="000000"/>
                <w:sz w:val="16"/>
                <w:szCs w:val="16"/>
              </w:rPr>
              <w:t>1.9</w:t>
            </w:r>
          </w:p>
        </w:tc>
        <w:tc>
          <w:tcPr>
            <w:tcW w:w="544" w:type="pct"/>
            <w:tcBorders>
              <w:bottom w:val="nil"/>
            </w:tcBorders>
            <w:noWrap/>
            <w:hideMark/>
          </w:tcPr>
          <w:p w14:paraId="24BCCC20" w14:textId="77777777" w:rsidR="00C15F2E" w:rsidRPr="00D96063" w:rsidRDefault="00C15F2E" w:rsidP="00053198">
            <w:pPr>
              <w:jc w:val="right"/>
              <w:rPr>
                <w:rFonts w:cs="Arial"/>
                <w:color w:val="000000"/>
                <w:sz w:val="16"/>
                <w:szCs w:val="16"/>
              </w:rPr>
            </w:pPr>
            <w:r w:rsidRPr="00D96063">
              <w:rPr>
                <w:rFonts w:cs="Arial"/>
                <w:color w:val="000000"/>
                <w:sz w:val="16"/>
                <w:szCs w:val="16"/>
              </w:rPr>
              <w:t>1.3</w:t>
            </w:r>
          </w:p>
        </w:tc>
        <w:tc>
          <w:tcPr>
            <w:tcW w:w="544" w:type="pct"/>
            <w:tcBorders>
              <w:bottom w:val="nil"/>
            </w:tcBorders>
            <w:noWrap/>
            <w:hideMark/>
          </w:tcPr>
          <w:p w14:paraId="79EF9D6C" w14:textId="77777777" w:rsidR="00C15F2E" w:rsidRPr="00D96063" w:rsidRDefault="00C15F2E" w:rsidP="00053198">
            <w:pPr>
              <w:jc w:val="right"/>
              <w:rPr>
                <w:rFonts w:cs="Arial"/>
                <w:color w:val="000000"/>
                <w:sz w:val="16"/>
                <w:szCs w:val="16"/>
              </w:rPr>
            </w:pPr>
            <w:r w:rsidRPr="00D96063">
              <w:rPr>
                <w:rFonts w:cs="Arial"/>
                <w:color w:val="000000"/>
                <w:sz w:val="16"/>
                <w:szCs w:val="16"/>
              </w:rPr>
              <w:t>2.0</w:t>
            </w:r>
          </w:p>
        </w:tc>
        <w:tc>
          <w:tcPr>
            <w:tcW w:w="544" w:type="pct"/>
            <w:tcBorders>
              <w:bottom w:val="nil"/>
            </w:tcBorders>
            <w:noWrap/>
            <w:hideMark/>
          </w:tcPr>
          <w:p w14:paraId="7877221B" w14:textId="77777777" w:rsidR="00C15F2E" w:rsidRPr="00D96063" w:rsidRDefault="00C15F2E" w:rsidP="00053198">
            <w:pPr>
              <w:jc w:val="right"/>
              <w:rPr>
                <w:rFonts w:cs="Arial"/>
                <w:color w:val="000000"/>
                <w:sz w:val="16"/>
                <w:szCs w:val="16"/>
              </w:rPr>
            </w:pPr>
            <w:r w:rsidRPr="00D96063">
              <w:rPr>
                <w:rFonts w:cs="Arial"/>
                <w:color w:val="000000"/>
                <w:sz w:val="16"/>
                <w:szCs w:val="16"/>
              </w:rPr>
              <w:t>1.8</w:t>
            </w:r>
          </w:p>
        </w:tc>
        <w:tc>
          <w:tcPr>
            <w:tcW w:w="544" w:type="pct"/>
            <w:tcBorders>
              <w:bottom w:val="nil"/>
            </w:tcBorders>
            <w:noWrap/>
            <w:hideMark/>
          </w:tcPr>
          <w:p w14:paraId="0D6458FA" w14:textId="77777777" w:rsidR="00C15F2E" w:rsidRPr="00D96063" w:rsidRDefault="00C15F2E" w:rsidP="00053198">
            <w:pPr>
              <w:jc w:val="right"/>
              <w:rPr>
                <w:rFonts w:cs="Arial"/>
                <w:color w:val="000000"/>
                <w:sz w:val="16"/>
                <w:szCs w:val="16"/>
              </w:rPr>
            </w:pPr>
            <w:r w:rsidRPr="00D96063">
              <w:rPr>
                <w:rFonts w:cs="Arial"/>
                <w:color w:val="000000"/>
                <w:sz w:val="16"/>
                <w:szCs w:val="16"/>
              </w:rPr>
              <w:t>1.3</w:t>
            </w:r>
          </w:p>
        </w:tc>
      </w:tr>
      <w:tr w:rsidR="00C15F2E" w:rsidRPr="00D96063" w14:paraId="5F1FF0F6" w14:textId="77777777" w:rsidTr="00792A33">
        <w:trPr>
          <w:cnfStyle w:val="000000010000" w:firstRow="0" w:lastRow="0" w:firstColumn="0" w:lastColumn="0" w:oddVBand="0" w:evenVBand="0" w:oddHBand="0" w:evenHBand="1" w:firstRowFirstColumn="0" w:firstRowLastColumn="0" w:lastRowFirstColumn="0" w:lastRowLastColumn="0"/>
          <w:trHeight w:val="240"/>
        </w:trPr>
        <w:tc>
          <w:tcPr>
            <w:tcW w:w="1736" w:type="pct"/>
            <w:tcBorders>
              <w:top w:val="nil"/>
              <w:bottom w:val="single" w:sz="4" w:space="0" w:color="auto"/>
            </w:tcBorders>
            <w:noWrap/>
            <w:hideMark/>
          </w:tcPr>
          <w:p w14:paraId="305CC320" w14:textId="77777777" w:rsidR="00C15F2E" w:rsidRPr="00D96063" w:rsidRDefault="00C15F2E" w:rsidP="00053198">
            <w:pPr>
              <w:jc w:val="left"/>
              <w:rPr>
                <w:rFonts w:cs="Arial"/>
                <w:b/>
                <w:bCs/>
                <w:color w:val="000000"/>
                <w:sz w:val="16"/>
                <w:szCs w:val="16"/>
              </w:rPr>
            </w:pPr>
            <w:r w:rsidRPr="00D96063">
              <w:rPr>
                <w:rFonts w:cs="Arial"/>
                <w:b/>
                <w:bCs/>
                <w:color w:val="000000"/>
                <w:sz w:val="16"/>
                <w:szCs w:val="16"/>
              </w:rPr>
              <w:t>Other</w:t>
            </w:r>
          </w:p>
        </w:tc>
        <w:tc>
          <w:tcPr>
            <w:tcW w:w="544" w:type="pct"/>
            <w:tcBorders>
              <w:top w:val="nil"/>
              <w:bottom w:val="single" w:sz="4" w:space="0" w:color="auto"/>
            </w:tcBorders>
            <w:noWrap/>
            <w:hideMark/>
          </w:tcPr>
          <w:p w14:paraId="71B67844"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4.1</w:t>
            </w:r>
          </w:p>
        </w:tc>
        <w:tc>
          <w:tcPr>
            <w:tcW w:w="544" w:type="pct"/>
            <w:tcBorders>
              <w:top w:val="nil"/>
              <w:bottom w:val="single" w:sz="4" w:space="0" w:color="auto"/>
            </w:tcBorders>
            <w:noWrap/>
            <w:hideMark/>
          </w:tcPr>
          <w:p w14:paraId="0030BA26"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4.0</w:t>
            </w:r>
          </w:p>
        </w:tc>
        <w:tc>
          <w:tcPr>
            <w:tcW w:w="544" w:type="pct"/>
            <w:tcBorders>
              <w:top w:val="nil"/>
              <w:bottom w:val="single" w:sz="4" w:space="0" w:color="auto"/>
            </w:tcBorders>
            <w:noWrap/>
            <w:hideMark/>
          </w:tcPr>
          <w:p w14:paraId="6861F794"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2.6</w:t>
            </w:r>
          </w:p>
        </w:tc>
        <w:tc>
          <w:tcPr>
            <w:tcW w:w="544" w:type="pct"/>
            <w:tcBorders>
              <w:top w:val="nil"/>
              <w:bottom w:val="single" w:sz="4" w:space="0" w:color="auto"/>
            </w:tcBorders>
            <w:noWrap/>
            <w:hideMark/>
          </w:tcPr>
          <w:p w14:paraId="1163D651"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0.1</w:t>
            </w:r>
          </w:p>
        </w:tc>
        <w:tc>
          <w:tcPr>
            <w:tcW w:w="544" w:type="pct"/>
            <w:tcBorders>
              <w:top w:val="nil"/>
              <w:bottom w:val="single" w:sz="4" w:space="0" w:color="auto"/>
            </w:tcBorders>
            <w:noWrap/>
            <w:hideMark/>
          </w:tcPr>
          <w:p w14:paraId="3E21925B"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0.4</w:t>
            </w:r>
          </w:p>
        </w:tc>
        <w:tc>
          <w:tcPr>
            <w:tcW w:w="544" w:type="pct"/>
            <w:tcBorders>
              <w:top w:val="nil"/>
              <w:bottom w:val="single" w:sz="4" w:space="0" w:color="auto"/>
            </w:tcBorders>
            <w:noWrap/>
            <w:hideMark/>
          </w:tcPr>
          <w:p w14:paraId="28F877FD" w14:textId="77777777" w:rsidR="00C15F2E" w:rsidRPr="00D96063" w:rsidRDefault="00C15F2E" w:rsidP="00053198">
            <w:pPr>
              <w:jc w:val="right"/>
              <w:rPr>
                <w:rFonts w:cs="Arial"/>
                <w:b/>
                <w:bCs/>
                <w:color w:val="000000"/>
                <w:sz w:val="16"/>
                <w:szCs w:val="16"/>
              </w:rPr>
            </w:pPr>
            <w:r w:rsidRPr="00D96063">
              <w:rPr>
                <w:rFonts w:cs="Arial"/>
                <w:b/>
                <w:bCs/>
                <w:color w:val="000000"/>
                <w:sz w:val="16"/>
                <w:szCs w:val="16"/>
              </w:rPr>
              <w:t>0.2</w:t>
            </w:r>
          </w:p>
        </w:tc>
      </w:tr>
    </w:tbl>
    <w:p w14:paraId="676BF537" w14:textId="77777777" w:rsidR="00C15F2E" w:rsidRPr="00D96063" w:rsidRDefault="00C15F2E" w:rsidP="0038223D">
      <w:pPr>
        <w:pStyle w:val="NoteText"/>
        <w:spacing w:before="120" w:after="120"/>
        <w:rPr>
          <w:lang w:eastAsia="en-GB"/>
        </w:rPr>
      </w:pPr>
      <w:r w:rsidRPr="00D96063">
        <w:rPr>
          <w:lang w:eastAsia="en-GB"/>
        </w:rPr>
        <w:t>a</w:t>
      </w:r>
      <w:r w:rsidRPr="00D96063">
        <w:rPr>
          <w:lang w:eastAsia="en-GB"/>
        </w:rPr>
        <w:tab/>
        <w:t>Commonwealth of Independent States, including certain associate and former member States.</w:t>
      </w:r>
    </w:p>
    <w:p w14:paraId="33AB35BE" w14:textId="20A8D9A3" w:rsidR="00C15F2E" w:rsidRDefault="00C15F2E" w:rsidP="0038223D">
      <w:pPr>
        <w:pStyle w:val="NoteText"/>
        <w:spacing w:before="120" w:after="240"/>
        <w:rPr>
          <w:lang w:eastAsia="en-GB"/>
        </w:rPr>
      </w:pPr>
      <w:r w:rsidRPr="00D96063">
        <w:rPr>
          <w:lang w:eastAsia="en-GB"/>
        </w:rPr>
        <w:t>Source:</w:t>
      </w:r>
      <w:r w:rsidRPr="00D96063">
        <w:rPr>
          <w:lang w:eastAsia="en-GB"/>
        </w:rPr>
        <w:tab/>
        <w:t>WTO Secretariat calculations, based on UN Comtrade.</w:t>
      </w:r>
    </w:p>
    <w:p w14:paraId="3A1C6C4A" w14:textId="6F732933" w:rsidR="0000116E" w:rsidRPr="0000116E" w:rsidRDefault="0000116E" w:rsidP="0000116E">
      <w:pPr>
        <w:jc w:val="center"/>
        <w:rPr>
          <w:lang w:eastAsia="en-GB"/>
        </w:rPr>
      </w:pPr>
      <w:r>
        <w:rPr>
          <w:b/>
          <w:lang w:eastAsia="en-GB"/>
        </w:rPr>
        <w:t>__________</w:t>
      </w:r>
    </w:p>
    <w:sectPr w:rsidR="0000116E" w:rsidRPr="0000116E" w:rsidSect="0009597E">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0313" w14:textId="77777777" w:rsidR="00240C37" w:rsidRDefault="00240C37" w:rsidP="00C15F2E">
      <w:r>
        <w:separator/>
      </w:r>
    </w:p>
  </w:endnote>
  <w:endnote w:type="continuationSeparator" w:id="0">
    <w:p w14:paraId="0016FE11" w14:textId="77777777" w:rsidR="00240C37" w:rsidRDefault="00240C37" w:rsidP="00C1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charset w:val="80"/>
    <w:family w:val="auto"/>
    <w:pitch w:val="default"/>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58F" w14:textId="1CF3FBFE" w:rsidR="00C15F2E" w:rsidRPr="004F6A77" w:rsidRDefault="004F6A77" w:rsidP="004F6A77">
    <w:pPr>
      <w:pStyle w:val="Footer"/>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07A6" w14:textId="77777777" w:rsidR="00C15F2E" w:rsidRPr="00804893" w:rsidRDefault="00C15F2E" w:rsidP="00804893">
    <w:pPr>
      <w:pStyle w:val="Footer"/>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0910" w14:textId="77777777" w:rsidR="00C15F2E" w:rsidRDefault="00C15F2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1B31" w14:textId="77777777" w:rsidR="00C15F2E" w:rsidRPr="00804893" w:rsidRDefault="00C15F2E" w:rsidP="00804893">
    <w:pPr>
      <w:pStyle w:val="Footer"/>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F151" w14:textId="77777777" w:rsidR="00C15F2E" w:rsidRPr="00804893" w:rsidRDefault="00C15F2E" w:rsidP="00804893">
    <w:pPr>
      <w:pStyle w:val="Footer"/>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6263" w14:textId="77777777" w:rsidR="00C15F2E" w:rsidRDefault="00C15F2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F1F2" w14:textId="77777777" w:rsidR="00C15F2E" w:rsidRPr="008F33F8" w:rsidRDefault="00C15F2E" w:rsidP="008F33F8">
    <w:pPr>
      <w:pStyle w:val="Footer"/>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1B25" w14:textId="77777777" w:rsidR="00C15F2E" w:rsidRPr="008F33F8" w:rsidRDefault="00C15F2E" w:rsidP="008F33F8">
    <w:pPr>
      <w:pStyle w:val="Footer"/>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F50B" w14:textId="77777777" w:rsidR="00C15F2E" w:rsidRDefault="00C15F2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E27" w14:textId="77777777" w:rsidR="00C15F2E" w:rsidRPr="00F62A02" w:rsidRDefault="00C15F2E" w:rsidP="00F62A02">
    <w:pPr>
      <w:pStyle w:val="Footer"/>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65E" w14:textId="77777777" w:rsidR="00C15F2E" w:rsidRPr="00F62A02" w:rsidRDefault="00C15F2E" w:rsidP="00F62A0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7CE5" w14:textId="4BBABAA4" w:rsidR="00C15F2E" w:rsidRPr="004F6A77" w:rsidRDefault="004F6A77" w:rsidP="004F6A77">
    <w:pPr>
      <w:pStyle w:val="Footer"/>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16C0" w14:textId="77777777" w:rsidR="00C15F2E" w:rsidRDefault="00C15F2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1AA3" w14:textId="77777777" w:rsidR="00352F58" w:rsidRPr="004656FC" w:rsidRDefault="00352F58" w:rsidP="004656FC">
    <w:pPr>
      <w:pStyle w:val="Footer"/>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BA32" w14:textId="77777777" w:rsidR="00352F58" w:rsidRPr="004656FC" w:rsidRDefault="00352F58" w:rsidP="004656FC">
    <w:pPr>
      <w:pStyle w:val="Footer"/>
    </w:pP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0B39" w14:textId="77777777" w:rsidR="00352F58" w:rsidRDefault="00352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A098" w14:textId="77777777" w:rsidR="00C15F2E" w:rsidRPr="000433FB" w:rsidRDefault="00C15F2E" w:rsidP="000433FB">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3CB8" w14:textId="77777777" w:rsidR="00C15F2E" w:rsidRPr="000433FB" w:rsidRDefault="00C15F2E" w:rsidP="000433FB">
    <w:pPr>
      <w:pStyle w:val="Foo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7FE5" w14:textId="77777777" w:rsidR="00C15F2E" w:rsidRDefault="00C15F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7A96" w14:textId="77777777" w:rsidR="00C15F2E" w:rsidRPr="000433FB" w:rsidRDefault="00C15F2E" w:rsidP="000433FB">
    <w:pPr>
      <w:pStyle w:val="Footer"/>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DD96" w14:textId="77777777" w:rsidR="00C15F2E" w:rsidRPr="000433FB" w:rsidRDefault="00C15F2E" w:rsidP="000433FB">
    <w:pPr>
      <w:pStyle w:val="Footer"/>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81BB" w14:textId="77777777" w:rsidR="00C15F2E" w:rsidRDefault="00C15F2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4701" w14:textId="77777777" w:rsidR="00C15F2E" w:rsidRPr="00804893" w:rsidRDefault="00C15F2E" w:rsidP="0080489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08D5" w14:textId="77777777" w:rsidR="00240C37" w:rsidRDefault="00240C37" w:rsidP="00C15F2E">
      <w:r>
        <w:separator/>
      </w:r>
    </w:p>
  </w:footnote>
  <w:footnote w:type="continuationSeparator" w:id="0">
    <w:p w14:paraId="7FF1F737" w14:textId="77777777" w:rsidR="00240C37" w:rsidRDefault="00240C37" w:rsidP="00C15F2E">
      <w:r>
        <w:continuationSeparator/>
      </w:r>
    </w:p>
  </w:footnote>
  <w:footnote w:id="1">
    <w:p w14:paraId="75471069" w14:textId="77777777" w:rsidR="00C15F2E" w:rsidRPr="00D96063" w:rsidRDefault="00C15F2E" w:rsidP="004E08B7">
      <w:pPr>
        <w:pStyle w:val="FootnoteText"/>
      </w:pPr>
      <w:r w:rsidRPr="00D96063">
        <w:rPr>
          <w:rStyle w:val="FootnoteReference"/>
        </w:rPr>
        <w:footnoteRef/>
      </w:r>
      <w:r w:rsidRPr="00D96063">
        <w:t xml:space="preserve"> Heritage Foundation, </w:t>
      </w:r>
      <w:r w:rsidRPr="00D96063">
        <w:rPr>
          <w:i/>
          <w:iCs/>
        </w:rPr>
        <w:t>2022 Index of Economic Freedom: Ghana</w:t>
      </w:r>
      <w:r w:rsidRPr="00D96063">
        <w:t xml:space="preserve">. Viewed at: </w:t>
      </w:r>
      <w:hyperlink w:history="1">
        <w:r w:rsidRPr="00D96063">
          <w:rPr>
            <w:rStyle w:val="Hyperlink"/>
          </w:rPr>
          <w:t>https://www.heritage.org/index/country/ghana</w:t>
        </w:r>
      </w:hyperlink>
      <w:r w:rsidRPr="007A1409">
        <w:rPr>
          <w:rStyle w:val="Hyperlink"/>
          <w:color w:val="auto"/>
          <w:u w:val="none"/>
        </w:rPr>
        <w:t>.</w:t>
      </w:r>
    </w:p>
  </w:footnote>
  <w:footnote w:id="2">
    <w:p w14:paraId="424D92DE" w14:textId="77777777" w:rsidR="00C15F2E" w:rsidRPr="00D96063" w:rsidRDefault="00C15F2E" w:rsidP="004E08B7">
      <w:pPr>
        <w:pStyle w:val="FootnoteText"/>
      </w:pPr>
      <w:r w:rsidRPr="00D96063">
        <w:rPr>
          <w:rStyle w:val="FootnoteReference"/>
        </w:rPr>
        <w:footnoteRef/>
      </w:r>
      <w:r w:rsidRPr="00D96063">
        <w:t xml:space="preserve"> World Bank, </w:t>
      </w:r>
      <w:r w:rsidRPr="00D96063">
        <w:rPr>
          <w:i/>
          <w:iCs/>
        </w:rPr>
        <w:t>Data for Ghana</w:t>
      </w:r>
      <w:r w:rsidRPr="00D96063">
        <w:t xml:space="preserve">. Viewed at: </w:t>
      </w:r>
      <w:hyperlink w:history="1">
        <w:r w:rsidRPr="00D96063">
          <w:rPr>
            <w:rStyle w:val="Hyperlink"/>
          </w:rPr>
          <w:t>https://data.worldbank.org/?locations=GH-XN</w:t>
        </w:r>
      </w:hyperlink>
      <w:r w:rsidRPr="00D96063">
        <w:t>.</w:t>
      </w:r>
    </w:p>
  </w:footnote>
  <w:footnote w:id="3">
    <w:p w14:paraId="350818E7" w14:textId="77777777" w:rsidR="00C15F2E" w:rsidRPr="00D96063" w:rsidRDefault="00C15F2E" w:rsidP="004E08B7">
      <w:pPr>
        <w:pStyle w:val="FootnoteText"/>
      </w:pPr>
      <w:r w:rsidRPr="00D96063">
        <w:rPr>
          <w:rStyle w:val="FootnoteReference"/>
        </w:rPr>
        <w:footnoteRef/>
      </w:r>
      <w:r w:rsidRPr="00D96063">
        <w:t xml:space="preserve"> IMF (2017), </w:t>
      </w:r>
      <w:r w:rsidRPr="00D96063">
        <w:rPr>
          <w:i/>
          <w:iCs/>
        </w:rPr>
        <w:t>Ghana:</w:t>
      </w:r>
      <w:r w:rsidRPr="00D96063">
        <w:t xml:space="preserve"> </w:t>
      </w:r>
      <w:r w:rsidRPr="00D96063">
        <w:rPr>
          <w:i/>
          <w:iCs/>
        </w:rPr>
        <w:t>2017 Article IV Consultation, Fourth Review Under the Extended Credit Facility Arrangement, Request for Waiver for Nonobservance of Performance Criteria, and Request for Extension of Rephrasing of the Arrangement</w:t>
      </w:r>
      <w:r w:rsidRPr="00D96063">
        <w:t xml:space="preserve">, IMF Country Report No. 17/262. Viewed at: </w:t>
      </w:r>
      <w:hyperlink w:history="1">
        <w:r w:rsidRPr="00D96063">
          <w:rPr>
            <w:rStyle w:val="Hyperlink"/>
          </w:rPr>
          <w:t>https://www.imf.org/en/Publications/CR/Issues/2017/09/06/Ghana-2017-Article-IV-Consultation-Fourth-Review-Under-the-Extended-Credit-Facility-45224</w:t>
        </w:r>
      </w:hyperlink>
      <w:r w:rsidRPr="007A1409">
        <w:rPr>
          <w:rStyle w:val="Hyperlink"/>
          <w:color w:val="auto"/>
          <w:u w:val="none"/>
        </w:rPr>
        <w:t>.</w:t>
      </w:r>
      <w:r w:rsidRPr="00D96063">
        <w:t xml:space="preserve"> </w:t>
      </w:r>
    </w:p>
  </w:footnote>
  <w:footnote w:id="4">
    <w:p w14:paraId="12B02FFC" w14:textId="77777777" w:rsidR="00C15F2E" w:rsidRPr="00D96063" w:rsidRDefault="00C15F2E" w:rsidP="004E08B7">
      <w:pPr>
        <w:pStyle w:val="FootnoteText"/>
      </w:pPr>
      <w:r w:rsidRPr="00D96063">
        <w:rPr>
          <w:rStyle w:val="FootnoteReference"/>
        </w:rPr>
        <w:footnoteRef/>
      </w:r>
      <w:r w:rsidRPr="00D96063">
        <w:t xml:space="preserve"> IMF (2021), </w:t>
      </w:r>
      <w:r w:rsidRPr="00D96063">
        <w:rPr>
          <w:i/>
          <w:iCs/>
        </w:rPr>
        <w:t>Ghana: Staff Report for the Article IV Consultation</w:t>
      </w:r>
      <w:r w:rsidRPr="00D96063">
        <w:t xml:space="preserve">, IMF Country Report No. 21/165. Viewed at: </w:t>
      </w:r>
      <w:hyperlink w:history="1">
        <w:r w:rsidRPr="00D96063">
          <w:rPr>
            <w:rStyle w:val="Hyperlink"/>
          </w:rPr>
          <w:t>https://www.imf.org/en/Publications/CR/Issues/2021/07/23/Ghana-2021-Article-IV-Consultation-Press-Release-Staff-Report-and-Statement-by-the-462570</w:t>
        </w:r>
      </w:hyperlink>
      <w:r w:rsidRPr="007A1409">
        <w:rPr>
          <w:rStyle w:val="Hyperlink"/>
          <w:color w:val="auto"/>
          <w:u w:val="none"/>
        </w:rPr>
        <w:t>.</w:t>
      </w:r>
    </w:p>
  </w:footnote>
  <w:footnote w:id="5">
    <w:p w14:paraId="0C2D96C4" w14:textId="77777777" w:rsidR="00C15F2E" w:rsidRPr="00D96063" w:rsidRDefault="00C15F2E" w:rsidP="004E08B7">
      <w:pPr>
        <w:pStyle w:val="FootnoteText"/>
      </w:pPr>
      <w:r w:rsidRPr="00D96063">
        <w:rPr>
          <w:rStyle w:val="FootnoteReference"/>
        </w:rPr>
        <w:footnoteRef/>
      </w:r>
      <w:r w:rsidRPr="00D96063">
        <w:t xml:space="preserve"> The Government signed power purchase agreements with independent power producers prior to 2017 that require generation capacity payments even when the plants involved are idle.  </w:t>
      </w:r>
    </w:p>
  </w:footnote>
  <w:footnote w:id="6">
    <w:p w14:paraId="4BFD83DE" w14:textId="77777777" w:rsidR="00C15F2E" w:rsidRPr="00D96063" w:rsidRDefault="00C15F2E" w:rsidP="004E08B7">
      <w:pPr>
        <w:pStyle w:val="FootnoteText"/>
      </w:pPr>
      <w:r w:rsidRPr="00D96063">
        <w:rPr>
          <w:rStyle w:val="FootnoteReference"/>
        </w:rPr>
        <w:footnoteRef/>
      </w:r>
      <w:r w:rsidRPr="00D96063">
        <w:t xml:space="preserve"> IMF Country Report No. 21/165.</w:t>
      </w:r>
    </w:p>
  </w:footnote>
  <w:footnote w:id="7">
    <w:p w14:paraId="57B8AAFF" w14:textId="77777777" w:rsidR="00C15F2E" w:rsidRPr="00D96063" w:rsidRDefault="00C15F2E" w:rsidP="004E08B7">
      <w:pPr>
        <w:pStyle w:val="FootnoteText"/>
      </w:pPr>
      <w:r w:rsidRPr="00D96063">
        <w:rPr>
          <w:rStyle w:val="FootnoteReference"/>
        </w:rPr>
        <w:footnoteRef/>
      </w:r>
      <w:r w:rsidRPr="00D96063">
        <w:t xml:space="preserve"> IMF Country Report No. 21/165</w:t>
      </w:r>
      <w:r w:rsidRPr="00D96063">
        <w:rPr>
          <w:szCs w:val="16"/>
        </w:rPr>
        <w:t>, p. 27.</w:t>
      </w:r>
    </w:p>
  </w:footnote>
  <w:footnote w:id="8">
    <w:p w14:paraId="6284E030" w14:textId="77777777" w:rsidR="00C15F2E" w:rsidRPr="00D96063" w:rsidRDefault="00C15F2E" w:rsidP="004E08B7">
      <w:pPr>
        <w:pStyle w:val="FootnoteText"/>
      </w:pPr>
      <w:r w:rsidRPr="00D96063">
        <w:rPr>
          <w:rStyle w:val="FootnoteReference"/>
        </w:rPr>
        <w:footnoteRef/>
      </w:r>
      <w:r w:rsidRPr="00D96063">
        <w:t xml:space="preserve"> Ministry of Communications and Digitalisation, </w:t>
      </w:r>
      <w:r w:rsidRPr="00D96063">
        <w:rPr>
          <w:i/>
          <w:iCs/>
        </w:rPr>
        <w:t>Government Embarks on Digital Inclusion Agenda</w:t>
      </w:r>
      <w:r w:rsidRPr="00D96063">
        <w:t xml:space="preserve">. Viewed at: </w:t>
      </w:r>
      <w:hyperlink r:id="rId1" w:history="1">
        <w:r w:rsidRPr="00D96063">
          <w:rPr>
            <w:rStyle w:val="Hyperlink"/>
          </w:rPr>
          <w:t>https://www.moc.gov.gh/government-embarks-digital-inclusion-agenda</w:t>
        </w:r>
      </w:hyperlink>
      <w:r w:rsidRPr="007A1409">
        <w:rPr>
          <w:rStyle w:val="Hyperlink"/>
          <w:color w:val="auto"/>
          <w:u w:val="none"/>
        </w:rPr>
        <w:t>.</w:t>
      </w:r>
    </w:p>
  </w:footnote>
  <w:footnote w:id="9">
    <w:p w14:paraId="1E996C54" w14:textId="77777777" w:rsidR="00C15F2E" w:rsidRPr="00D96063" w:rsidRDefault="00C15F2E" w:rsidP="004E08B7">
      <w:pPr>
        <w:pStyle w:val="FootnoteText"/>
      </w:pPr>
      <w:r w:rsidRPr="00D96063">
        <w:rPr>
          <w:rStyle w:val="FootnoteReference"/>
        </w:rPr>
        <w:footnoteRef/>
      </w:r>
      <w:r w:rsidRPr="00D96063">
        <w:t xml:space="preserve"> For example, there have been regular requests for duty-free vehicle imports by Members of Parliament, see: Arhinful, E. (2021), "MPs, Council of State Members to Get $13.3M Tax Waiver on Imported Cars", </w:t>
      </w:r>
      <w:r w:rsidRPr="00D96063">
        <w:rPr>
          <w:i/>
          <w:iCs/>
        </w:rPr>
        <w:t>CNR</w:t>
      </w:r>
      <w:r w:rsidRPr="00D96063">
        <w:t xml:space="preserve">, 14 July. Viewed at: </w:t>
      </w:r>
      <w:hyperlink r:id="rId2" w:history="1">
        <w:r w:rsidRPr="00D96063">
          <w:rPr>
            <w:rStyle w:val="Hyperlink"/>
          </w:rPr>
          <w:t>https://citinewsroom.com/2021/07/mps-council-of-state-members-to-get-13-3m-tax-waiver-on-imported-cars/</w:t>
        </w:r>
      </w:hyperlink>
      <w:r w:rsidRPr="007A1409">
        <w:rPr>
          <w:rStyle w:val="Hyperlink"/>
          <w:color w:val="auto"/>
          <w:u w:val="none"/>
        </w:rPr>
        <w:t>.</w:t>
      </w:r>
    </w:p>
  </w:footnote>
  <w:footnote w:id="10">
    <w:p w14:paraId="7EDD92A7" w14:textId="77777777" w:rsidR="00C15F2E" w:rsidRPr="00D96063" w:rsidRDefault="00C15F2E" w:rsidP="004E08B7">
      <w:pPr>
        <w:pStyle w:val="FootnoteText"/>
      </w:pPr>
      <w:r w:rsidRPr="00D96063">
        <w:rPr>
          <w:rStyle w:val="FootnoteReference"/>
        </w:rPr>
        <w:footnoteRef/>
      </w:r>
      <w:r w:rsidRPr="00D96063">
        <w:t xml:space="preserve"> IMF Country Report No. 21/165, p. 51.</w:t>
      </w:r>
    </w:p>
  </w:footnote>
  <w:footnote w:id="11">
    <w:p w14:paraId="154FFD18" w14:textId="77777777" w:rsidR="00C15F2E" w:rsidRPr="00D96063" w:rsidRDefault="00C15F2E" w:rsidP="004E08B7">
      <w:pPr>
        <w:pStyle w:val="FootnoteText"/>
      </w:pPr>
      <w:r w:rsidRPr="00D96063">
        <w:rPr>
          <w:rStyle w:val="FootnoteReference"/>
        </w:rPr>
        <w:footnoteRef/>
      </w:r>
      <w:r w:rsidRPr="00D96063">
        <w:t xml:space="preserve"> IMF Country Report No. 21/165</w:t>
      </w:r>
      <w:r w:rsidRPr="00D96063">
        <w:rPr>
          <w:szCs w:val="16"/>
        </w:rPr>
        <w:t>.</w:t>
      </w:r>
    </w:p>
  </w:footnote>
  <w:footnote w:id="12">
    <w:p w14:paraId="38AD2EE7" w14:textId="77777777" w:rsidR="00C15F2E" w:rsidRPr="00D96063" w:rsidRDefault="00C15F2E" w:rsidP="004E08B7">
      <w:pPr>
        <w:pStyle w:val="FootnoteText"/>
      </w:pPr>
      <w:r w:rsidRPr="00D96063">
        <w:rPr>
          <w:rStyle w:val="FootnoteReference"/>
        </w:rPr>
        <w:footnoteRef/>
      </w:r>
      <w:r w:rsidRPr="00D96063">
        <w:t xml:space="preserve"> IMF (2019), </w:t>
      </w:r>
      <w:r w:rsidRPr="00D96063">
        <w:rPr>
          <w:i/>
          <w:iCs/>
        </w:rPr>
        <w:t>Ghana: Staff Report for the 2019 Article IV Consultation</w:t>
      </w:r>
      <w:r w:rsidRPr="00D96063">
        <w:t xml:space="preserve">, IMF Country Report No. 19/367, p. 14. Viewed at: </w:t>
      </w:r>
      <w:hyperlink w:history="1">
        <w:r w:rsidRPr="00D96063">
          <w:rPr>
            <w:rStyle w:val="Hyperlink"/>
          </w:rPr>
          <w:t>https://www.imf.org/en/Publications/CR/Issues/2019/12/18/Ghana-2019-Article-IV-Consultation-Press-Release-Staff-Report-and-Statement-by-the-Executive-48883</w:t>
        </w:r>
      </w:hyperlink>
      <w:r w:rsidRPr="00D96063">
        <w:t>.</w:t>
      </w:r>
    </w:p>
  </w:footnote>
  <w:footnote w:id="13">
    <w:p w14:paraId="66ED1BB2" w14:textId="77777777" w:rsidR="00C15F2E" w:rsidRPr="00D96063" w:rsidRDefault="00C15F2E" w:rsidP="004E08B7">
      <w:pPr>
        <w:pStyle w:val="FootnoteText"/>
      </w:pPr>
      <w:r w:rsidRPr="00D96063">
        <w:rPr>
          <w:rStyle w:val="FootnoteReference"/>
        </w:rPr>
        <w:footnoteRef/>
      </w:r>
      <w:r w:rsidRPr="00D96063">
        <w:t xml:space="preserve"> Bank of Ghana (Amendment) Act, 2016 (Act 918), Section 16.</w:t>
      </w:r>
    </w:p>
  </w:footnote>
  <w:footnote w:id="14">
    <w:p w14:paraId="314C7C51" w14:textId="77777777" w:rsidR="00C15F2E" w:rsidRPr="00D96063" w:rsidRDefault="00C15F2E" w:rsidP="004E08B7">
      <w:pPr>
        <w:pStyle w:val="FootnoteText"/>
      </w:pPr>
      <w:r w:rsidRPr="00D96063">
        <w:rPr>
          <w:rStyle w:val="FootnoteReference"/>
        </w:rPr>
        <w:footnoteRef/>
      </w:r>
      <w:r w:rsidRPr="00D96063">
        <w:t xml:space="preserve"> IMF Country Report No. 21/165.</w:t>
      </w:r>
    </w:p>
  </w:footnote>
  <w:footnote w:id="15">
    <w:p w14:paraId="5E4A048B" w14:textId="77777777" w:rsidR="00C15F2E" w:rsidRPr="00D96063" w:rsidRDefault="00C15F2E" w:rsidP="004E08B7">
      <w:pPr>
        <w:pStyle w:val="FootnoteText"/>
      </w:pPr>
      <w:r w:rsidRPr="00D96063">
        <w:rPr>
          <w:rStyle w:val="FootnoteReference"/>
          <w:szCs w:val="16"/>
        </w:rPr>
        <w:footnoteRef/>
      </w:r>
      <w:r w:rsidRPr="00D96063">
        <w:t xml:space="preserve"> See for example the case of Twitter: Twitter (2021), "Establishing Twitter's Presence in Africa, 12 April. Viewed at: </w:t>
      </w:r>
      <w:hyperlink r:id="rId3" w:history="1">
        <w:r w:rsidRPr="00D96063">
          <w:rPr>
            <w:rStyle w:val="Hyperlink"/>
          </w:rPr>
          <w:t>https://blog.twitter.com/en_us/topics/company/2021/establishing-twitter-s-presence-in-africa</w:t>
        </w:r>
      </w:hyperlink>
      <w:r w:rsidRPr="00D96063">
        <w:t xml:space="preserve">. Microsoft has also chosen to establish a Centre of Excellence in Ghana. Africa Outlook, </w:t>
      </w:r>
      <w:r w:rsidRPr="00D96063">
        <w:rPr>
          <w:i/>
          <w:iCs/>
        </w:rPr>
        <w:t>Accra to Become First 'Centre of Excellence' in Africa with Microsoft CityNext Applications</w:t>
      </w:r>
      <w:r w:rsidRPr="00D96063">
        <w:t xml:space="preserve">. Viewed at: </w:t>
      </w:r>
      <w:hyperlink w:history="1">
        <w:r w:rsidRPr="00D96063">
          <w:rPr>
            <w:rStyle w:val="Hyperlink"/>
            <w:color w:val="0000FF"/>
          </w:rPr>
          <w:t>https://www.africaoutlookmag.com/industry-insights/article/721-accra-to-become-first-centre-of-excellence-in-africa-with-microsoft-citynext-applications</w:t>
        </w:r>
      </w:hyperlink>
      <w:r w:rsidRPr="00D96063">
        <w:t>.</w:t>
      </w:r>
    </w:p>
  </w:footnote>
  <w:footnote w:id="16">
    <w:p w14:paraId="589D2F85" w14:textId="77777777" w:rsidR="00C15F2E" w:rsidRPr="00D96063" w:rsidRDefault="00C15F2E" w:rsidP="00CB59D4">
      <w:pPr>
        <w:pStyle w:val="FootnoteText"/>
      </w:pPr>
      <w:r w:rsidRPr="00D96063">
        <w:rPr>
          <w:rStyle w:val="FootnoteReference"/>
        </w:rPr>
        <w:footnoteRef/>
      </w:r>
      <w:r w:rsidRPr="00D96063">
        <w:t xml:space="preserve"> The Constitution was viewed at: </w:t>
      </w:r>
      <w:hyperlink r:id="rId4" w:history="1">
        <w:r w:rsidRPr="00D96063">
          <w:rPr>
            <w:rStyle w:val="Hyperlink"/>
          </w:rPr>
          <w:t>https://judicial.gov.gh/index.php/preamble</w:t>
        </w:r>
      </w:hyperlink>
      <w:r w:rsidRPr="00D96063">
        <w:t>.</w:t>
      </w:r>
    </w:p>
  </w:footnote>
  <w:footnote w:id="17">
    <w:p w14:paraId="2134F828" w14:textId="77777777" w:rsidR="00C15F2E" w:rsidRPr="00D96063" w:rsidRDefault="00C15F2E" w:rsidP="00CB59D4">
      <w:pPr>
        <w:pStyle w:val="FootnoteText"/>
      </w:pPr>
      <w:r w:rsidRPr="00D96063">
        <w:rPr>
          <w:rStyle w:val="FootnoteReference"/>
        </w:rPr>
        <w:footnoteRef/>
      </w:r>
      <w:r w:rsidRPr="00D96063">
        <w:t xml:space="preserve"> There are 10 Commercial Courts in Accra, 2 in Cape Coast, 2 in Koforidua, 4 in Kumasi, 2 in Sekondi</w:t>
      </w:r>
      <w:r w:rsidRPr="00D96063">
        <w:noBreakHyphen/>
        <w:t xml:space="preserve">Takoradi, 2 in Sunyani, and 2 in Tamale. Standing International Forum of Commercial Courts, </w:t>
      </w:r>
      <w:r w:rsidRPr="00D96063">
        <w:rPr>
          <w:i/>
          <w:iCs/>
        </w:rPr>
        <w:t>Ghana</w:t>
      </w:r>
      <w:r w:rsidRPr="00D96063">
        <w:t xml:space="preserve">. Viewed at: </w:t>
      </w:r>
      <w:hyperlink r:id="rId5" w:history="1">
        <w:r w:rsidRPr="00D96063">
          <w:rPr>
            <w:rStyle w:val="Hyperlink"/>
          </w:rPr>
          <w:t>https://sifocc.org/countries/ghana/</w:t>
        </w:r>
      </w:hyperlink>
      <w:r w:rsidRPr="007A1409">
        <w:rPr>
          <w:rStyle w:val="Hyperlink"/>
          <w:color w:val="auto"/>
          <w:u w:val="none"/>
        </w:rPr>
        <w:t>.</w:t>
      </w:r>
    </w:p>
  </w:footnote>
  <w:footnote w:id="18">
    <w:p w14:paraId="0820CD28" w14:textId="77777777" w:rsidR="00C15F2E" w:rsidRPr="00D96063" w:rsidRDefault="00C15F2E" w:rsidP="00CB59D4">
      <w:pPr>
        <w:pStyle w:val="FootnoteText"/>
      </w:pPr>
      <w:r w:rsidRPr="00D96063">
        <w:rPr>
          <w:rStyle w:val="FootnoteReference"/>
        </w:rPr>
        <w:footnoteRef/>
      </w:r>
      <w:r w:rsidRPr="00D96063">
        <w:t xml:space="preserve"> MOTI's website is: </w:t>
      </w:r>
      <w:hyperlink r:id="rId6" w:history="1">
        <w:r w:rsidRPr="00D96063">
          <w:rPr>
            <w:rStyle w:val="Hyperlink"/>
          </w:rPr>
          <w:t>https://www.moti.gov.gh/</w:t>
        </w:r>
      </w:hyperlink>
      <w:r w:rsidRPr="00D96063">
        <w:t xml:space="preserve">. GEPA's website is: </w:t>
      </w:r>
      <w:hyperlink r:id="rId7" w:history="1">
        <w:r w:rsidRPr="00D96063">
          <w:rPr>
            <w:rStyle w:val="Hyperlink"/>
          </w:rPr>
          <w:t>https://www.gepaghana.org/</w:t>
        </w:r>
      </w:hyperlink>
      <w:r w:rsidRPr="007A1409">
        <w:rPr>
          <w:rStyle w:val="Hyperlink"/>
          <w:color w:val="auto"/>
          <w:u w:val="none"/>
        </w:rPr>
        <w:t>.</w:t>
      </w:r>
    </w:p>
  </w:footnote>
  <w:footnote w:id="19">
    <w:p w14:paraId="6D6B3AF7" w14:textId="77777777" w:rsidR="00C15F2E" w:rsidRPr="00D96063" w:rsidRDefault="00C15F2E" w:rsidP="00CB59D4">
      <w:pPr>
        <w:pStyle w:val="FootnoteText"/>
      </w:pPr>
      <w:r w:rsidRPr="00D96063">
        <w:rPr>
          <w:rStyle w:val="FootnoteReference"/>
        </w:rPr>
        <w:footnoteRef/>
      </w:r>
      <w:r w:rsidRPr="00D96063">
        <w:t xml:space="preserve"> The Ghana Business Regulatory Reform Portal contains a selection of trade-related legislation: </w:t>
      </w:r>
      <w:hyperlink r:id="rId8" w:history="1">
        <w:r w:rsidRPr="00D96063">
          <w:rPr>
            <w:rStyle w:val="Hyperlink"/>
          </w:rPr>
          <w:t>https://www.bcp.gov.gh/new/regulations.php</w:t>
        </w:r>
      </w:hyperlink>
      <w:r w:rsidRPr="007A1409">
        <w:rPr>
          <w:rStyle w:val="Hyperlink"/>
          <w:color w:val="auto"/>
          <w:u w:val="none"/>
        </w:rPr>
        <w:t>.</w:t>
      </w:r>
    </w:p>
  </w:footnote>
  <w:footnote w:id="20">
    <w:p w14:paraId="45C201DA" w14:textId="77777777" w:rsidR="00C15F2E" w:rsidRPr="00D96063" w:rsidRDefault="00C15F2E" w:rsidP="00CB59D4">
      <w:pPr>
        <w:pStyle w:val="FootnoteText"/>
      </w:pPr>
      <w:r w:rsidRPr="00D96063">
        <w:rPr>
          <w:rStyle w:val="FootnoteReference"/>
        </w:rPr>
        <w:footnoteRef/>
      </w:r>
      <w:r w:rsidRPr="00D96063">
        <w:t xml:space="preserve"> WTO, </w:t>
      </w:r>
      <w:r w:rsidRPr="00D96063">
        <w:rPr>
          <w:i/>
          <w:iCs/>
        </w:rPr>
        <w:t>Ghana and the WTO</w:t>
      </w:r>
      <w:r w:rsidRPr="00D96063">
        <w:t xml:space="preserve">. Viewed at: </w:t>
      </w:r>
      <w:hyperlink r:id="rId9" w:history="1">
        <w:r w:rsidRPr="00D96063">
          <w:rPr>
            <w:rStyle w:val="Hyperlink"/>
          </w:rPr>
          <w:t>https://www.wto.org/english/thewto_e/countries_e/ghana_e.htm</w:t>
        </w:r>
      </w:hyperlink>
      <w:r w:rsidRPr="007A1409">
        <w:rPr>
          <w:rStyle w:val="Hyperlink"/>
          <w:color w:val="auto"/>
          <w:u w:val="none"/>
        </w:rPr>
        <w:t xml:space="preserve">. Ghana </w:t>
      </w:r>
      <w:r w:rsidRPr="00D96063">
        <w:rPr>
          <w:shd w:val="clear" w:color="auto" w:fill="FFFFFF"/>
        </w:rPr>
        <w:t>was involved as a third party in the dispute relating to the European Union's regime for the importation, sale, and distribution of bananas.</w:t>
      </w:r>
    </w:p>
  </w:footnote>
  <w:footnote w:id="21">
    <w:p w14:paraId="3ECDE63B" w14:textId="77777777" w:rsidR="00C15F2E" w:rsidRPr="00D96063" w:rsidRDefault="00C15F2E" w:rsidP="00CB59D4">
      <w:pPr>
        <w:pStyle w:val="FootnoteText"/>
      </w:pPr>
      <w:r w:rsidRPr="00D96063">
        <w:rPr>
          <w:rStyle w:val="FootnoteReference"/>
        </w:rPr>
        <w:footnoteRef/>
      </w:r>
      <w:r w:rsidRPr="00D96063">
        <w:t xml:space="preserve"> ECOWAS. Viewed at: </w:t>
      </w:r>
      <w:hyperlink r:id="rId10" w:history="1"/>
      <w:hyperlink r:id="rId11" w:history="1">
        <w:r w:rsidRPr="00D96063">
          <w:rPr>
            <w:rStyle w:val="Hyperlink"/>
          </w:rPr>
          <w:t>https://www.ecowas.int/</w:t>
        </w:r>
      </w:hyperlink>
      <w:r w:rsidRPr="007A1409">
        <w:rPr>
          <w:rStyle w:val="Hyperlink"/>
          <w:color w:val="auto"/>
          <w:u w:val="none"/>
        </w:rPr>
        <w:t>.</w:t>
      </w:r>
    </w:p>
  </w:footnote>
  <w:footnote w:id="22">
    <w:p w14:paraId="7C063DB2" w14:textId="77777777" w:rsidR="00C15F2E" w:rsidRPr="00D96063" w:rsidRDefault="00C15F2E" w:rsidP="00CB59D4">
      <w:pPr>
        <w:pStyle w:val="FootnoteText"/>
      </w:pPr>
      <w:r w:rsidRPr="00D96063">
        <w:rPr>
          <w:rStyle w:val="FootnoteReference"/>
        </w:rPr>
        <w:footnoteRef/>
      </w:r>
      <w:r w:rsidRPr="00D96063">
        <w:t xml:space="preserve"> Ghana Revenue Authority, </w:t>
      </w:r>
      <w:r w:rsidRPr="00D96063">
        <w:rPr>
          <w:i/>
          <w:iCs/>
        </w:rPr>
        <w:t>Full Implementation of the ECOWAS Protocol</w:t>
      </w:r>
      <w:r w:rsidRPr="007A1409">
        <w:rPr>
          <w:rStyle w:val="Hyperlink"/>
          <w:color w:val="auto"/>
          <w:u w:val="none"/>
        </w:rPr>
        <w:t xml:space="preserve">. Viewed at: </w:t>
      </w:r>
      <w:hyperlink r:id="rId12" w:history="1">
        <w:r w:rsidRPr="00D96063">
          <w:rPr>
            <w:rStyle w:val="Hyperlink"/>
          </w:rPr>
          <w:t>https://gra.gov.gh/news/portfolio/full-implementation-of-the-ecowas-protocol/</w:t>
        </w:r>
      </w:hyperlink>
      <w:r w:rsidRPr="007A1409">
        <w:rPr>
          <w:rStyle w:val="Hyperlink"/>
          <w:color w:val="auto"/>
          <w:u w:val="none"/>
        </w:rPr>
        <w:t>.</w:t>
      </w:r>
    </w:p>
  </w:footnote>
  <w:footnote w:id="23">
    <w:p w14:paraId="1679D4D2" w14:textId="77777777" w:rsidR="00C15F2E" w:rsidRPr="00D96063" w:rsidRDefault="00C15F2E" w:rsidP="00CB59D4">
      <w:pPr>
        <w:pStyle w:val="FootnoteText"/>
      </w:pPr>
      <w:r w:rsidRPr="00D96063">
        <w:rPr>
          <w:rStyle w:val="FootnoteReference"/>
        </w:rPr>
        <w:footnoteRef/>
      </w:r>
      <w:r w:rsidRPr="00D96063">
        <w:t xml:space="preserve"> ECOWAS (2016), </w:t>
      </w:r>
      <w:r w:rsidRPr="00D96063">
        <w:rPr>
          <w:i/>
          <w:iCs/>
        </w:rPr>
        <w:t>2016 Annual Report</w:t>
      </w:r>
      <w:r w:rsidRPr="00D96063">
        <w:t xml:space="preserve">. Viewed at: </w:t>
      </w:r>
      <w:hyperlink r:id="rId13" w:history="1">
        <w:r w:rsidRPr="00D96063">
          <w:rPr>
            <w:rStyle w:val="Hyperlink"/>
          </w:rPr>
          <w:t>https://www.ecowas.int/wp-content/uploads/2017/11/Annual-Report-2016_English-Fina_Final.pdf</w:t>
        </w:r>
      </w:hyperlink>
      <w:r w:rsidRPr="007A1409">
        <w:rPr>
          <w:rStyle w:val="Hyperlink"/>
          <w:color w:val="auto"/>
          <w:u w:val="none"/>
        </w:rPr>
        <w:t>.</w:t>
      </w:r>
      <w:r w:rsidRPr="00D96063">
        <w:t xml:space="preserve"> </w:t>
      </w:r>
    </w:p>
  </w:footnote>
  <w:footnote w:id="24">
    <w:p w14:paraId="5AE63934" w14:textId="77777777" w:rsidR="00C15F2E" w:rsidRPr="00D96063" w:rsidRDefault="00C15F2E" w:rsidP="00CB59D4">
      <w:pPr>
        <w:pStyle w:val="FootnoteText"/>
      </w:pPr>
      <w:r w:rsidRPr="00D96063">
        <w:rPr>
          <w:rStyle w:val="FootnoteReference"/>
        </w:rPr>
        <w:footnoteRef/>
      </w:r>
      <w:r w:rsidRPr="007A1409">
        <w:rPr>
          <w:lang w:val="es-ES"/>
        </w:rPr>
        <w:t xml:space="preserve"> PIDA, </w:t>
      </w:r>
      <w:r w:rsidRPr="007A1409">
        <w:rPr>
          <w:i/>
          <w:iCs/>
          <w:lang w:val="es-ES"/>
        </w:rPr>
        <w:t>Virtual PIDA Information Centre</w:t>
      </w:r>
      <w:r w:rsidRPr="007A1409">
        <w:rPr>
          <w:lang w:val="es-ES"/>
        </w:rPr>
        <w:t xml:space="preserve">. </w:t>
      </w:r>
      <w:r w:rsidRPr="00D96063">
        <w:t xml:space="preserve">Viewed at: </w:t>
      </w:r>
      <w:hyperlink r:id="rId14" w:history="1">
        <w:r w:rsidRPr="00D96063">
          <w:rPr>
            <w:rStyle w:val="Hyperlink"/>
          </w:rPr>
          <w:t>https://www.au-pida.org/view-project/922/</w:t>
        </w:r>
      </w:hyperlink>
      <w:r w:rsidRPr="00D96063">
        <w:t>.</w:t>
      </w:r>
    </w:p>
  </w:footnote>
  <w:footnote w:id="25">
    <w:p w14:paraId="4D2D7394" w14:textId="77777777" w:rsidR="00C15F2E" w:rsidRPr="00D96063" w:rsidRDefault="00C15F2E" w:rsidP="00CB59D4">
      <w:pPr>
        <w:pStyle w:val="FootnoteText"/>
      </w:pPr>
      <w:r w:rsidRPr="00D96063">
        <w:rPr>
          <w:rStyle w:val="FootnoteReference"/>
        </w:rPr>
        <w:footnoteRef/>
      </w:r>
      <w:r w:rsidRPr="00D96063">
        <w:t xml:space="preserve"> ECOWAS (2021), </w:t>
      </w:r>
      <w:r w:rsidRPr="00D96063">
        <w:rPr>
          <w:i/>
          <w:iCs/>
        </w:rPr>
        <w:t>59</w:t>
      </w:r>
      <w:r w:rsidRPr="00D96063">
        <w:rPr>
          <w:i/>
          <w:iCs/>
          <w:vertAlign w:val="superscript"/>
        </w:rPr>
        <w:t>th</w:t>
      </w:r>
      <w:r w:rsidRPr="00D96063">
        <w:rPr>
          <w:i/>
          <w:iCs/>
        </w:rPr>
        <w:t xml:space="preserve"> Ordinary Session of the Authority of Heads of State and Government</w:t>
      </w:r>
      <w:r w:rsidRPr="00D96063">
        <w:t xml:space="preserve">, 19 June. Viewed at: </w:t>
      </w:r>
      <w:hyperlink r:id="rId15" w:history="1">
        <w:r w:rsidRPr="00D96063">
          <w:rPr>
            <w:rStyle w:val="Hyperlink"/>
          </w:rPr>
          <w:t>https://www.afdb.org/sites/default/files/documents/2021-06-20-uk_final_communique-venglish.pdf</w:t>
        </w:r>
      </w:hyperlink>
      <w:r w:rsidRPr="007A1409">
        <w:rPr>
          <w:rStyle w:val="Hyperlink"/>
          <w:color w:val="auto"/>
          <w:u w:val="none"/>
        </w:rPr>
        <w:t>.</w:t>
      </w:r>
    </w:p>
  </w:footnote>
  <w:footnote w:id="26">
    <w:p w14:paraId="63B7DFFC" w14:textId="77777777" w:rsidR="00C15F2E" w:rsidRPr="00D96063" w:rsidRDefault="00C15F2E" w:rsidP="00CB59D4">
      <w:pPr>
        <w:pStyle w:val="FootnoteText"/>
      </w:pPr>
      <w:r w:rsidRPr="00D96063">
        <w:rPr>
          <w:rStyle w:val="FootnoteReference"/>
        </w:rPr>
        <w:footnoteRef/>
      </w:r>
      <w:r w:rsidRPr="00D96063">
        <w:t xml:space="preserve"> West African Monetary Institute (WAMI). Viewed at: </w:t>
      </w:r>
      <w:hyperlink r:id="rId16" w:history="1">
        <w:r w:rsidRPr="00D96063">
          <w:rPr>
            <w:rStyle w:val="Hyperlink"/>
          </w:rPr>
          <w:t>https://www.wami-imao.org/</w:t>
        </w:r>
      </w:hyperlink>
      <w:r w:rsidRPr="007A1409">
        <w:rPr>
          <w:rStyle w:val="Hyperlink"/>
          <w:color w:val="auto"/>
          <w:u w:val="none"/>
        </w:rPr>
        <w:t>.</w:t>
      </w:r>
    </w:p>
  </w:footnote>
  <w:footnote w:id="27">
    <w:p w14:paraId="2018C3FB" w14:textId="77777777" w:rsidR="00C15F2E" w:rsidRPr="00D96063" w:rsidRDefault="00C15F2E" w:rsidP="00CB59D4">
      <w:pPr>
        <w:pStyle w:val="FootnoteText"/>
      </w:pPr>
      <w:r w:rsidRPr="00D96063">
        <w:rPr>
          <w:rStyle w:val="FootnoteReference"/>
        </w:rPr>
        <w:footnoteRef/>
      </w:r>
      <w:r w:rsidRPr="00D96063">
        <w:t xml:space="preserve"> AfCFTA, </w:t>
      </w:r>
      <w:r w:rsidRPr="00D96063">
        <w:rPr>
          <w:i/>
          <w:iCs/>
        </w:rPr>
        <w:t>About the African Continental Free Trade Area</w:t>
      </w:r>
      <w:r w:rsidRPr="00D96063">
        <w:t xml:space="preserve">. Viewed at: </w:t>
      </w:r>
      <w:hyperlink r:id="rId17" w:history="1">
        <w:r w:rsidRPr="00D96063">
          <w:rPr>
            <w:rStyle w:val="Hyperlink"/>
          </w:rPr>
          <w:t>https://afcfta.au.int/en/about</w:t>
        </w:r>
      </w:hyperlink>
      <w:r w:rsidRPr="007A1409">
        <w:rPr>
          <w:rStyle w:val="Hyperlink"/>
          <w:color w:val="auto"/>
          <w:u w:val="none"/>
        </w:rPr>
        <w:t>.</w:t>
      </w:r>
    </w:p>
  </w:footnote>
  <w:footnote w:id="28">
    <w:p w14:paraId="71232A34" w14:textId="77777777" w:rsidR="00C15F2E" w:rsidRPr="00D96063" w:rsidRDefault="00C15F2E" w:rsidP="00CB59D4">
      <w:pPr>
        <w:pStyle w:val="FootnoteText"/>
      </w:pPr>
      <w:r w:rsidRPr="00D96063">
        <w:rPr>
          <w:rStyle w:val="FootnoteReference"/>
        </w:rPr>
        <w:footnoteRef/>
      </w:r>
      <w:r w:rsidRPr="00D96063">
        <w:t xml:space="preserve"> AfCFTA, </w:t>
      </w:r>
      <w:r w:rsidRPr="00D96063">
        <w:rPr>
          <w:i/>
          <w:iCs/>
        </w:rPr>
        <w:t>State Parties: Ratification Status List</w:t>
      </w:r>
      <w:r w:rsidRPr="00D96063">
        <w:t xml:space="preserve">. Viewed at: </w:t>
      </w:r>
      <w:hyperlink r:id="rId18" w:history="1">
        <w:r w:rsidRPr="00D96063">
          <w:rPr>
            <w:rStyle w:val="Hyperlink"/>
          </w:rPr>
          <w:t>https://afcfta.au.int/en/documents/2020-12-28/state-parties-ratification-status-list</w:t>
        </w:r>
      </w:hyperlink>
      <w:r w:rsidRPr="00D96063">
        <w:t>.</w:t>
      </w:r>
    </w:p>
  </w:footnote>
  <w:footnote w:id="29">
    <w:p w14:paraId="6D170BAB" w14:textId="77777777" w:rsidR="00C15F2E" w:rsidRPr="00D96063" w:rsidRDefault="00C15F2E" w:rsidP="00CB59D4">
      <w:pPr>
        <w:pStyle w:val="FootnoteText"/>
      </w:pPr>
      <w:r w:rsidRPr="00D96063">
        <w:rPr>
          <w:rStyle w:val="FootnoteReference"/>
        </w:rPr>
        <w:footnoteRef/>
      </w:r>
      <w:r w:rsidRPr="00D96063">
        <w:t xml:space="preserve"> </w:t>
      </w:r>
      <w:r w:rsidRPr="00D96063">
        <w:rPr>
          <w:i/>
          <w:iCs/>
        </w:rPr>
        <w:t>Official Journal of the European Union</w:t>
      </w:r>
      <w:r w:rsidRPr="00D96063">
        <w:t xml:space="preserve"> (2016), "Stepping Stone Economic Partnership Agreement", 21 October.</w:t>
      </w:r>
      <w:r w:rsidRPr="007A1409">
        <w:rPr>
          <w:rStyle w:val="Hyperlink"/>
          <w:color w:val="auto"/>
          <w:u w:val="none"/>
        </w:rPr>
        <w:t xml:space="preserve"> Viewed at: </w:t>
      </w:r>
      <w:hyperlink r:id="rId19" w:history="1">
        <w:r w:rsidRPr="00D96063">
          <w:rPr>
            <w:rStyle w:val="Hyperlink"/>
          </w:rPr>
          <w:t>https://eur-lex.europa.eu/legal-content/EN/TXT/PDF/?uri=CELEX:22016A1021(01)&amp;from=EN</w:t>
        </w:r>
      </w:hyperlink>
      <w:r w:rsidRPr="007A1409">
        <w:rPr>
          <w:rStyle w:val="Hyperlink"/>
          <w:color w:val="auto"/>
          <w:u w:val="none"/>
        </w:rPr>
        <w:t xml:space="preserve">; and European Commission (2020), "EU-Ghana Economic Partnership Agreement", December. Viewed at: </w:t>
      </w:r>
      <w:hyperlink r:id="rId20" w:history="1">
        <w:r w:rsidRPr="00D96063">
          <w:rPr>
            <w:rStyle w:val="Hyperlink"/>
          </w:rPr>
          <w:t>https://trade.ec.europa.eu/doclib/docs/2020/october/tradoc_158987.pdf</w:t>
        </w:r>
      </w:hyperlink>
      <w:r w:rsidRPr="007A1409">
        <w:rPr>
          <w:rStyle w:val="Hyperlink"/>
          <w:color w:val="auto"/>
          <w:u w:val="none"/>
        </w:rPr>
        <w:t>.</w:t>
      </w:r>
    </w:p>
  </w:footnote>
  <w:footnote w:id="30">
    <w:p w14:paraId="282785D9" w14:textId="77777777" w:rsidR="00C15F2E" w:rsidRPr="00D96063" w:rsidRDefault="00C15F2E" w:rsidP="00CB59D4">
      <w:pPr>
        <w:pStyle w:val="FootnoteText"/>
      </w:pPr>
      <w:r w:rsidRPr="00D96063">
        <w:rPr>
          <w:rStyle w:val="FootnoteReference"/>
        </w:rPr>
        <w:footnoteRef/>
      </w:r>
      <w:r w:rsidRPr="00D96063">
        <w:t xml:space="preserve"> Data sourced from the International Trade Centre's Trade Map facility. Viewed at: </w:t>
      </w:r>
      <w:hyperlink r:id="rId21" w:history="1">
        <w:r w:rsidRPr="00D96063">
          <w:rPr>
            <w:rStyle w:val="Hyperlink"/>
          </w:rPr>
          <w:t>www.trademap.org</w:t>
        </w:r>
      </w:hyperlink>
      <w:r w:rsidRPr="00D96063">
        <w:t>.</w:t>
      </w:r>
    </w:p>
  </w:footnote>
  <w:footnote w:id="31">
    <w:p w14:paraId="0F46B0E0" w14:textId="77777777" w:rsidR="00C15F2E" w:rsidRPr="00D96063" w:rsidRDefault="00C15F2E" w:rsidP="00CB59D4">
      <w:pPr>
        <w:pStyle w:val="FootnoteText"/>
      </w:pPr>
      <w:r w:rsidRPr="00D96063">
        <w:rPr>
          <w:rStyle w:val="FootnoteReference"/>
        </w:rPr>
        <w:footnoteRef/>
      </w:r>
      <w:r w:rsidRPr="00D96063">
        <w:t xml:space="preserve"> WTO document WT/REG382/1, 31 July 2018. </w:t>
      </w:r>
    </w:p>
  </w:footnote>
  <w:footnote w:id="32">
    <w:p w14:paraId="25FC2917" w14:textId="77777777" w:rsidR="00C15F2E" w:rsidRPr="00D96063" w:rsidRDefault="00C15F2E" w:rsidP="00CB59D4">
      <w:pPr>
        <w:pStyle w:val="FootnoteText"/>
      </w:pPr>
      <w:r w:rsidRPr="00D96063">
        <w:rPr>
          <w:rStyle w:val="FootnoteReference"/>
        </w:rPr>
        <w:footnoteRef/>
      </w:r>
      <w:r w:rsidRPr="00D96063">
        <w:t xml:space="preserve"> WTO RTA database. Viewed at: </w:t>
      </w:r>
      <w:hyperlink r:id="rId22" w:history="1">
        <w:r w:rsidRPr="00D96063">
          <w:rPr>
            <w:rStyle w:val="Hyperlink"/>
          </w:rPr>
          <w:t>http://rtais.wto.org/UI/PublicShowMemberRTAIDCard.aspx?rtaid=896</w:t>
        </w:r>
      </w:hyperlink>
      <w:r w:rsidRPr="00D96063">
        <w:t>.</w:t>
      </w:r>
    </w:p>
  </w:footnote>
  <w:footnote w:id="33">
    <w:p w14:paraId="55C1152C" w14:textId="77777777" w:rsidR="00C15F2E" w:rsidRPr="00D96063" w:rsidRDefault="00C15F2E" w:rsidP="00CB59D4">
      <w:pPr>
        <w:pStyle w:val="FootnoteText"/>
      </w:pPr>
      <w:r w:rsidRPr="00D96063">
        <w:rPr>
          <w:rStyle w:val="FootnoteReference"/>
        </w:rPr>
        <w:footnoteRef/>
      </w:r>
      <w:r w:rsidRPr="00D96063">
        <w:t xml:space="preserve"> WTO document WT/REG449/N/1, 5 March 2021.</w:t>
      </w:r>
    </w:p>
  </w:footnote>
  <w:footnote w:id="34">
    <w:p w14:paraId="6B560D34" w14:textId="77777777" w:rsidR="00C15F2E" w:rsidRPr="00D96063" w:rsidRDefault="00C15F2E" w:rsidP="00CB59D4">
      <w:pPr>
        <w:pStyle w:val="FootnoteText"/>
      </w:pPr>
      <w:r w:rsidRPr="00D96063">
        <w:rPr>
          <w:rStyle w:val="FootnoteReference"/>
        </w:rPr>
        <w:footnoteRef/>
      </w:r>
      <w:r w:rsidRPr="00D96063">
        <w:t xml:space="preserve"> AGOA, </w:t>
      </w:r>
      <w:r w:rsidRPr="00D96063">
        <w:rPr>
          <w:i/>
          <w:iCs/>
        </w:rPr>
        <w:t>AGOA Extension and Enhancement Act of 2015</w:t>
      </w:r>
      <w:r w:rsidRPr="00D96063">
        <w:t xml:space="preserve">. Viewed at: </w:t>
      </w:r>
      <w:hyperlink r:id="rId23" w:history="1">
        <w:r w:rsidRPr="00D96063">
          <w:rPr>
            <w:rStyle w:val="Hyperlink"/>
          </w:rPr>
          <w:t>https://agoa.info/images/documents/5660/bills-114hr1891ih.pdf</w:t>
        </w:r>
      </w:hyperlink>
      <w:r w:rsidRPr="00D96063">
        <w:t>.</w:t>
      </w:r>
    </w:p>
  </w:footnote>
  <w:footnote w:id="35">
    <w:p w14:paraId="5F456406" w14:textId="77777777" w:rsidR="00C15F2E" w:rsidRPr="00D96063" w:rsidRDefault="00C15F2E" w:rsidP="00CB59D4">
      <w:pPr>
        <w:pStyle w:val="FootnoteText"/>
      </w:pPr>
      <w:r w:rsidRPr="00D96063">
        <w:rPr>
          <w:rStyle w:val="FootnoteReference"/>
        </w:rPr>
        <w:footnoteRef/>
      </w:r>
      <w:r w:rsidRPr="00D96063">
        <w:t xml:space="preserve"> Office of the United States Trade Representative, </w:t>
      </w:r>
      <w:r w:rsidRPr="00D96063">
        <w:rPr>
          <w:i/>
          <w:iCs/>
        </w:rPr>
        <w:t>Countries and Regions: Africa: Ghana</w:t>
      </w:r>
      <w:r w:rsidRPr="00D96063">
        <w:t xml:space="preserve">. Viewed at: </w:t>
      </w:r>
      <w:hyperlink r:id="rId24" w:history="1">
        <w:r w:rsidRPr="00D96063">
          <w:rPr>
            <w:rStyle w:val="Hyperlink"/>
          </w:rPr>
          <w:t>https://ustr.gov/countries-regions/africa/west-africa/ghana</w:t>
        </w:r>
      </w:hyperlink>
      <w:r w:rsidRPr="00D96063">
        <w:t>.</w:t>
      </w:r>
    </w:p>
  </w:footnote>
  <w:footnote w:id="36">
    <w:p w14:paraId="041B15D2" w14:textId="77777777" w:rsidR="00C15F2E" w:rsidRPr="00D96063" w:rsidRDefault="00C15F2E" w:rsidP="00CB59D4">
      <w:pPr>
        <w:pStyle w:val="FootnoteText"/>
      </w:pPr>
      <w:r w:rsidRPr="00D96063">
        <w:rPr>
          <w:rStyle w:val="FootnoteReference"/>
        </w:rPr>
        <w:footnoteRef/>
      </w:r>
      <w:r w:rsidRPr="00D96063">
        <w:t xml:space="preserve"> UNCTAD (2003), </w:t>
      </w:r>
      <w:r w:rsidRPr="00D96063">
        <w:rPr>
          <w:i/>
          <w:iCs/>
        </w:rPr>
        <w:t>Investment Policy Review: Ghana</w:t>
      </w:r>
      <w:r w:rsidRPr="00D96063">
        <w:t xml:space="preserve">; and UNCTAD (2010), </w:t>
      </w:r>
      <w:r w:rsidRPr="00D96063">
        <w:rPr>
          <w:i/>
          <w:iCs/>
        </w:rPr>
        <w:t>Report on the Implementation of the Investment Policy Review: Ghana</w:t>
      </w:r>
      <w:r w:rsidRPr="00D96063">
        <w:t xml:space="preserve">. Viewed at: </w:t>
      </w:r>
      <w:hyperlink r:id="rId25" w:history="1">
        <w:r w:rsidRPr="00D96063">
          <w:rPr>
            <w:rStyle w:val="Hyperlink"/>
          </w:rPr>
          <w:t>https://investmentpolicy.unctad.org/country-navigator/80/ghana</w:t>
        </w:r>
      </w:hyperlink>
      <w:r w:rsidRPr="00D96063">
        <w:t>.</w:t>
      </w:r>
    </w:p>
  </w:footnote>
  <w:footnote w:id="37">
    <w:p w14:paraId="1E20D263" w14:textId="05413DA0" w:rsidR="00C15F2E" w:rsidRPr="00D96063" w:rsidRDefault="00C15F2E" w:rsidP="00CB59D4">
      <w:pPr>
        <w:pStyle w:val="FootnoteText"/>
      </w:pPr>
      <w:r w:rsidRPr="00D96063">
        <w:rPr>
          <w:rStyle w:val="FootnoteReference"/>
        </w:rPr>
        <w:footnoteRef/>
      </w:r>
      <w:r w:rsidRPr="00D96063">
        <w:t xml:space="preserve"> Ghana Investment Promotion Centre Act. Viewed at:</w:t>
      </w:r>
      <w:r w:rsidRPr="00D96063">
        <w:rPr>
          <w:b/>
          <w:bCs/>
        </w:rPr>
        <w:t xml:space="preserve"> </w:t>
      </w:r>
      <w:hyperlink r:id="rId26" w:history="1">
        <w:r w:rsidRPr="00D96063">
          <w:rPr>
            <w:rStyle w:val="Hyperlink"/>
          </w:rPr>
          <w:t>PPA Ghana – Improving Efficiency and Transparency in Public Procurement</w:t>
        </w:r>
      </w:hyperlink>
      <w:r w:rsidRPr="00D96063">
        <w:t>. See also UN</w:t>
      </w:r>
      <w:r w:rsidR="00396F7B">
        <w:t>C</w:t>
      </w:r>
      <w:r w:rsidRPr="00D96063">
        <w:t xml:space="preserve">TAD, Investment Policy Hub, </w:t>
      </w:r>
      <w:r w:rsidRPr="00D96063">
        <w:rPr>
          <w:i/>
          <w:iCs/>
        </w:rPr>
        <w:t>Ghana Investment Promotion Centre Act</w:t>
      </w:r>
      <w:r w:rsidRPr="00D96063">
        <w:t xml:space="preserve">. Viewed at: </w:t>
      </w:r>
      <w:hyperlink r:id="rId27" w:history="1">
        <w:r w:rsidRPr="00D96063">
          <w:rPr>
            <w:rStyle w:val="Hyperlink"/>
          </w:rPr>
          <w:t>https://investmentpolicy.unctad.org/investment-laws/laws/196/investment-promotion-act-</w:t>
        </w:r>
      </w:hyperlink>
      <w:r w:rsidRPr="00D96063">
        <w:t xml:space="preserve">. </w:t>
      </w:r>
    </w:p>
    <w:p w14:paraId="6C33E32C" w14:textId="77777777" w:rsidR="00C15F2E" w:rsidRPr="00D96063" w:rsidRDefault="00C15F2E" w:rsidP="00CB59D4">
      <w:pPr>
        <w:pStyle w:val="FootnoteText"/>
      </w:pPr>
    </w:p>
  </w:footnote>
  <w:footnote w:id="38">
    <w:p w14:paraId="1D9F0C91" w14:textId="77777777" w:rsidR="00C15F2E" w:rsidRPr="00D96063" w:rsidRDefault="00C15F2E" w:rsidP="00CB59D4">
      <w:pPr>
        <w:pStyle w:val="FootnoteText"/>
      </w:pPr>
      <w:r w:rsidRPr="00D96063">
        <w:rPr>
          <w:rStyle w:val="FootnoteReference"/>
        </w:rPr>
        <w:footnoteRef/>
      </w:r>
      <w:r w:rsidRPr="00D96063">
        <w:t xml:space="preserve"> Business registration forms were viewed on the website of the Registrar General's Department: </w:t>
      </w:r>
      <w:hyperlink r:id="rId28" w:history="1">
        <w:r w:rsidRPr="00D96063">
          <w:rPr>
            <w:rStyle w:val="Hyperlink"/>
          </w:rPr>
          <w:t>https://rgd.gov.gh/</w:t>
        </w:r>
      </w:hyperlink>
      <w:r w:rsidRPr="00D96063">
        <w:t xml:space="preserve">. </w:t>
      </w:r>
    </w:p>
  </w:footnote>
  <w:footnote w:id="39">
    <w:p w14:paraId="79B1DAA2" w14:textId="77777777" w:rsidR="00C15F2E" w:rsidRPr="00D96063" w:rsidRDefault="00C15F2E" w:rsidP="00CB59D4">
      <w:pPr>
        <w:pStyle w:val="FootnoteText"/>
      </w:pPr>
      <w:r w:rsidRPr="00D96063">
        <w:rPr>
          <w:rStyle w:val="FootnoteReference"/>
          <w:szCs w:val="16"/>
        </w:rPr>
        <w:footnoteRef/>
      </w:r>
      <w:r w:rsidRPr="00D96063">
        <w:t xml:space="preserve"> Ghana Immigration Service, </w:t>
      </w:r>
      <w:r w:rsidRPr="00D96063">
        <w:rPr>
          <w:i/>
          <w:iCs/>
        </w:rPr>
        <w:t>Ghana Investment Promotion Centre Act, 2013</w:t>
      </w:r>
      <w:r w:rsidRPr="00D96063">
        <w:t xml:space="preserve">. Viewed at: </w:t>
      </w:r>
      <w:hyperlink r:id="rId29" w:history="1">
        <w:r w:rsidRPr="00D96063">
          <w:rPr>
            <w:rStyle w:val="Hyperlink"/>
          </w:rPr>
          <w:t>https://www.gis.gov.gh/PDFs/GIPC%20Act%202013.pdf</w:t>
        </w:r>
      </w:hyperlink>
      <w:r w:rsidRPr="00D96063">
        <w:t>.</w:t>
      </w:r>
    </w:p>
  </w:footnote>
  <w:footnote w:id="40">
    <w:p w14:paraId="371D6F64" w14:textId="77777777" w:rsidR="00C15F2E" w:rsidRPr="00D96063" w:rsidRDefault="00C15F2E" w:rsidP="00CB59D4">
      <w:pPr>
        <w:pStyle w:val="FootnoteText"/>
      </w:pPr>
      <w:r w:rsidRPr="00D96063">
        <w:rPr>
          <w:rStyle w:val="FootnoteReference"/>
        </w:rPr>
        <w:footnoteRef/>
      </w:r>
      <w:r w:rsidRPr="00D96063">
        <w:t xml:space="preserve"> GIPC Act, Section 4.</w:t>
      </w:r>
    </w:p>
  </w:footnote>
  <w:footnote w:id="41">
    <w:p w14:paraId="7F471096" w14:textId="77777777" w:rsidR="00C15F2E" w:rsidRPr="00D96063" w:rsidRDefault="00C15F2E" w:rsidP="00CB59D4">
      <w:pPr>
        <w:pStyle w:val="FootnoteText"/>
      </w:pPr>
      <w:r w:rsidRPr="00D96063">
        <w:rPr>
          <w:rStyle w:val="FootnoteReference"/>
        </w:rPr>
        <w:footnoteRef/>
      </w:r>
      <w:r w:rsidRPr="00D96063">
        <w:t xml:space="preserve"> Foreign investment of USD 50,000-USD 250,000: 1 automatic quota; USD 250,001-USD 500,000: 2 automatic quotas; USD 500,001-USD 700,000: 3 automatic quotas; and above USD 700,000: 4 automatic quotas.</w:t>
      </w:r>
    </w:p>
  </w:footnote>
  <w:footnote w:id="42">
    <w:p w14:paraId="645452B6" w14:textId="77777777" w:rsidR="00C15F2E" w:rsidRPr="00D96063" w:rsidRDefault="00C15F2E" w:rsidP="00CB59D4">
      <w:pPr>
        <w:pStyle w:val="FootnoteText"/>
      </w:pPr>
      <w:r w:rsidRPr="00D96063">
        <w:rPr>
          <w:rStyle w:val="FootnoteReference"/>
        </w:rPr>
        <w:footnoteRef/>
      </w:r>
      <w:r w:rsidRPr="00D96063">
        <w:t xml:space="preserve"> ENS Africa, </w:t>
      </w:r>
      <w:r w:rsidRPr="00D96063">
        <w:rPr>
          <w:i/>
          <w:iCs/>
        </w:rPr>
        <w:t>Doing Business Guide</w:t>
      </w:r>
      <w:r w:rsidRPr="00D96063">
        <w:t xml:space="preserve">. Viewed at: </w:t>
      </w:r>
      <w:hyperlink r:id="rId30" w:history="1">
        <w:r w:rsidRPr="00D96063">
          <w:rPr>
            <w:rStyle w:val="Hyperlink"/>
          </w:rPr>
          <w:t>https://www.ensafrica.com/countries/ghana</w:t>
        </w:r>
      </w:hyperlink>
      <w:r w:rsidRPr="00D96063">
        <w:t>.</w:t>
      </w:r>
    </w:p>
  </w:footnote>
  <w:footnote w:id="43">
    <w:p w14:paraId="11F5F2A7" w14:textId="77777777" w:rsidR="00C15F2E" w:rsidRPr="00D96063" w:rsidRDefault="00C15F2E" w:rsidP="00CB59D4">
      <w:pPr>
        <w:pStyle w:val="FootnoteText"/>
      </w:pPr>
      <w:r w:rsidRPr="00D96063">
        <w:rPr>
          <w:rStyle w:val="FootnoteReference"/>
        </w:rPr>
        <w:footnoteRef/>
      </w:r>
      <w:r w:rsidRPr="00D96063">
        <w:t xml:space="preserve"> These were identified in WEF (2008), </w:t>
      </w:r>
      <w:r w:rsidRPr="00D96063">
        <w:rPr>
          <w:i/>
          <w:iCs/>
        </w:rPr>
        <w:t>The Global Competitiveness Report: 2008-2009</w:t>
      </w:r>
      <w:r w:rsidRPr="00D96063">
        <w:t xml:space="preserve">. See also UNCTAD (2010), </w:t>
      </w:r>
      <w:r w:rsidRPr="00D96063">
        <w:rPr>
          <w:i/>
          <w:iCs/>
        </w:rPr>
        <w:t>Report of the Implementation of the Investment Policy Review: Ghana</w:t>
      </w:r>
      <w:r w:rsidRPr="00D96063">
        <w:t xml:space="preserve">. Viewed at: </w:t>
      </w:r>
      <w:hyperlink r:id="rId31" w:history="1">
        <w:r w:rsidRPr="00D96063">
          <w:rPr>
            <w:rStyle w:val="Hyperlink"/>
          </w:rPr>
          <w:t>https://unctad.org/system/files/official-document/diaepcb20095_en.pdf</w:t>
        </w:r>
      </w:hyperlink>
      <w:r w:rsidRPr="00D96063">
        <w:t>.</w:t>
      </w:r>
    </w:p>
  </w:footnote>
  <w:footnote w:id="44">
    <w:p w14:paraId="236A9EAD" w14:textId="77777777" w:rsidR="00C15F2E" w:rsidRPr="00D96063" w:rsidRDefault="00C15F2E" w:rsidP="00CB59D4">
      <w:pPr>
        <w:pStyle w:val="FootnoteText"/>
      </w:pPr>
      <w:r w:rsidRPr="00D96063">
        <w:rPr>
          <w:rStyle w:val="FootnoteReference"/>
        </w:rPr>
        <w:footnoteRef/>
      </w:r>
      <w:r w:rsidRPr="00D96063">
        <w:t xml:space="preserve"> Information Services Department (2021), "2021, Second Year of Roads – Akuffo-Addo", 8 January. Viewed at: </w:t>
      </w:r>
      <w:hyperlink r:id="rId32" w:history="1">
        <w:r w:rsidRPr="00D96063">
          <w:rPr>
            <w:rStyle w:val="Hyperlink"/>
          </w:rPr>
          <w:t>https://isd.gov.gh/topstories-isdnews-authentic-government-news-at-every-corner-of-the-nation/1413/</w:t>
        </w:r>
      </w:hyperlink>
      <w:r w:rsidRPr="007A1409">
        <w:rPr>
          <w:rStyle w:val="Hyperlink"/>
          <w:color w:val="auto"/>
          <w:u w:val="none"/>
        </w:rPr>
        <w:t>.</w:t>
      </w:r>
    </w:p>
  </w:footnote>
  <w:footnote w:id="45">
    <w:p w14:paraId="4C561A8E" w14:textId="77777777" w:rsidR="00C15F2E" w:rsidRPr="00D96063" w:rsidRDefault="00C15F2E" w:rsidP="00CB59D4">
      <w:pPr>
        <w:pStyle w:val="FootnoteText"/>
      </w:pPr>
      <w:r w:rsidRPr="00D96063">
        <w:rPr>
          <w:rStyle w:val="FootnoteReference"/>
        </w:rPr>
        <w:footnoteRef/>
      </w:r>
      <w:r w:rsidRPr="00D96063">
        <w:t xml:space="preserve"> Ghana Infrastructure Investment Fund. Viewed at: </w:t>
      </w:r>
      <w:hyperlink r:id="rId33" w:history="1">
        <w:r w:rsidRPr="00D96063">
          <w:rPr>
            <w:rStyle w:val="Hyperlink"/>
          </w:rPr>
          <w:t>http://www.giif.gov.gh</w:t>
        </w:r>
      </w:hyperlink>
      <w:r w:rsidRPr="00D96063">
        <w:t>.</w:t>
      </w:r>
    </w:p>
  </w:footnote>
  <w:footnote w:id="46">
    <w:p w14:paraId="1E458CE9" w14:textId="2487B031" w:rsidR="00C15F2E" w:rsidRPr="00D96063" w:rsidRDefault="00BE59B7" w:rsidP="00CB59D4">
      <w:pPr>
        <w:pStyle w:val="FootnoteText"/>
      </w:pPr>
      <w:r w:rsidRPr="00D96063">
        <w:rPr>
          <w:rStyle w:val="FootnoteReference"/>
        </w:rPr>
        <w:footnoteRef/>
      </w:r>
      <w:r w:rsidRPr="00D96063">
        <w:t xml:space="preserve"> </w:t>
      </w:r>
      <w:r w:rsidR="00C15F2E" w:rsidRPr="00D96063">
        <w:t xml:space="preserve">UNCTAD, Investment Policy Hub. Viewed at: </w:t>
      </w:r>
      <w:hyperlink r:id="rId34" w:history="1">
        <w:r w:rsidR="00C15F2E" w:rsidRPr="00D96063">
          <w:rPr>
            <w:rStyle w:val="Hyperlink"/>
          </w:rPr>
          <w:t>https://investmentpolicy.unctad.org/country-navigator/80/ghana</w:t>
        </w:r>
      </w:hyperlink>
      <w:r w:rsidR="00C15F2E" w:rsidRPr="007A1409">
        <w:rPr>
          <w:rStyle w:val="Hyperlink"/>
          <w:color w:val="auto"/>
          <w:u w:val="none"/>
        </w:rPr>
        <w:t>.</w:t>
      </w:r>
    </w:p>
  </w:footnote>
  <w:footnote w:id="47">
    <w:p w14:paraId="6D3B7985" w14:textId="179E8F07" w:rsidR="00C15F2E" w:rsidRPr="00D96063" w:rsidRDefault="00BE59B7" w:rsidP="00EE17FF">
      <w:pPr>
        <w:pStyle w:val="FootnoteText"/>
        <w:rPr>
          <w:b/>
          <w:bCs/>
        </w:rPr>
      </w:pPr>
      <w:r w:rsidRPr="00D96063">
        <w:rPr>
          <w:rStyle w:val="FootnoteReference"/>
        </w:rPr>
        <w:footnoteRef/>
      </w:r>
      <w:r w:rsidR="00C15F2E" w:rsidRPr="00D96063">
        <w:t xml:space="preserve"> USAID (2018), </w:t>
      </w:r>
      <w:r w:rsidR="00C15F2E" w:rsidRPr="00D96063">
        <w:rPr>
          <w:i/>
          <w:iCs/>
        </w:rPr>
        <w:t>Ghana TATFP Customs Risk Management Rapid Assessment</w:t>
      </w:r>
      <w:r w:rsidR="00C15F2E" w:rsidRPr="00D96063">
        <w:t xml:space="preserve">. Viewed at: </w:t>
      </w:r>
      <w:hyperlink r:id="rId35" w:history="1">
        <w:r w:rsidR="00C15F2E" w:rsidRPr="00D96063">
          <w:rPr>
            <w:rStyle w:val="Hyperlink"/>
          </w:rPr>
          <w:t>https://pdf.usaid.gov/pdf_docs/PA00TJR7.pdf</w:t>
        </w:r>
      </w:hyperlink>
      <w:r w:rsidR="00C15F2E" w:rsidRPr="00D96063">
        <w:t>.</w:t>
      </w:r>
    </w:p>
    <w:p w14:paraId="1DB1C9F8" w14:textId="77777777" w:rsidR="00C15F2E" w:rsidRPr="00D96063" w:rsidRDefault="00C15F2E" w:rsidP="00EE17FF">
      <w:pPr>
        <w:pStyle w:val="FootnoteText"/>
        <w:rPr>
          <w:b/>
          <w:bCs/>
        </w:rPr>
      </w:pPr>
    </w:p>
    <w:p w14:paraId="489E033D" w14:textId="77777777" w:rsidR="00C15F2E" w:rsidRPr="00D96063" w:rsidRDefault="00C15F2E" w:rsidP="00EE17FF">
      <w:pPr>
        <w:pStyle w:val="FootnoteText"/>
      </w:pPr>
    </w:p>
  </w:footnote>
  <w:footnote w:id="48">
    <w:p w14:paraId="70EF1452" w14:textId="29ABF1ED" w:rsidR="00C15F2E" w:rsidRPr="00D96063" w:rsidRDefault="00C15F2E" w:rsidP="00E101A6">
      <w:pPr>
        <w:pStyle w:val="FootnoteText"/>
      </w:pPr>
      <w:r w:rsidRPr="00D96063">
        <w:rPr>
          <w:rStyle w:val="FootnoteReference"/>
        </w:rPr>
        <w:footnoteRef/>
      </w:r>
      <w:r w:rsidRPr="00D96063">
        <w:t xml:space="preserve"> </w:t>
      </w:r>
      <w:r w:rsidRPr="00D96063">
        <w:rPr>
          <w:i/>
          <w:iCs/>
        </w:rPr>
        <w:t>Bankswitch Ghana Ltd. v. The Republic of Ghana acting as the Government of Ghana</w:t>
      </w:r>
      <w:r w:rsidRPr="00D96063">
        <w:t>, PCA Case No. 2011-10, Award Save as to Costs, 11</w:t>
      </w:r>
      <w:r w:rsidR="008113D4">
        <w:t> </w:t>
      </w:r>
      <w:r w:rsidRPr="00D96063">
        <w:t>April</w:t>
      </w:r>
      <w:r w:rsidR="008113D4">
        <w:t> </w:t>
      </w:r>
      <w:r w:rsidRPr="00D96063">
        <w:t xml:space="preserve">2014. Viewed at: </w:t>
      </w:r>
      <w:hyperlink r:id="rId36" w:history="1">
        <w:r w:rsidRPr="00D96063">
          <w:rPr>
            <w:rStyle w:val="Hyperlink"/>
          </w:rPr>
          <w:t>https://jusmundi.com/en/document/decision/en-bankswitch-ghana-ltd-v-the-republic-of-ghana-acting-as-the-government-of-ghana-award-save-as-to-costs-friday-11th-april-2014</w:t>
        </w:r>
      </w:hyperlink>
      <w:r w:rsidRPr="007A1409">
        <w:rPr>
          <w:rStyle w:val="Hyperlink"/>
          <w:color w:val="auto"/>
          <w:u w:val="none"/>
        </w:rPr>
        <w:t>.</w:t>
      </w:r>
      <w:r w:rsidRPr="00D96063">
        <w:t xml:space="preserve"> </w:t>
      </w:r>
    </w:p>
  </w:footnote>
  <w:footnote w:id="49">
    <w:p w14:paraId="1EEB93D7" w14:textId="77777777" w:rsidR="00C15F2E" w:rsidRPr="00D96063" w:rsidRDefault="00C15F2E" w:rsidP="00E101A6">
      <w:pPr>
        <w:pStyle w:val="FootnoteText"/>
      </w:pPr>
      <w:r w:rsidRPr="00D96063">
        <w:rPr>
          <w:rStyle w:val="FootnoteReference"/>
        </w:rPr>
        <w:footnoteRef/>
      </w:r>
      <w:r w:rsidRPr="00D96063">
        <w:t xml:space="preserve"> USAID (2018), </w:t>
      </w:r>
      <w:bookmarkStart w:id="81" w:name="_Hlk98841943"/>
      <w:r w:rsidRPr="00D96063">
        <w:rPr>
          <w:i/>
          <w:iCs/>
        </w:rPr>
        <w:t>Ghana TATFP Customs Risk Management Rapid Assessment</w:t>
      </w:r>
      <w:r w:rsidRPr="00D96063">
        <w:t xml:space="preserve">. Viewed at: </w:t>
      </w:r>
      <w:bookmarkEnd w:id="81"/>
      <w:r w:rsidRPr="00D96063">
        <w:fldChar w:fldCharType="begin"/>
      </w:r>
      <w:r w:rsidRPr="00D96063">
        <w:instrText xml:space="preserve"> HYPERLINK "https://pdf.usaid.gov/pdf_docs/PA00TJR7.pdf" </w:instrText>
      </w:r>
      <w:r w:rsidRPr="00D96063">
        <w:fldChar w:fldCharType="separate"/>
      </w:r>
      <w:r w:rsidRPr="00D96063">
        <w:rPr>
          <w:rStyle w:val="Hyperlink"/>
        </w:rPr>
        <w:t>https://pdf.usaid.gov/pdf_docs/PA00TJR7.pdf</w:t>
      </w:r>
      <w:r w:rsidRPr="00D96063">
        <w:rPr>
          <w:rStyle w:val="Hyperlink"/>
        </w:rPr>
        <w:fldChar w:fldCharType="end"/>
      </w:r>
      <w:r w:rsidRPr="00D96063">
        <w:t>.</w:t>
      </w:r>
    </w:p>
  </w:footnote>
  <w:footnote w:id="50">
    <w:p w14:paraId="4E9350EF" w14:textId="77777777" w:rsidR="00C15F2E" w:rsidRPr="00D96063" w:rsidRDefault="00C15F2E" w:rsidP="00E101A6">
      <w:pPr>
        <w:pStyle w:val="FootnoteText"/>
      </w:pPr>
      <w:r w:rsidRPr="00D96063">
        <w:rPr>
          <w:rStyle w:val="FootnoteReference"/>
        </w:rPr>
        <w:footnoteRef/>
      </w:r>
      <w:r w:rsidRPr="00D96063">
        <w:t xml:space="preserve"> </w:t>
      </w:r>
      <w:r w:rsidRPr="00D96063">
        <w:rPr>
          <w:szCs w:val="16"/>
        </w:rPr>
        <w:t xml:space="preserve">Global Alliance for Trade Facilitation, </w:t>
      </w:r>
      <w:r w:rsidRPr="00D96063">
        <w:rPr>
          <w:rFonts w:cstheme="minorBidi"/>
          <w:i/>
          <w:iCs/>
          <w:szCs w:val="16"/>
        </w:rPr>
        <w:t>Interviews: P</w:t>
      </w:r>
      <w:r w:rsidRPr="00D96063">
        <w:rPr>
          <w:i/>
          <w:iCs/>
          <w:szCs w:val="16"/>
        </w:rPr>
        <w:t xml:space="preserve">aulina </w:t>
      </w:r>
      <w:r w:rsidRPr="00D96063">
        <w:rPr>
          <w:rFonts w:cstheme="minorBidi"/>
          <w:i/>
          <w:iCs/>
          <w:szCs w:val="16"/>
        </w:rPr>
        <w:t>A</w:t>
      </w:r>
      <w:r w:rsidRPr="00D96063">
        <w:rPr>
          <w:i/>
          <w:iCs/>
          <w:szCs w:val="16"/>
        </w:rPr>
        <w:t>brokwah</w:t>
      </w:r>
      <w:r w:rsidRPr="00D96063">
        <w:rPr>
          <w:szCs w:val="16"/>
        </w:rPr>
        <w:t xml:space="preserve">. Viewed at: </w:t>
      </w:r>
      <w:hyperlink r:id="rId37" w:history="1">
        <w:r w:rsidRPr="00D96063">
          <w:rPr>
            <w:rStyle w:val="Hyperlink"/>
            <w:szCs w:val="16"/>
          </w:rPr>
          <w:t>https://www.tradefacilitation.org/interview/a-view-from-ghana/</w:t>
        </w:r>
      </w:hyperlink>
      <w:r w:rsidRPr="007A1409">
        <w:rPr>
          <w:rStyle w:val="Hyperlink"/>
          <w:color w:val="auto"/>
          <w:szCs w:val="16"/>
          <w:u w:val="none"/>
        </w:rPr>
        <w:t>.</w:t>
      </w:r>
    </w:p>
  </w:footnote>
  <w:footnote w:id="51">
    <w:p w14:paraId="0494B2A6" w14:textId="77777777" w:rsidR="00C15F2E" w:rsidRPr="00D96063" w:rsidRDefault="00C15F2E" w:rsidP="007420E8">
      <w:pPr>
        <w:pStyle w:val="FootnoteText"/>
      </w:pPr>
      <w:r w:rsidRPr="00D96063">
        <w:rPr>
          <w:rStyle w:val="FootnoteReference"/>
        </w:rPr>
        <w:footnoteRef/>
      </w:r>
      <w:r w:rsidRPr="00D96063">
        <w:t xml:space="preserve"> According to Public Services International (PSI), the Government of Ghana in 2016 reportedly granted import duty exemptions totalling USD 834 million to Meridian Port Services, a consortium of international firms, which is undertaking an expansion of the Port of Tema. PSI (2020), </w:t>
      </w:r>
      <w:r w:rsidRPr="00D96063">
        <w:rPr>
          <w:i/>
          <w:iCs/>
        </w:rPr>
        <w:t>Tackling Tax Incentives, Ghana</w:t>
      </w:r>
      <w:r w:rsidRPr="00D96063">
        <w:t>. Viewed at:</w:t>
      </w:r>
      <w:r w:rsidRPr="00D96063">
        <w:rPr>
          <w:b/>
          <w:bCs/>
        </w:rPr>
        <w:t xml:space="preserve"> </w:t>
      </w:r>
      <w:hyperlink r:id="rId38" w:history="1">
        <w:r w:rsidRPr="00D96063">
          <w:rPr>
            <w:rStyle w:val="Hyperlink"/>
          </w:rPr>
          <w:t>https://publicservices.international/resources/publications/tackling-tax-incentives-ghana?id=10560&amp;lang=en</w:t>
        </w:r>
      </w:hyperlink>
      <w:r w:rsidRPr="007A1409">
        <w:rPr>
          <w:rStyle w:val="Hyperlink"/>
          <w:color w:val="auto"/>
          <w:u w:val="none"/>
        </w:rPr>
        <w:t>.</w:t>
      </w:r>
    </w:p>
  </w:footnote>
  <w:footnote w:id="52">
    <w:p w14:paraId="57964B44" w14:textId="77777777" w:rsidR="00C15F2E" w:rsidRPr="00D96063" w:rsidRDefault="00C15F2E" w:rsidP="00E101A6">
      <w:pPr>
        <w:pStyle w:val="FootnoteText"/>
      </w:pPr>
      <w:r w:rsidRPr="00D96063">
        <w:rPr>
          <w:rStyle w:val="FootnoteReference"/>
        </w:rPr>
        <w:footnoteRef/>
      </w:r>
      <w:r w:rsidRPr="00D96063">
        <w:t xml:space="preserve"> </w:t>
      </w:r>
      <w:r w:rsidRPr="00D96063">
        <w:rPr>
          <w:rFonts w:cs="Arial"/>
          <w:color w:val="000000"/>
        </w:rPr>
        <w:t xml:space="preserve">Value Added Tax Act, 2013 (Act 870). Viewed at: </w:t>
      </w:r>
      <w:hyperlink r:id="rId39" w:history="1">
        <w:r w:rsidRPr="00D96063">
          <w:rPr>
            <w:rStyle w:val="Hyperlink"/>
            <w:rFonts w:cs="Arial"/>
          </w:rPr>
          <w:t>http://www.gra.gov.gh/index.php?option=com_ content&amp;view=article&amp;id=162:implementation-of-the-value-added-tax-act-2013-act-870&amp;catid=11:latest-news&amp;Itemid=26</w:t>
        </w:r>
      </w:hyperlink>
      <w:r w:rsidRPr="00D96063">
        <w:rPr>
          <w:rFonts w:cs="Arial"/>
          <w:color w:val="000000"/>
        </w:rPr>
        <w:t xml:space="preserve">; and Value Added Tax (Amendment) Act, 2017 (Act 954). Viewed at: </w:t>
      </w:r>
      <w:hyperlink r:id="rId40" w:anchor=":~:text=AN%20ACT%20to%20amend%20the,to%20provide%20for%20related%20matters." w:history="1">
        <w:r w:rsidRPr="00D96063">
          <w:rPr>
            <w:rStyle w:val="Hyperlink"/>
            <w:rFonts w:cs="Arial"/>
          </w:rPr>
          <w:t>https://www.bcp.gov.gh/new/reg_details.php?id=Mjk4#:~:text=AN%20ACT%20to%20amend%20the,to%20provide%20for%20related%20matters</w:t>
        </w:r>
        <w:r w:rsidRPr="007A1409">
          <w:rPr>
            <w:rStyle w:val="Hyperlink"/>
            <w:rFonts w:cs="Arial"/>
            <w:color w:val="auto"/>
            <w:u w:val="none"/>
          </w:rPr>
          <w:t>.</w:t>
        </w:r>
      </w:hyperlink>
    </w:p>
  </w:footnote>
  <w:footnote w:id="53">
    <w:p w14:paraId="3BD25C0D" w14:textId="77777777" w:rsidR="00C15F2E" w:rsidRPr="00D96063" w:rsidRDefault="00C15F2E">
      <w:pPr>
        <w:pStyle w:val="FootnoteText"/>
      </w:pPr>
      <w:r w:rsidRPr="00D96063">
        <w:rPr>
          <w:rStyle w:val="FootnoteReference"/>
        </w:rPr>
        <w:footnoteRef/>
      </w:r>
      <w:r w:rsidRPr="00D96063">
        <w:t xml:space="preserve"> The National Health Insurance Levy (NHIL, 2.5%) and the Ghana Education Fund Levy (GETFund, 2.5%) are generally collected with VAT and on the same basis as VAT.</w:t>
      </w:r>
    </w:p>
  </w:footnote>
  <w:footnote w:id="54">
    <w:p w14:paraId="10222B3A" w14:textId="77777777" w:rsidR="00C15F2E" w:rsidRPr="00D96063" w:rsidRDefault="00C15F2E" w:rsidP="00E101A6">
      <w:pPr>
        <w:pStyle w:val="FootnoteText"/>
      </w:pPr>
      <w:r w:rsidRPr="00D96063">
        <w:rPr>
          <w:rStyle w:val="FootnoteReference"/>
        </w:rPr>
        <w:footnoteRef/>
      </w:r>
      <w:r w:rsidRPr="00D96063">
        <w:t xml:space="preserve"> GRA (2017), </w:t>
      </w:r>
      <w:r w:rsidRPr="00D96063">
        <w:rPr>
          <w:i/>
          <w:iCs/>
        </w:rPr>
        <w:t>Practice Note on the Application of VAT Flat Rate Scheme under the Value Added Tax Act, 2013 (Act 870)</w:t>
      </w:r>
      <w:r w:rsidRPr="00D96063">
        <w:t xml:space="preserve">. Viewed at: </w:t>
      </w:r>
      <w:hyperlink r:id="rId41" w:history="1">
        <w:r w:rsidRPr="00D96063">
          <w:rPr>
            <w:rStyle w:val="Hyperlink"/>
          </w:rPr>
          <w:t>https://gra.gov.gh/wp-content/uploads/2020/09/Practice-Note-on-VAT-Flat-Rate-Scheme.pdf</w:t>
        </w:r>
      </w:hyperlink>
      <w:r w:rsidRPr="00D96063">
        <w:t>.</w:t>
      </w:r>
    </w:p>
  </w:footnote>
  <w:footnote w:id="55">
    <w:p w14:paraId="09E11502" w14:textId="77777777" w:rsidR="00C15F2E" w:rsidRPr="00D96063" w:rsidRDefault="00C15F2E" w:rsidP="001D4050">
      <w:pPr>
        <w:pStyle w:val="FootnoteText"/>
      </w:pPr>
      <w:r w:rsidRPr="00D96063">
        <w:rPr>
          <w:rStyle w:val="FootnoteReference"/>
          <w:szCs w:val="16"/>
        </w:rPr>
        <w:footnoteRef/>
      </w:r>
      <w:r w:rsidRPr="00D96063">
        <w:t xml:space="preserve"> Ghana Shippers' Authority Regulations, 2012 (L.I. 2190). Viewed at: </w:t>
      </w:r>
      <w:hyperlink r:id="rId42" w:history="1">
        <w:r w:rsidRPr="00D96063">
          <w:rPr>
            <w:rStyle w:val="Hyperlink"/>
          </w:rPr>
          <w:t>https://www.bcp.gov.gh/acc/registry/docs/GHANA%20SHIPPERS%27%20AUTHORITY%20REGULATIONS,%202012%20(L.I.%202190).pdf</w:t>
        </w:r>
      </w:hyperlink>
      <w:r w:rsidRPr="007A1409">
        <w:rPr>
          <w:rStyle w:val="Hyperlink"/>
          <w:color w:val="auto"/>
          <w:u w:val="none"/>
        </w:rPr>
        <w:t>.</w:t>
      </w:r>
    </w:p>
  </w:footnote>
  <w:footnote w:id="56">
    <w:p w14:paraId="1AEFA567" w14:textId="77777777" w:rsidR="00C15F2E" w:rsidRPr="00D96063" w:rsidRDefault="00C15F2E" w:rsidP="00E101A6">
      <w:pPr>
        <w:pStyle w:val="FootnoteText"/>
      </w:pPr>
      <w:r w:rsidRPr="00D96063">
        <w:rPr>
          <w:rStyle w:val="FootnoteReference"/>
        </w:rPr>
        <w:footnoteRef/>
      </w:r>
      <w:r w:rsidRPr="00D96063">
        <w:t xml:space="preserve"> WTO document G/RO/N/44, 6 May 2004. </w:t>
      </w:r>
    </w:p>
  </w:footnote>
  <w:footnote w:id="57">
    <w:p w14:paraId="76A91251" w14:textId="77777777" w:rsidR="00C15F2E" w:rsidRPr="00D96063" w:rsidRDefault="00C15F2E" w:rsidP="00E101A6">
      <w:pPr>
        <w:pStyle w:val="FootnoteText"/>
      </w:pPr>
      <w:r w:rsidRPr="00D96063">
        <w:rPr>
          <w:rStyle w:val="FootnoteReference"/>
        </w:rPr>
        <w:footnoteRef/>
      </w:r>
      <w:r w:rsidRPr="00D96063">
        <w:t xml:space="preserve"> GNCCI (2018), </w:t>
      </w:r>
      <w:r w:rsidRPr="00D96063">
        <w:rPr>
          <w:i/>
          <w:iCs/>
        </w:rPr>
        <w:t>Accelerating the Implementation of the ECOWAS Trade Liberalization Scheme</w:t>
      </w:r>
      <w:r w:rsidRPr="00D96063">
        <w:t xml:space="preserve">. Viewed at: </w:t>
      </w:r>
      <w:hyperlink r:id="rId43" w:history="1">
        <w:r w:rsidRPr="00D96063">
          <w:rPr>
            <w:rStyle w:val="Hyperlink"/>
          </w:rPr>
          <w:t>https://ghanachamber.org/biat18/images/pdfs/etls_300618.pdf</w:t>
        </w:r>
      </w:hyperlink>
      <w:r w:rsidRPr="007A1409">
        <w:rPr>
          <w:rStyle w:val="Hyperlink"/>
          <w:color w:val="auto"/>
          <w:u w:val="none"/>
        </w:rPr>
        <w:t>.</w:t>
      </w:r>
    </w:p>
  </w:footnote>
  <w:footnote w:id="58">
    <w:p w14:paraId="3FF378D6" w14:textId="77777777" w:rsidR="008516FD" w:rsidRPr="00D96063" w:rsidRDefault="008516FD" w:rsidP="008516FD">
      <w:pPr>
        <w:pStyle w:val="FootnoteText"/>
      </w:pPr>
      <w:r w:rsidRPr="00D96063">
        <w:rPr>
          <w:rStyle w:val="FootnoteReference"/>
        </w:rPr>
        <w:footnoteRef/>
      </w:r>
      <w:r w:rsidRPr="00D96063">
        <w:t xml:space="preserve"> African Union, </w:t>
      </w:r>
      <w:r w:rsidRPr="00D96063">
        <w:rPr>
          <w:i/>
          <w:iCs/>
        </w:rPr>
        <w:t>AfCFTA: Appendix IV to Annex 2 on Rules of Origin</w:t>
      </w:r>
      <w:r w:rsidRPr="00D96063">
        <w:t xml:space="preserve">. Viewed at: </w:t>
      </w:r>
      <w:hyperlink r:id="rId44" w:history="1">
        <w:r w:rsidRPr="00D96063">
          <w:rPr>
            <w:rStyle w:val="Hyperlink"/>
          </w:rPr>
          <w:t>https://afcfta.au.int/en/afcfta-rules-origin</w:t>
        </w:r>
      </w:hyperlink>
      <w:r w:rsidRPr="007A1409">
        <w:rPr>
          <w:rStyle w:val="Hyperlink"/>
          <w:color w:val="auto"/>
          <w:u w:val="none"/>
        </w:rPr>
        <w:t>.</w:t>
      </w:r>
    </w:p>
  </w:footnote>
  <w:footnote w:id="59">
    <w:p w14:paraId="7A6F7F15" w14:textId="77777777" w:rsidR="008516FD" w:rsidRPr="00D96063" w:rsidRDefault="008516FD" w:rsidP="008516FD">
      <w:pPr>
        <w:pStyle w:val="FootnoteText"/>
      </w:pPr>
      <w:r w:rsidRPr="00D96063">
        <w:rPr>
          <w:rStyle w:val="FootnoteReference"/>
        </w:rPr>
        <w:footnoteRef/>
      </w:r>
      <w:r w:rsidRPr="00D96063">
        <w:t xml:space="preserve"> Viljoen, W. (2019), "Rules of Origin, Tariffs and the AfCFTA", </w:t>
      </w:r>
      <w:r w:rsidRPr="00D96063">
        <w:rPr>
          <w:i/>
          <w:iCs/>
        </w:rPr>
        <w:t>Tralac</w:t>
      </w:r>
      <w:r w:rsidRPr="00D96063">
        <w:t xml:space="preserve">, 17 May. Viewed at: </w:t>
      </w:r>
      <w:hyperlink r:id="rId45" w:history="1">
        <w:r w:rsidRPr="00D96063">
          <w:rPr>
            <w:rStyle w:val="Hyperlink"/>
          </w:rPr>
          <w:t>https://www.tralac.org/blog/article/14063-rules-of-origin-tariffs-and-the-afcfta.html</w:t>
        </w:r>
      </w:hyperlink>
      <w:r w:rsidRPr="007A1409">
        <w:rPr>
          <w:rStyle w:val="Hyperlink"/>
          <w:color w:val="auto"/>
          <w:u w:val="none"/>
        </w:rPr>
        <w:t>.</w:t>
      </w:r>
    </w:p>
  </w:footnote>
  <w:footnote w:id="60">
    <w:p w14:paraId="226B4490" w14:textId="77777777" w:rsidR="008516FD" w:rsidRPr="00D96063" w:rsidRDefault="008516FD" w:rsidP="008516FD">
      <w:pPr>
        <w:pStyle w:val="FootnoteText"/>
      </w:pPr>
      <w:r w:rsidRPr="00D96063">
        <w:rPr>
          <w:rStyle w:val="FootnoteReference"/>
        </w:rPr>
        <w:footnoteRef/>
      </w:r>
      <w:r w:rsidRPr="00D96063">
        <w:t xml:space="preserve"> UNCTAD (2019), </w:t>
      </w:r>
      <w:r w:rsidRPr="00D96063">
        <w:rPr>
          <w:i/>
          <w:iCs/>
        </w:rPr>
        <w:t>Economic Development in Africa – Report 2019</w:t>
      </w:r>
      <w:r w:rsidRPr="00D96063">
        <w:t xml:space="preserve">. Viewed at: </w:t>
      </w:r>
      <w:hyperlink r:id="rId46" w:history="1">
        <w:r w:rsidRPr="00D96063">
          <w:rPr>
            <w:rStyle w:val="Hyperlink"/>
          </w:rPr>
          <w:t>https://unctad.org/system/files/official-document/aldcafrica2019_en.pdf</w:t>
        </w:r>
      </w:hyperlink>
      <w:r w:rsidRPr="007A1409">
        <w:rPr>
          <w:rStyle w:val="Hyperlink"/>
          <w:color w:val="auto"/>
          <w:u w:val="none"/>
        </w:rPr>
        <w:t>.</w:t>
      </w:r>
    </w:p>
  </w:footnote>
  <w:footnote w:id="61">
    <w:p w14:paraId="51936ECC" w14:textId="77777777" w:rsidR="00C15F2E" w:rsidRPr="00D96063" w:rsidRDefault="00C15F2E" w:rsidP="00E101A6">
      <w:pPr>
        <w:pStyle w:val="FootnoteText"/>
      </w:pPr>
      <w:r w:rsidRPr="00D96063">
        <w:rPr>
          <w:rStyle w:val="FootnoteReference"/>
        </w:rPr>
        <w:footnoteRef/>
      </w:r>
      <w:r w:rsidRPr="00D96063">
        <w:t xml:space="preserve"> </w:t>
      </w:r>
      <w:r w:rsidRPr="00D96063">
        <w:rPr>
          <w:i/>
          <w:iCs/>
        </w:rPr>
        <w:t>Official Journal of the European Union</w:t>
      </w:r>
      <w:r w:rsidRPr="00D96063">
        <w:t xml:space="preserve"> (2016), Stepping Stone Economic Partnership Agreement, L 287/3, 21 October. Viewed at: </w:t>
      </w:r>
      <w:hyperlink r:id="rId47" w:history="1">
        <w:r w:rsidRPr="00D96063">
          <w:rPr>
            <w:rStyle w:val="Hyperlink"/>
          </w:rPr>
          <w:t>https://eur-lex.europa.eu/legal-content/EN/TXT/PDF/?uri=CELEX:22016A1021(01)&amp;from=EN</w:t>
        </w:r>
      </w:hyperlink>
      <w:r w:rsidRPr="007A1409">
        <w:rPr>
          <w:rStyle w:val="Hyperlink"/>
          <w:color w:val="auto"/>
          <w:u w:val="none"/>
        </w:rPr>
        <w:t>.</w:t>
      </w:r>
    </w:p>
  </w:footnote>
  <w:footnote w:id="62">
    <w:p w14:paraId="200E5F2E" w14:textId="77777777" w:rsidR="00C15F2E" w:rsidRPr="00D96063" w:rsidRDefault="00C15F2E" w:rsidP="00E101A6">
      <w:pPr>
        <w:pStyle w:val="FootnoteText"/>
      </w:pPr>
      <w:r w:rsidRPr="00D96063">
        <w:rPr>
          <w:rStyle w:val="FootnoteReference"/>
        </w:rPr>
        <w:footnoteRef/>
      </w:r>
      <w:r w:rsidRPr="00D96063">
        <w:t xml:space="preserve"> </w:t>
      </w:r>
      <w:r w:rsidRPr="00D96063">
        <w:rPr>
          <w:i/>
          <w:iCs/>
        </w:rPr>
        <w:t>Official Journal of the European Union</w:t>
      </w:r>
      <w:r w:rsidRPr="00D96063">
        <w:t xml:space="preserve"> (2019), Council Decision (EU) 2019/2208 regarding Protocol No. 1 Concerning the Definition of the Concept of Originating Products, L 332/19, 23 December. Viewed at: </w:t>
      </w:r>
      <w:hyperlink r:id="rId48" w:history="1">
        <w:r w:rsidRPr="00D96063">
          <w:rPr>
            <w:rStyle w:val="Hyperlink"/>
          </w:rPr>
          <w:t>https://eur-lex.europa.eu/legal-content/EN/TXT/PDF/?uri=CELEX:32019D2208&amp;from=EN</w:t>
        </w:r>
      </w:hyperlink>
      <w:r w:rsidRPr="007A1409">
        <w:rPr>
          <w:rStyle w:val="Hyperlink"/>
          <w:color w:val="auto"/>
          <w:u w:val="none"/>
        </w:rPr>
        <w:t>.</w:t>
      </w:r>
    </w:p>
  </w:footnote>
  <w:footnote w:id="63">
    <w:p w14:paraId="62661DBC" w14:textId="77777777" w:rsidR="00C15F2E" w:rsidRPr="00D96063" w:rsidRDefault="00C15F2E" w:rsidP="00E101A6">
      <w:pPr>
        <w:pStyle w:val="FootnoteText"/>
      </w:pPr>
      <w:r w:rsidRPr="00D96063">
        <w:rPr>
          <w:rStyle w:val="FootnoteReference"/>
        </w:rPr>
        <w:footnoteRef/>
      </w:r>
      <w:r w:rsidRPr="00D96063">
        <w:t xml:space="preserve"> Interim Trade Partnership Agreement between the United Kingdom of Great Britain and Northern Ireland, of the One Part, and the Republic of Ghana, of the other Part. Viewed at: </w:t>
      </w:r>
      <w:hyperlink r:id="rId49" w:history="1">
        <w:r w:rsidRPr="00D96063">
          <w:rPr>
            <w:rStyle w:val="Hyperlink"/>
          </w:rPr>
          <w:t>https://assets.publishing.service.gov.uk/government/uploads/system/uploads/attachment_data/file/978684/CS_Ghana_1.2021_UK_Ghana_Interim_Trade_Partnership_Agreement.pdf</w:t>
        </w:r>
      </w:hyperlink>
      <w:r w:rsidRPr="007A1409">
        <w:rPr>
          <w:rStyle w:val="Hyperlink"/>
          <w:color w:val="auto"/>
          <w:u w:val="none"/>
        </w:rPr>
        <w:t>.</w:t>
      </w:r>
    </w:p>
  </w:footnote>
  <w:footnote w:id="64">
    <w:p w14:paraId="028F8DB7" w14:textId="77777777" w:rsidR="00C15F2E" w:rsidRPr="00D96063" w:rsidRDefault="00C15F2E" w:rsidP="00E101A6">
      <w:pPr>
        <w:pStyle w:val="FootnoteText"/>
      </w:pPr>
      <w:r w:rsidRPr="00D96063">
        <w:rPr>
          <w:rStyle w:val="FootnoteReference"/>
        </w:rPr>
        <w:footnoteRef/>
      </w:r>
      <w:r w:rsidRPr="00D96063">
        <w:t xml:space="preserve"> WTO documents G/LIC/N/3/GHA/3, 21 April 2004; and G/LIC/N/3/GHA/4, 26 September 2009. </w:t>
      </w:r>
    </w:p>
  </w:footnote>
  <w:footnote w:id="65">
    <w:p w14:paraId="583C65D8" w14:textId="77777777" w:rsidR="00C15F2E" w:rsidRPr="00D96063" w:rsidRDefault="00C15F2E" w:rsidP="00E101A6">
      <w:pPr>
        <w:pStyle w:val="FootnoteText"/>
      </w:pPr>
      <w:r w:rsidRPr="00D96063">
        <w:rPr>
          <w:rStyle w:val="FootnoteReference"/>
        </w:rPr>
        <w:footnoteRef/>
      </w:r>
      <w:r w:rsidRPr="00D96063">
        <w:t xml:space="preserve"> Export and Import Restrictions on Portland Cement, Regulations, 2016 (L.I. 2240). Viewed at: </w:t>
      </w:r>
      <w:hyperlink r:id="rId50" w:history="1">
        <w:r w:rsidRPr="00D96063">
          <w:rPr>
            <w:rStyle w:val="Hyperlink"/>
          </w:rPr>
          <w:t>https://bcp.gov.gh/acc/registry/docs/EXPORT%20AND%20IMPORT%20(RESTRICTIONS%20ON%20IMPORTATION%20OF%20PORTLAND%20CEMENT)%20REGULATIONS,%202016%20(L.I.%202240).pdf</w:t>
        </w:r>
      </w:hyperlink>
      <w:r w:rsidRPr="00D96063">
        <w:t xml:space="preserve">. </w:t>
      </w:r>
    </w:p>
  </w:footnote>
  <w:footnote w:id="66">
    <w:p w14:paraId="201BEA70" w14:textId="77777777" w:rsidR="00C15F2E" w:rsidRPr="00D96063" w:rsidRDefault="00C15F2E" w:rsidP="00E101A6">
      <w:pPr>
        <w:pStyle w:val="FootnoteText"/>
      </w:pPr>
      <w:r w:rsidRPr="00D96063">
        <w:rPr>
          <w:rStyle w:val="FootnoteReference"/>
        </w:rPr>
        <w:footnoteRef/>
      </w:r>
      <w:r w:rsidRPr="00D96063">
        <w:t xml:space="preserve"> WTO document G/ADP/N/193/GHA, 8 April 2011. </w:t>
      </w:r>
    </w:p>
  </w:footnote>
  <w:footnote w:id="67">
    <w:p w14:paraId="69FD826F" w14:textId="77777777" w:rsidR="00C15F2E" w:rsidRPr="00D96063" w:rsidRDefault="00C15F2E" w:rsidP="00E101A6">
      <w:pPr>
        <w:pStyle w:val="FootnoteText"/>
      </w:pPr>
      <w:r w:rsidRPr="00D96063">
        <w:rPr>
          <w:rStyle w:val="FootnoteReference"/>
        </w:rPr>
        <w:footnoteRef/>
      </w:r>
      <w:r w:rsidRPr="00D96063">
        <w:t xml:space="preserve"> WTO document G/SCM/N/202/GHA, 21 April 2011. </w:t>
      </w:r>
    </w:p>
  </w:footnote>
  <w:footnote w:id="68">
    <w:p w14:paraId="3D81BB8F" w14:textId="77777777" w:rsidR="00C15F2E" w:rsidRPr="00D96063" w:rsidRDefault="00C15F2E" w:rsidP="00E101A6">
      <w:pPr>
        <w:pStyle w:val="FootnoteText"/>
      </w:pPr>
      <w:r w:rsidRPr="00D96063">
        <w:rPr>
          <w:rStyle w:val="FootnoteReference"/>
        </w:rPr>
        <w:footnoteRef/>
      </w:r>
      <w:r w:rsidRPr="00D96063">
        <w:t xml:space="preserve"> Ghana International Trade Commission Act, 2016 (Act 926). Viewed at: </w:t>
      </w:r>
      <w:hyperlink r:id="rId51" w:history="1">
        <w:r w:rsidRPr="00D96063">
          <w:rPr>
            <w:rStyle w:val="Hyperlink"/>
          </w:rPr>
          <w:t>https://bcp.gov.gh/acc/registry/docs/Ghana%20International%20Trade%20Commission%20Act,%202016%20(ACT%20926)%20.pdf</w:t>
        </w:r>
      </w:hyperlink>
      <w:r w:rsidRPr="007A1409">
        <w:rPr>
          <w:rStyle w:val="Hyperlink"/>
          <w:color w:val="auto"/>
          <w:u w:val="none"/>
        </w:rPr>
        <w:t>.</w:t>
      </w:r>
    </w:p>
  </w:footnote>
  <w:footnote w:id="69">
    <w:p w14:paraId="3505319F" w14:textId="77777777" w:rsidR="00C15F2E" w:rsidRPr="00D96063" w:rsidRDefault="00C15F2E" w:rsidP="00E101A6">
      <w:pPr>
        <w:pStyle w:val="FootnoteText"/>
      </w:pPr>
      <w:r w:rsidRPr="00D96063">
        <w:rPr>
          <w:rStyle w:val="FootnoteReference"/>
        </w:rPr>
        <w:footnoteRef/>
      </w:r>
      <w:r w:rsidRPr="00D96063">
        <w:t xml:space="preserve"> The Commission is also mandated to review tariff matters as well as analyse the competitiveness of Ghana's tariff structure. The Commission is required to monitor and review the pattern of Ghana's international trade and advise the Minister on matters affecting trade and industry; study, identify, and recommend to the Minister tariff levels for specific sectors of the economy with due regard to the effective rate of protection; and conduct studies and publish reports on the competitiveness of Ghana's tariff structure and the impact of the tariff structure on domestic industry, market access opportunities, and challenges in relation to exports from Ghana.</w:t>
      </w:r>
    </w:p>
  </w:footnote>
  <w:footnote w:id="70">
    <w:p w14:paraId="234D5DFB" w14:textId="77777777" w:rsidR="00C15F2E" w:rsidRPr="00D96063" w:rsidRDefault="00C15F2E" w:rsidP="00E101A6">
      <w:pPr>
        <w:pStyle w:val="FootnoteText"/>
      </w:pPr>
      <w:r w:rsidRPr="00D96063">
        <w:rPr>
          <w:rStyle w:val="FootnoteReference"/>
        </w:rPr>
        <w:footnoteRef/>
      </w:r>
      <w:r w:rsidRPr="00D96063">
        <w:t xml:space="preserve"> GEPA. Viewed at: </w:t>
      </w:r>
      <w:hyperlink r:id="rId52" w:history="1">
        <w:r w:rsidRPr="00D96063">
          <w:rPr>
            <w:rStyle w:val="Hyperlink"/>
          </w:rPr>
          <w:t>https://www.gepaghana.org/about-us/about-gepa/</w:t>
        </w:r>
      </w:hyperlink>
      <w:r w:rsidRPr="007A1409">
        <w:rPr>
          <w:rStyle w:val="Hyperlink"/>
          <w:color w:val="auto"/>
          <w:u w:val="none"/>
        </w:rPr>
        <w:t>.</w:t>
      </w:r>
    </w:p>
  </w:footnote>
  <w:footnote w:id="71">
    <w:p w14:paraId="6A1B2904" w14:textId="77777777" w:rsidR="00C15F2E" w:rsidRPr="00D96063" w:rsidRDefault="00C15F2E" w:rsidP="00E101A6">
      <w:pPr>
        <w:pStyle w:val="FootnoteText"/>
      </w:pPr>
      <w:r w:rsidRPr="00D96063">
        <w:rPr>
          <w:rStyle w:val="FootnoteReference"/>
        </w:rPr>
        <w:footnoteRef/>
      </w:r>
      <w:r w:rsidRPr="00D96063">
        <w:t xml:space="preserve"> Foreign Exchange Act, 2006 (Act 723), paras. 14-16; and BoG Public Notice issued on 31 May 2016.</w:t>
      </w:r>
    </w:p>
  </w:footnote>
  <w:footnote w:id="72">
    <w:p w14:paraId="2F017F8E" w14:textId="77777777" w:rsidR="00C15F2E" w:rsidRPr="00D96063" w:rsidRDefault="00C15F2E" w:rsidP="00E101A6">
      <w:pPr>
        <w:pStyle w:val="FootnoteText"/>
      </w:pPr>
      <w:r w:rsidRPr="00D96063">
        <w:rPr>
          <w:rStyle w:val="FootnoteReference"/>
        </w:rPr>
        <w:footnoteRef/>
      </w:r>
      <w:r w:rsidRPr="00D96063">
        <w:t xml:space="preserve"> GNCCI. Viewed at: </w:t>
      </w:r>
      <w:hyperlink r:id="rId53" w:history="1">
        <w:r w:rsidRPr="00D96063">
          <w:rPr>
            <w:rStyle w:val="Hyperlink"/>
          </w:rPr>
          <w:t>https://www.ghanachamber.org</w:t>
        </w:r>
      </w:hyperlink>
      <w:r w:rsidRPr="00D96063">
        <w:t>.</w:t>
      </w:r>
    </w:p>
  </w:footnote>
  <w:footnote w:id="73">
    <w:p w14:paraId="67874326" w14:textId="77777777" w:rsidR="00C15F2E" w:rsidRPr="00D96063" w:rsidRDefault="00C15F2E" w:rsidP="00E101A6">
      <w:pPr>
        <w:pStyle w:val="FootnoteText"/>
      </w:pPr>
      <w:r w:rsidRPr="00D96063">
        <w:rPr>
          <w:rStyle w:val="FootnoteReference"/>
        </w:rPr>
        <w:footnoteRef/>
      </w:r>
      <w:r w:rsidRPr="00D96063">
        <w:t xml:space="preserve"> ECOWAS Trade Information System (ECOTIS). Viewed at: </w:t>
      </w:r>
      <w:hyperlink r:id="rId54" w:history="1">
        <w:r w:rsidRPr="00D96063">
          <w:rPr>
            <w:rStyle w:val="Hyperlink"/>
          </w:rPr>
          <w:t>https://ecotis.projects.ecowas.int/policy-development/common-market-and-custom-union/</w:t>
        </w:r>
      </w:hyperlink>
      <w:r w:rsidRPr="007A1409">
        <w:rPr>
          <w:rStyle w:val="Hyperlink"/>
          <w:color w:val="auto"/>
          <w:u w:val="none"/>
        </w:rPr>
        <w:t>.</w:t>
      </w:r>
    </w:p>
  </w:footnote>
  <w:footnote w:id="74">
    <w:p w14:paraId="4B27FD78" w14:textId="77777777" w:rsidR="00C15F2E" w:rsidRPr="00D96063" w:rsidRDefault="00C15F2E" w:rsidP="00E101A6">
      <w:pPr>
        <w:pStyle w:val="FootnoteText"/>
      </w:pPr>
      <w:r w:rsidRPr="00D96063">
        <w:rPr>
          <w:rStyle w:val="FootnoteReference"/>
        </w:rPr>
        <w:footnoteRef/>
      </w:r>
      <w:r w:rsidRPr="00D96063">
        <w:t xml:space="preserve"> GRA, </w:t>
      </w:r>
      <w:r w:rsidRPr="00D96063">
        <w:rPr>
          <w:i/>
          <w:iCs/>
        </w:rPr>
        <w:t>Export Restrictions and Prohibitions</w:t>
      </w:r>
      <w:r w:rsidRPr="00D96063">
        <w:t xml:space="preserve">. Viewed at: </w:t>
      </w:r>
      <w:hyperlink r:id="rId55" w:history="1">
        <w:r w:rsidRPr="00D96063">
          <w:rPr>
            <w:rStyle w:val="Hyperlink"/>
          </w:rPr>
          <w:t>https://gra.gov.gh/customs/export-restrictions-and-prohibitions/</w:t>
        </w:r>
      </w:hyperlink>
      <w:r w:rsidRPr="00D96063">
        <w:t>.</w:t>
      </w:r>
    </w:p>
  </w:footnote>
  <w:footnote w:id="75">
    <w:p w14:paraId="5833B750" w14:textId="77777777" w:rsidR="00C15F2E" w:rsidRPr="00D96063" w:rsidRDefault="00C15F2E" w:rsidP="00E101A6">
      <w:pPr>
        <w:pStyle w:val="FootnoteText"/>
      </w:pPr>
      <w:r w:rsidRPr="00D96063">
        <w:rPr>
          <w:rStyle w:val="FootnoteReference"/>
        </w:rPr>
        <w:footnoteRef/>
      </w:r>
      <w:r w:rsidRPr="00D96063">
        <w:t xml:space="preserve"> GEPA, </w:t>
      </w:r>
      <w:r w:rsidRPr="00D96063">
        <w:rPr>
          <w:i/>
          <w:iCs/>
        </w:rPr>
        <w:t>About GEPA</w:t>
      </w:r>
      <w:r w:rsidRPr="00D96063">
        <w:t xml:space="preserve">. Viewed at: </w:t>
      </w:r>
      <w:hyperlink r:id="rId56" w:history="1">
        <w:r w:rsidRPr="00D96063">
          <w:rPr>
            <w:rStyle w:val="Hyperlink"/>
          </w:rPr>
          <w:t>https://www.gepaghana.org/about-us/about-gepa/</w:t>
        </w:r>
      </w:hyperlink>
      <w:r w:rsidRPr="007A1409">
        <w:rPr>
          <w:rStyle w:val="Hyperlink"/>
          <w:color w:val="auto"/>
          <w:u w:val="none"/>
        </w:rPr>
        <w:t>.</w:t>
      </w:r>
    </w:p>
  </w:footnote>
  <w:footnote w:id="76">
    <w:p w14:paraId="530C6648" w14:textId="77777777" w:rsidR="00C15F2E" w:rsidRPr="00D96063" w:rsidRDefault="00C15F2E" w:rsidP="00E101A6">
      <w:pPr>
        <w:pStyle w:val="FootnoteText"/>
      </w:pPr>
      <w:r w:rsidRPr="00D96063">
        <w:rPr>
          <w:rStyle w:val="FootnoteReference"/>
        </w:rPr>
        <w:footnoteRef/>
      </w:r>
      <w:r w:rsidRPr="00D96063">
        <w:t xml:space="preserve"> GEPA, </w:t>
      </w:r>
      <w:r w:rsidRPr="00D96063">
        <w:rPr>
          <w:i/>
          <w:iCs/>
        </w:rPr>
        <w:t>Strategic Partners</w:t>
      </w:r>
      <w:r w:rsidRPr="00D96063">
        <w:t xml:space="preserve">. Viewed at: </w:t>
      </w:r>
      <w:hyperlink r:id="rId57" w:history="1">
        <w:r w:rsidRPr="00D96063">
          <w:rPr>
            <w:rStyle w:val="Hyperlink"/>
          </w:rPr>
          <w:t>https://www.gepaghana.org/about-us/strategic-partners/</w:t>
        </w:r>
      </w:hyperlink>
      <w:r w:rsidRPr="007A1409">
        <w:rPr>
          <w:rStyle w:val="Hyperlink"/>
          <w:color w:val="auto"/>
          <w:u w:val="none"/>
        </w:rPr>
        <w:t>.</w:t>
      </w:r>
    </w:p>
  </w:footnote>
  <w:footnote w:id="77">
    <w:p w14:paraId="1DBCB96A" w14:textId="77777777" w:rsidR="00C15F2E" w:rsidRPr="00D96063" w:rsidRDefault="00C15F2E" w:rsidP="00E101A6">
      <w:pPr>
        <w:pStyle w:val="FootnoteText"/>
      </w:pPr>
      <w:r w:rsidRPr="00D96063">
        <w:rPr>
          <w:rStyle w:val="FootnoteReference"/>
        </w:rPr>
        <w:footnoteRef/>
      </w:r>
      <w:r w:rsidRPr="00D96063">
        <w:t xml:space="preserve"> GEPA, Summary List of Institutions/Agencies Involved in Export Development and Promotion in Ghana. Viewed at: </w:t>
      </w:r>
      <w:hyperlink r:id="rId58" w:history="1">
        <w:r w:rsidRPr="00D96063">
          <w:rPr>
            <w:rStyle w:val="Hyperlink"/>
          </w:rPr>
          <w:t>https://www.gepaghana.org/cms/wp-content/uploads/2017/04/GEPA-institutional-partners-download.pdf</w:t>
        </w:r>
      </w:hyperlink>
      <w:r w:rsidRPr="007A1409">
        <w:rPr>
          <w:rStyle w:val="Hyperlink"/>
          <w:color w:val="auto"/>
          <w:u w:val="none"/>
        </w:rPr>
        <w:t>.</w:t>
      </w:r>
    </w:p>
  </w:footnote>
  <w:footnote w:id="78">
    <w:p w14:paraId="6C21E881" w14:textId="33C5FD29" w:rsidR="00C15F2E" w:rsidRPr="00D96063" w:rsidRDefault="00C15F2E" w:rsidP="00E101A6">
      <w:pPr>
        <w:pStyle w:val="FootnoteText"/>
      </w:pPr>
      <w:r w:rsidRPr="00D96063">
        <w:rPr>
          <w:rStyle w:val="FootnoteReference"/>
        </w:rPr>
        <w:footnoteRef/>
      </w:r>
      <w:r w:rsidRPr="00D96063">
        <w:t xml:space="preserve"> Customs Excise and Preventive Management Act, 1993 (PNDCL</w:t>
      </w:r>
      <w:r w:rsidR="008113D4">
        <w:t> </w:t>
      </w:r>
      <w:r w:rsidRPr="00D96063">
        <w:t xml:space="preserve">330); and Customs Regulation, 1976 (L.I. 1060). Viewed at: </w:t>
      </w:r>
      <w:hyperlink r:id="rId59" w:history="1">
        <w:r w:rsidRPr="00D96063">
          <w:rPr>
            <w:rStyle w:val="Hyperlink"/>
          </w:rPr>
          <w:t>http://www.gra.gov.gh</w:t>
        </w:r>
      </w:hyperlink>
      <w:r w:rsidRPr="00D96063">
        <w:t>.</w:t>
      </w:r>
    </w:p>
  </w:footnote>
  <w:footnote w:id="79">
    <w:p w14:paraId="6BE18443" w14:textId="77777777" w:rsidR="00C15F2E" w:rsidRPr="00D96063" w:rsidRDefault="00C15F2E" w:rsidP="00E101A6">
      <w:pPr>
        <w:pStyle w:val="FootnoteText"/>
      </w:pPr>
      <w:r w:rsidRPr="00D96063">
        <w:rPr>
          <w:rStyle w:val="FootnoteReference"/>
        </w:rPr>
        <w:footnoteRef/>
      </w:r>
      <w:r w:rsidRPr="00D96063">
        <w:t xml:space="preserve"> </w:t>
      </w:r>
      <w:r w:rsidRPr="00D96063">
        <w:rPr>
          <w:i/>
          <w:iCs/>
        </w:rPr>
        <w:t>Shipping Review</w:t>
      </w:r>
      <w:r w:rsidRPr="00D96063">
        <w:t xml:space="preserve"> (2016), Vol. 18, No. 3, July-September. Viewed at: </w:t>
      </w:r>
      <w:hyperlink r:id="rId60" w:history="1">
        <w:r w:rsidRPr="00D96063">
          <w:rPr>
            <w:rStyle w:val="Hyperlink"/>
          </w:rPr>
          <w:t>https://shippers.org.gh/wp-content/uploads/2016/08/SR-J_S.pdf</w:t>
        </w:r>
      </w:hyperlink>
      <w:r w:rsidRPr="007A1409">
        <w:rPr>
          <w:rStyle w:val="Hyperlink"/>
          <w:color w:val="auto"/>
          <w:u w:val="none"/>
        </w:rPr>
        <w:t>.</w:t>
      </w:r>
    </w:p>
  </w:footnote>
  <w:footnote w:id="80">
    <w:p w14:paraId="459BF1A8" w14:textId="77777777" w:rsidR="00C15F2E" w:rsidRPr="00D96063" w:rsidRDefault="00C15F2E">
      <w:pPr>
        <w:pStyle w:val="FootnoteText"/>
      </w:pPr>
      <w:r w:rsidRPr="00D96063">
        <w:rPr>
          <w:rStyle w:val="FootnoteReference"/>
        </w:rPr>
        <w:footnoteRef/>
      </w:r>
      <w:r w:rsidRPr="00D96063">
        <w:t xml:space="preserve"> Income Tax Act, 2015 (Act 896) as amended, First Schedule, para. 3.</w:t>
      </w:r>
    </w:p>
  </w:footnote>
  <w:footnote w:id="81">
    <w:p w14:paraId="0A92827E" w14:textId="77777777" w:rsidR="00C15F2E" w:rsidRPr="00D96063" w:rsidRDefault="00C15F2E" w:rsidP="00E101A6">
      <w:pPr>
        <w:pStyle w:val="FootnoteText"/>
      </w:pPr>
      <w:r w:rsidRPr="00D96063">
        <w:rPr>
          <w:rStyle w:val="FootnoteReference"/>
        </w:rPr>
        <w:footnoteRef/>
      </w:r>
      <w:r w:rsidRPr="00D96063">
        <w:t xml:space="preserve"> Ghana Export-Import Bank Act, 2016 (Act 911). Viewed at: </w:t>
      </w:r>
      <w:hyperlink r:id="rId61" w:history="1">
        <w:r w:rsidRPr="00D96063">
          <w:rPr>
            <w:rStyle w:val="Hyperlink"/>
          </w:rPr>
          <w:t>https://bcp.gov.gh/acc/registry/docs/GHANA%20EXPORT-IMPORT%20BANK%20ACT,%202016%C2%A0Act%C2%A0%20(ACT%20911).pdf</w:t>
        </w:r>
      </w:hyperlink>
      <w:r w:rsidRPr="007A1409">
        <w:rPr>
          <w:rStyle w:val="Hyperlink"/>
          <w:color w:val="auto"/>
          <w:u w:val="none"/>
        </w:rPr>
        <w:t>.</w:t>
      </w:r>
    </w:p>
  </w:footnote>
  <w:footnote w:id="82">
    <w:p w14:paraId="31A4C1B0" w14:textId="77777777" w:rsidR="00C15F2E" w:rsidRPr="00D96063" w:rsidRDefault="00C15F2E" w:rsidP="00E101A6">
      <w:pPr>
        <w:pStyle w:val="FootnoteText"/>
      </w:pPr>
      <w:r w:rsidRPr="00D96063">
        <w:rPr>
          <w:rStyle w:val="FootnoteReference"/>
        </w:rPr>
        <w:footnoteRef/>
      </w:r>
      <w:r w:rsidRPr="00D96063">
        <w:t xml:space="preserve"> Report of the Ghana Parliament Finance Committee, February 2020. Viewed at: </w:t>
      </w:r>
      <w:hyperlink r:id="rId62" w:history="1">
        <w:r w:rsidRPr="00D96063">
          <w:rPr>
            <w:rStyle w:val="Hyperlink"/>
          </w:rPr>
          <w:t>http://ir.parliament.gh/bitstream/handle/123456789/1627/2020_02_26_13_03_41.pdf?sequence=1&amp;isAllowed=y</w:t>
        </w:r>
      </w:hyperlink>
      <w:r w:rsidRPr="007A1409">
        <w:rPr>
          <w:rStyle w:val="Hyperlink"/>
          <w:color w:val="auto"/>
          <w:u w:val="none"/>
        </w:rPr>
        <w:t>.</w:t>
      </w:r>
    </w:p>
  </w:footnote>
  <w:footnote w:id="83">
    <w:p w14:paraId="18A75355" w14:textId="77777777" w:rsidR="00C15F2E" w:rsidRPr="00D96063" w:rsidRDefault="00C15F2E" w:rsidP="00E101A6">
      <w:pPr>
        <w:pStyle w:val="FootnoteText"/>
      </w:pPr>
      <w:r w:rsidRPr="00D96063">
        <w:rPr>
          <w:rStyle w:val="FootnoteReference"/>
        </w:rPr>
        <w:footnoteRef/>
      </w:r>
      <w:r w:rsidRPr="00D96063">
        <w:t xml:space="preserve"> GEXIM Bank, </w:t>
      </w:r>
      <w:r w:rsidRPr="00D96063">
        <w:rPr>
          <w:i/>
          <w:iCs/>
        </w:rPr>
        <w:t>Pre-Shipment Credit Facility</w:t>
      </w:r>
      <w:r w:rsidRPr="00D96063">
        <w:t xml:space="preserve">. Viewed at: </w:t>
      </w:r>
      <w:hyperlink r:id="rId63" w:history="1">
        <w:bookmarkStart w:id="150" w:name="_Hlk92272508"/>
        <w:r w:rsidRPr="00D96063">
          <w:rPr>
            <w:rStyle w:val="Hyperlink"/>
          </w:rPr>
          <w:t>https://www.eximbankghana.com/pre-shipment-credit-facility</w:t>
        </w:r>
        <w:bookmarkEnd w:id="150"/>
      </w:hyperlink>
      <w:r w:rsidRPr="007A1409">
        <w:rPr>
          <w:rStyle w:val="Hyperlink"/>
          <w:color w:val="auto"/>
          <w:u w:val="none"/>
        </w:rPr>
        <w:t>.</w:t>
      </w:r>
    </w:p>
  </w:footnote>
  <w:footnote w:id="84">
    <w:p w14:paraId="6634A7E9" w14:textId="77777777" w:rsidR="00C15F2E" w:rsidRPr="00D96063" w:rsidRDefault="00C15F2E" w:rsidP="00E101A6">
      <w:pPr>
        <w:pStyle w:val="FootnoteText"/>
      </w:pPr>
      <w:r w:rsidRPr="00D96063">
        <w:rPr>
          <w:rStyle w:val="FootnoteReference"/>
        </w:rPr>
        <w:footnoteRef/>
      </w:r>
      <w:r w:rsidRPr="00D96063">
        <w:t xml:space="preserve"> GFZA, </w:t>
      </w:r>
      <w:r w:rsidRPr="00D96063">
        <w:rPr>
          <w:i/>
          <w:iCs/>
        </w:rPr>
        <w:t>GFZA Profile</w:t>
      </w:r>
      <w:r w:rsidRPr="00D96063">
        <w:t>. Viewed at:</w:t>
      </w:r>
      <w:r w:rsidRPr="00D96063">
        <w:rPr>
          <w:rStyle w:val="Hyperlink"/>
        </w:rPr>
        <w:t xml:space="preserve"> </w:t>
      </w:r>
      <w:hyperlink r:id="rId64" w:history="1">
        <w:r w:rsidRPr="00D96063">
          <w:rPr>
            <w:rStyle w:val="Hyperlink"/>
          </w:rPr>
          <w:t>https://gfzb.gov.gh/index.php/gfza-profile/</w:t>
        </w:r>
      </w:hyperlink>
      <w:r w:rsidRPr="00D96063">
        <w:t>.</w:t>
      </w:r>
    </w:p>
  </w:footnote>
  <w:footnote w:id="85">
    <w:p w14:paraId="0D1A9327" w14:textId="77777777" w:rsidR="00C15F2E" w:rsidRPr="00D96063" w:rsidRDefault="00C15F2E" w:rsidP="00E101A6">
      <w:pPr>
        <w:pStyle w:val="FootnoteText"/>
      </w:pPr>
      <w:r w:rsidRPr="00D96063">
        <w:rPr>
          <w:rStyle w:val="FootnoteReference"/>
        </w:rPr>
        <w:footnoteRef/>
      </w:r>
      <w:r w:rsidRPr="00D96063">
        <w:t xml:space="preserve"> Free Zone Act, 1995 (Act 504). Viewed at: </w:t>
      </w:r>
      <w:hyperlink r:id="rId65" w:history="1">
        <w:r w:rsidRPr="00D96063">
          <w:rPr>
            <w:rStyle w:val="Hyperlink"/>
          </w:rPr>
          <w:t>https://gfzb.gov.gh/wp-content/uploads/2018/05/Free-Zone-Act-1995.pdf</w:t>
        </w:r>
      </w:hyperlink>
      <w:r w:rsidRPr="00D96063">
        <w:t xml:space="preserve">; and Free Zone Regulations, 1996 (L.I. 1618). Viewed at: </w:t>
      </w:r>
      <w:hyperlink r:id="rId66" w:history="1">
        <w:r w:rsidRPr="00D96063">
          <w:rPr>
            <w:rStyle w:val="Hyperlink"/>
          </w:rPr>
          <w:t>https://bcp.gov.gh/acc/registry/docs/FREE%20ZONE%20REGULATIONS,%201996%20(LI%201618).pdf</w:t>
        </w:r>
      </w:hyperlink>
      <w:r w:rsidRPr="00D96063">
        <w:t>.</w:t>
      </w:r>
    </w:p>
  </w:footnote>
  <w:footnote w:id="86">
    <w:p w14:paraId="4F8BFC29" w14:textId="77777777" w:rsidR="00C15F2E" w:rsidRPr="00D96063" w:rsidRDefault="00C15F2E" w:rsidP="00E101A6">
      <w:pPr>
        <w:pStyle w:val="FootnoteText"/>
      </w:pPr>
      <w:r w:rsidRPr="00D96063">
        <w:rPr>
          <w:rStyle w:val="FootnoteReference"/>
        </w:rPr>
        <w:footnoteRef/>
      </w:r>
      <w:r w:rsidRPr="00D96063">
        <w:t xml:space="preserve"> GFZA, </w:t>
      </w:r>
      <w:r w:rsidRPr="00D96063">
        <w:rPr>
          <w:i/>
          <w:iCs/>
        </w:rPr>
        <w:t>Incentives</w:t>
      </w:r>
      <w:r w:rsidRPr="00D96063">
        <w:t xml:space="preserve">. Viewed at: </w:t>
      </w:r>
      <w:hyperlink r:id="rId67" w:history="1">
        <w:r w:rsidRPr="00D96063">
          <w:rPr>
            <w:rStyle w:val="Hyperlink"/>
          </w:rPr>
          <w:t>https://gfzb.gov.gh/index.php/incentives/</w:t>
        </w:r>
      </w:hyperlink>
      <w:r w:rsidRPr="007A1409">
        <w:rPr>
          <w:rStyle w:val="Hyperlink"/>
          <w:color w:val="auto"/>
          <w:u w:val="none"/>
        </w:rPr>
        <w:t>.</w:t>
      </w:r>
    </w:p>
  </w:footnote>
  <w:footnote w:id="87">
    <w:p w14:paraId="48558530" w14:textId="77777777" w:rsidR="00C15F2E" w:rsidRPr="00D96063" w:rsidRDefault="00C15F2E" w:rsidP="00E101A6">
      <w:pPr>
        <w:pStyle w:val="FootnoteText"/>
      </w:pPr>
      <w:r w:rsidRPr="00D96063">
        <w:rPr>
          <w:rStyle w:val="FootnoteReference"/>
        </w:rPr>
        <w:footnoteRef/>
      </w:r>
      <w:r w:rsidRPr="00D96063">
        <w:t xml:space="preserve"> PSI (2020), </w:t>
      </w:r>
      <w:r w:rsidRPr="00D96063">
        <w:rPr>
          <w:i/>
          <w:iCs/>
        </w:rPr>
        <w:t>Tackling Tax Incentives</w:t>
      </w:r>
      <w:r w:rsidRPr="00D96063">
        <w:t xml:space="preserve">, </w:t>
      </w:r>
      <w:r w:rsidRPr="00D96063">
        <w:rPr>
          <w:i/>
          <w:iCs/>
        </w:rPr>
        <w:t>Ghana</w:t>
      </w:r>
      <w:r w:rsidRPr="00D96063">
        <w:t xml:space="preserve">. Viewed at: </w:t>
      </w:r>
      <w:hyperlink r:id="rId68" w:history="1">
        <w:r w:rsidRPr="00D96063">
          <w:rPr>
            <w:rStyle w:val="Hyperlink"/>
          </w:rPr>
          <w:t>https://publicservices.international/resources/publications/tackling-tax-incentives-ghana?id=10560&amp;lang=en</w:t>
        </w:r>
      </w:hyperlink>
      <w:r w:rsidRPr="00D96063">
        <w:t>.</w:t>
      </w:r>
    </w:p>
  </w:footnote>
  <w:footnote w:id="88">
    <w:p w14:paraId="13E3698B" w14:textId="77777777" w:rsidR="00C15F2E" w:rsidRPr="00D96063" w:rsidRDefault="00C15F2E" w:rsidP="00E101A6">
      <w:pPr>
        <w:pStyle w:val="FootnoteText"/>
      </w:pPr>
      <w:r w:rsidRPr="00D96063">
        <w:rPr>
          <w:rStyle w:val="FootnoteReference"/>
        </w:rPr>
        <w:footnoteRef/>
      </w:r>
      <w:r w:rsidRPr="00D96063">
        <w:t xml:space="preserve"> WTO document G/SCM/N/95/GHA, 20 April 2004. </w:t>
      </w:r>
    </w:p>
  </w:footnote>
  <w:footnote w:id="89">
    <w:p w14:paraId="1654AA94" w14:textId="77777777" w:rsidR="00C15F2E" w:rsidRPr="00D96063" w:rsidRDefault="00C15F2E" w:rsidP="00E101A6">
      <w:pPr>
        <w:pStyle w:val="FootnoteText"/>
      </w:pPr>
      <w:r w:rsidRPr="00D96063">
        <w:rPr>
          <w:rStyle w:val="FootnoteReference"/>
        </w:rPr>
        <w:footnoteRef/>
      </w:r>
      <w:r w:rsidRPr="00D96063">
        <w:t xml:space="preserve"> GSA, </w:t>
      </w:r>
      <w:r w:rsidRPr="00D96063">
        <w:rPr>
          <w:i/>
          <w:iCs/>
        </w:rPr>
        <w:t>Standards</w:t>
      </w:r>
      <w:r w:rsidRPr="00D96063">
        <w:t>. Viewed at</w:t>
      </w:r>
      <w:hyperlink r:id="rId69" w:history="1">
        <w:r w:rsidRPr="007A1409">
          <w:rPr>
            <w:rStyle w:val="Hyperlink"/>
            <w:color w:val="auto"/>
            <w:u w:val="none"/>
          </w:rPr>
          <w:t>:</w:t>
        </w:r>
      </w:hyperlink>
      <w:r w:rsidRPr="00D96063">
        <w:t xml:space="preserve"> </w:t>
      </w:r>
      <w:hyperlink r:id="rId70" w:history="1">
        <w:r w:rsidRPr="00D96063">
          <w:rPr>
            <w:rStyle w:val="Hyperlink"/>
          </w:rPr>
          <w:t>https://www.gsa.gov.gh/standards/</w:t>
        </w:r>
      </w:hyperlink>
      <w:r w:rsidRPr="007A1409">
        <w:rPr>
          <w:rStyle w:val="Hyperlink"/>
          <w:color w:val="auto"/>
          <w:u w:val="none"/>
        </w:rPr>
        <w:t>.</w:t>
      </w:r>
    </w:p>
  </w:footnote>
  <w:footnote w:id="90">
    <w:p w14:paraId="4920A244" w14:textId="77777777" w:rsidR="00C15F2E" w:rsidRPr="00D96063" w:rsidRDefault="00C15F2E" w:rsidP="00E101A6">
      <w:pPr>
        <w:pStyle w:val="FootnoteText"/>
      </w:pPr>
      <w:r w:rsidRPr="00D96063">
        <w:rPr>
          <w:rStyle w:val="FootnoteReference"/>
        </w:rPr>
        <w:footnoteRef/>
      </w:r>
      <w:r w:rsidRPr="00D96063">
        <w:t xml:space="preserve"> The concerns relate to the Administrative Process for Homologation of Model of Motor Vehicle and its Variants (WTO document G/TBT/N/GHA/11, 16 July 2019), as raised in WTO document G/TBT/M/79, 30 January 2020. </w:t>
      </w:r>
    </w:p>
  </w:footnote>
  <w:footnote w:id="91">
    <w:p w14:paraId="03FDF4E1" w14:textId="77777777" w:rsidR="00C15F2E" w:rsidRPr="00D96063" w:rsidRDefault="00C15F2E" w:rsidP="00E101A6">
      <w:pPr>
        <w:pStyle w:val="FootnoteText"/>
      </w:pPr>
      <w:r w:rsidRPr="00D96063">
        <w:rPr>
          <w:rStyle w:val="FootnoteReference"/>
        </w:rPr>
        <w:footnoteRef/>
      </w:r>
      <w:r w:rsidRPr="00D96063">
        <w:t xml:space="preserve"> WTO document G/TBT/N/GHA/1/Rev.1, 4 September 2014. </w:t>
      </w:r>
    </w:p>
  </w:footnote>
  <w:footnote w:id="92">
    <w:p w14:paraId="40A81DFA" w14:textId="77777777" w:rsidR="00C15F2E" w:rsidRPr="00D96063" w:rsidRDefault="00C15F2E" w:rsidP="00E101A6">
      <w:pPr>
        <w:pStyle w:val="FootnoteText"/>
      </w:pPr>
      <w:r w:rsidRPr="00D96063">
        <w:rPr>
          <w:rStyle w:val="FootnoteReference"/>
        </w:rPr>
        <w:footnoteRef/>
      </w:r>
      <w:r w:rsidRPr="007A1409">
        <w:rPr>
          <w:rStyle w:val="Hyperlink"/>
          <w:color w:val="auto"/>
          <w:u w:val="none"/>
        </w:rPr>
        <w:t xml:space="preserve"> IECEE, </w:t>
      </w:r>
      <w:r w:rsidRPr="007A1409">
        <w:rPr>
          <w:rStyle w:val="Hyperlink"/>
          <w:i/>
          <w:iCs/>
          <w:color w:val="auto"/>
          <w:u w:val="none"/>
        </w:rPr>
        <w:t>CB Scheme</w:t>
      </w:r>
      <w:r w:rsidRPr="007A1409">
        <w:rPr>
          <w:rStyle w:val="Hyperlink"/>
          <w:color w:val="auto"/>
          <w:u w:val="none"/>
        </w:rPr>
        <w:t>. Viewed at:</w:t>
      </w:r>
      <w:r w:rsidRPr="007A1409">
        <w:t xml:space="preserve"> </w:t>
      </w:r>
      <w:hyperlink r:id="rId71" w:history="1">
        <w:r w:rsidRPr="00D96063">
          <w:rPr>
            <w:rStyle w:val="Hyperlink"/>
          </w:rPr>
          <w:t>https://www.iecee.org/about/cb-scheme/</w:t>
        </w:r>
      </w:hyperlink>
      <w:r w:rsidRPr="007A1409">
        <w:rPr>
          <w:rStyle w:val="Hyperlink"/>
          <w:color w:val="auto"/>
          <w:u w:val="none"/>
        </w:rPr>
        <w:t>.</w:t>
      </w:r>
    </w:p>
  </w:footnote>
  <w:footnote w:id="93">
    <w:p w14:paraId="0C92C92E" w14:textId="77777777" w:rsidR="00C15F2E" w:rsidRPr="00D96063" w:rsidRDefault="00C15F2E" w:rsidP="00E101A6">
      <w:pPr>
        <w:pStyle w:val="FootnoteText"/>
      </w:pPr>
      <w:r w:rsidRPr="00D96063">
        <w:rPr>
          <w:rStyle w:val="FootnoteReference"/>
        </w:rPr>
        <w:footnoteRef/>
      </w:r>
      <w:r w:rsidRPr="00D96063">
        <w:t xml:space="preserve"> USAID (2018), </w:t>
      </w:r>
      <w:r w:rsidRPr="00D96063">
        <w:rPr>
          <w:i/>
          <w:iCs/>
        </w:rPr>
        <w:t>Ghana: Sanitary and Phytosanitary (SPS) Capacity Building Needs Assessment</w:t>
      </w:r>
      <w:r w:rsidRPr="00D96063">
        <w:t xml:space="preserve">. Viewed at: </w:t>
      </w:r>
      <w:hyperlink r:id="rId72" w:history="1">
        <w:r w:rsidRPr="00D96063">
          <w:rPr>
            <w:rStyle w:val="Hyperlink"/>
          </w:rPr>
          <w:t>https://www.agrilinks.org/sites/default/files/resources/ghana_sps_capacity_building_needs_assessment_2018.pdf</w:t>
        </w:r>
      </w:hyperlink>
      <w:r w:rsidRPr="007A1409">
        <w:rPr>
          <w:rStyle w:val="Hyperlink"/>
          <w:color w:val="auto"/>
          <w:u w:val="none"/>
        </w:rPr>
        <w:t>.</w:t>
      </w:r>
    </w:p>
  </w:footnote>
  <w:footnote w:id="94">
    <w:p w14:paraId="763C9684" w14:textId="77777777" w:rsidR="00C15F2E" w:rsidRPr="00D96063" w:rsidRDefault="00C15F2E" w:rsidP="00E101A6">
      <w:pPr>
        <w:pStyle w:val="FootnoteText"/>
      </w:pPr>
      <w:r w:rsidRPr="00D96063">
        <w:rPr>
          <w:rStyle w:val="FootnoteReference"/>
        </w:rPr>
        <w:footnoteRef/>
      </w:r>
      <w:r w:rsidRPr="00D96063">
        <w:t xml:space="preserve"> WTO document G/SPS/N/GHA/1, 29 April 2014. </w:t>
      </w:r>
    </w:p>
  </w:footnote>
  <w:footnote w:id="95">
    <w:p w14:paraId="0D67379F" w14:textId="77777777" w:rsidR="00C15F2E" w:rsidRPr="00D96063" w:rsidRDefault="00C15F2E" w:rsidP="00E101A6">
      <w:pPr>
        <w:pStyle w:val="FootnoteText"/>
      </w:pPr>
      <w:r w:rsidRPr="00D96063">
        <w:rPr>
          <w:rStyle w:val="FootnoteReference"/>
        </w:rPr>
        <w:footnoteRef/>
      </w:r>
      <w:r w:rsidRPr="00D96063">
        <w:t xml:space="preserve"> FDA 2019 Annual Report, p. 27.</w:t>
      </w:r>
    </w:p>
  </w:footnote>
  <w:footnote w:id="96">
    <w:p w14:paraId="4BCD975E" w14:textId="77777777" w:rsidR="00C15F2E" w:rsidRPr="00D96063" w:rsidRDefault="00C15F2E" w:rsidP="00E101A6">
      <w:pPr>
        <w:pStyle w:val="FootnoteText"/>
      </w:pPr>
      <w:r w:rsidRPr="00D96063">
        <w:rPr>
          <w:rStyle w:val="FootnoteReference"/>
        </w:rPr>
        <w:footnoteRef/>
      </w:r>
      <w:r w:rsidRPr="00D96063">
        <w:t xml:space="preserve"> WTO documents G/SPS/N/GHA/3, 25 February 2016; and G/SPS/N/GHA/3/Add.1, 21 March 2016. </w:t>
      </w:r>
    </w:p>
  </w:footnote>
  <w:footnote w:id="97">
    <w:p w14:paraId="2934CB5D" w14:textId="77777777" w:rsidR="00C15F2E" w:rsidRPr="00D96063" w:rsidRDefault="00C15F2E" w:rsidP="00E101A6">
      <w:pPr>
        <w:pStyle w:val="FootnoteText"/>
      </w:pPr>
      <w:r w:rsidRPr="00D96063">
        <w:rPr>
          <w:rStyle w:val="FootnoteReference"/>
        </w:rPr>
        <w:footnoteRef/>
      </w:r>
      <w:r w:rsidRPr="00D96063">
        <w:t xml:space="preserve"> See also WTO document G/SPS/N/GHA/4, 11 July 2018.  </w:t>
      </w:r>
    </w:p>
  </w:footnote>
  <w:footnote w:id="98">
    <w:p w14:paraId="696A7CEF" w14:textId="77777777" w:rsidR="00C15F2E" w:rsidRPr="00D96063" w:rsidRDefault="00C15F2E" w:rsidP="00E101A6">
      <w:pPr>
        <w:pStyle w:val="FootnoteText"/>
      </w:pPr>
      <w:r w:rsidRPr="00D96063">
        <w:rPr>
          <w:rStyle w:val="FootnoteReference"/>
        </w:rPr>
        <w:footnoteRef/>
      </w:r>
      <w:r w:rsidRPr="00D96063">
        <w:t xml:space="preserve"> See also WTO document G/SPS/N/GHA/2, 25 February 2016.</w:t>
      </w:r>
    </w:p>
  </w:footnote>
  <w:footnote w:id="99">
    <w:p w14:paraId="3547C7F9" w14:textId="77777777" w:rsidR="00C15F2E" w:rsidRPr="00D96063" w:rsidRDefault="00C15F2E" w:rsidP="00D02379">
      <w:pPr>
        <w:pStyle w:val="FootnoteText"/>
      </w:pPr>
      <w:r w:rsidRPr="00D96063">
        <w:rPr>
          <w:rStyle w:val="FootnoteReference"/>
        </w:rPr>
        <w:footnoteRef/>
      </w:r>
      <w:r w:rsidRPr="00D96063">
        <w:t xml:space="preserve"> FDA, GSA, EPA, Customs, PPRSD, Veterinary Services Directorate, and Local Government.</w:t>
      </w:r>
    </w:p>
  </w:footnote>
  <w:footnote w:id="100">
    <w:p w14:paraId="1DCF6B8F" w14:textId="77777777" w:rsidR="00C15F2E" w:rsidRPr="00D96063" w:rsidRDefault="00C15F2E" w:rsidP="00E101A6">
      <w:pPr>
        <w:pStyle w:val="FootnoteText"/>
      </w:pPr>
      <w:r w:rsidRPr="00D96063">
        <w:rPr>
          <w:rStyle w:val="FootnoteReference"/>
        </w:rPr>
        <w:footnoteRef/>
      </w:r>
      <w:r w:rsidRPr="00D96063">
        <w:t xml:space="preserve"> WTO document G/SPS/N/GHA/5, 27 November 2018.</w:t>
      </w:r>
    </w:p>
  </w:footnote>
  <w:footnote w:id="101">
    <w:p w14:paraId="395E0718" w14:textId="77777777" w:rsidR="00C15F2E" w:rsidRPr="00D96063" w:rsidRDefault="00C15F2E" w:rsidP="00D02379">
      <w:pPr>
        <w:pStyle w:val="FootnoteText"/>
      </w:pPr>
      <w:r w:rsidRPr="00D96063">
        <w:rPr>
          <w:rStyle w:val="FootnoteReference"/>
        </w:rPr>
        <w:footnoteRef/>
      </w:r>
      <w:r w:rsidRPr="00D96063">
        <w:t xml:space="preserve"> USDA (2021), </w:t>
      </w:r>
      <w:r w:rsidRPr="00D96063">
        <w:rPr>
          <w:i/>
          <w:iCs/>
        </w:rPr>
        <w:t>Agricultural Biotechnology Annual: Ghana</w:t>
      </w:r>
      <w:r w:rsidRPr="00D96063">
        <w:t xml:space="preserve">. Viewed at: </w:t>
      </w:r>
      <w:hyperlink r:id="rId73" w:history="1">
        <w:r w:rsidRPr="00D96063">
          <w:rPr>
            <w:rStyle w:val="Hyperlink"/>
          </w:rPr>
          <w:t>https://apps.fas.usda.gov/newgainapi/api/Report/DownloadReportByFileName?fileName=Agricultural%20Biotechnology%20Annual_Accra_Ghana_10-20-2021</w:t>
        </w:r>
      </w:hyperlink>
      <w:r w:rsidRPr="007A1409">
        <w:rPr>
          <w:rStyle w:val="Hyperlink"/>
          <w:color w:val="auto"/>
          <w:u w:val="none"/>
        </w:rPr>
        <w:t>.</w:t>
      </w:r>
    </w:p>
  </w:footnote>
  <w:footnote w:id="102">
    <w:p w14:paraId="6742FBC2" w14:textId="77777777" w:rsidR="00C15F2E" w:rsidRPr="00D96063" w:rsidRDefault="00C15F2E" w:rsidP="00E101A6">
      <w:pPr>
        <w:pStyle w:val="FootnoteText"/>
      </w:pPr>
      <w:r w:rsidRPr="00D96063">
        <w:rPr>
          <w:rStyle w:val="FootnoteReference"/>
          <w:szCs w:val="16"/>
        </w:rPr>
        <w:footnoteRef/>
      </w:r>
      <w:r w:rsidRPr="00D96063">
        <w:t xml:space="preserve"> WIPO, Protection Against Unfair Competition Act, 2000 (Act 589). Viewed at: </w:t>
      </w:r>
      <w:hyperlink r:id="rId74" w:history="1">
        <w:r w:rsidRPr="00D96063">
          <w:rPr>
            <w:rStyle w:val="Hyperlink"/>
            <w:szCs w:val="22"/>
            <w:lang w:eastAsia="en-US"/>
          </w:rPr>
          <w:t>https://wipolex.wipo.int/en/text/157035</w:t>
        </w:r>
      </w:hyperlink>
      <w:r w:rsidRPr="00D96063">
        <w:t xml:space="preserve">. The Act was also viewed at: </w:t>
      </w:r>
      <w:hyperlink r:id="rId75" w:history="1">
        <w:r w:rsidRPr="00D96063">
          <w:rPr>
            <w:rStyle w:val="Hyperlink"/>
          </w:rPr>
          <w:t>https://www.bcp.gov.gh</w:t>
        </w:r>
      </w:hyperlink>
      <w:r w:rsidRPr="007A1409">
        <w:rPr>
          <w:rStyle w:val="Hyperlink"/>
          <w:color w:val="auto"/>
          <w:u w:val="none"/>
        </w:rPr>
        <w:t>.</w:t>
      </w:r>
    </w:p>
  </w:footnote>
  <w:footnote w:id="103">
    <w:p w14:paraId="0FC12BBA" w14:textId="77777777" w:rsidR="00C15F2E" w:rsidRPr="00D96063" w:rsidRDefault="00C15F2E" w:rsidP="00281893">
      <w:pPr>
        <w:pStyle w:val="FootnoteText"/>
      </w:pPr>
      <w:r w:rsidRPr="00D96063">
        <w:rPr>
          <w:rStyle w:val="FootnoteReference"/>
        </w:rPr>
        <w:footnoteRef/>
      </w:r>
      <w:r w:rsidRPr="00D96063">
        <w:t xml:space="preserve"> WTO document G/STR/N/10/GHA, 19 April 2004.</w:t>
      </w:r>
    </w:p>
  </w:footnote>
  <w:footnote w:id="104">
    <w:p w14:paraId="00B747C8" w14:textId="77777777" w:rsidR="00C15F2E" w:rsidRPr="00D96063" w:rsidRDefault="00C15F2E" w:rsidP="00B627D8">
      <w:pPr>
        <w:pStyle w:val="FootnoteText"/>
      </w:pPr>
      <w:r w:rsidRPr="00D96063">
        <w:rPr>
          <w:rStyle w:val="FootnoteReference"/>
        </w:rPr>
        <w:footnoteRef/>
      </w:r>
      <w:r w:rsidRPr="00D96063">
        <w:t xml:space="preserve"> Ghana Electronic Procurement System. Viewed at: </w:t>
      </w:r>
      <w:hyperlink r:id="rId76" w:history="1">
        <w:r w:rsidRPr="00D96063">
          <w:rPr>
            <w:rStyle w:val="Hyperlink"/>
          </w:rPr>
          <w:t>https://www.ghaneps.gov.gh/epps/home.do</w:t>
        </w:r>
      </w:hyperlink>
      <w:r w:rsidRPr="00D96063">
        <w:t>.</w:t>
      </w:r>
    </w:p>
  </w:footnote>
  <w:footnote w:id="105">
    <w:p w14:paraId="12496288" w14:textId="77777777" w:rsidR="00C15F2E" w:rsidRPr="00D96063" w:rsidRDefault="00C15F2E" w:rsidP="00E101A6">
      <w:pPr>
        <w:pStyle w:val="FootnoteText"/>
      </w:pPr>
      <w:r w:rsidRPr="00D96063">
        <w:rPr>
          <w:rStyle w:val="FootnoteReference"/>
        </w:rPr>
        <w:footnoteRef/>
      </w:r>
      <w:r w:rsidRPr="00D96063">
        <w:t xml:space="preserve"> PPA, Public Procurement Act. Viewed at: </w:t>
      </w:r>
      <w:hyperlink r:id="rId77" w:history="1">
        <w:r w:rsidRPr="00D96063">
          <w:rPr>
            <w:rStyle w:val="Hyperlink"/>
          </w:rPr>
          <w:t>https://ppa.gov.gh/online-documents/public-procurement-act/</w:t>
        </w:r>
      </w:hyperlink>
      <w:r w:rsidRPr="007A1409">
        <w:rPr>
          <w:rStyle w:val="Hyperlink"/>
          <w:color w:val="auto"/>
          <w:u w:val="none"/>
        </w:rPr>
        <w:t>.</w:t>
      </w:r>
    </w:p>
  </w:footnote>
  <w:footnote w:id="106">
    <w:p w14:paraId="2455A897" w14:textId="7AB4A693" w:rsidR="00C15F2E" w:rsidRPr="00D96063" w:rsidRDefault="00C15F2E" w:rsidP="00E101A6">
      <w:pPr>
        <w:pStyle w:val="FootnoteText"/>
      </w:pPr>
      <w:r w:rsidRPr="00D96063">
        <w:rPr>
          <w:rStyle w:val="FootnoteReference"/>
        </w:rPr>
        <w:footnoteRef/>
      </w:r>
      <w:r w:rsidRPr="00D96063">
        <w:t xml:space="preserve"> PPA. Viewed at: </w:t>
      </w:r>
      <w:hyperlink r:id="rId78" w:history="1">
        <w:r w:rsidR="00D96063">
          <w:rPr>
            <w:rStyle w:val="Hyperlink"/>
          </w:rPr>
          <w:t>https://ppa.gov.gh/</w:t>
        </w:r>
      </w:hyperlink>
      <w:r w:rsidR="00D96063" w:rsidRPr="007A1409">
        <w:rPr>
          <w:rStyle w:val="Hyperlink"/>
          <w:color w:val="auto"/>
          <w:u w:val="none"/>
        </w:rPr>
        <w:t>.</w:t>
      </w:r>
    </w:p>
  </w:footnote>
  <w:footnote w:id="107">
    <w:p w14:paraId="05317C24" w14:textId="77777777" w:rsidR="00C15F2E" w:rsidRPr="00D96063" w:rsidRDefault="00C15F2E" w:rsidP="00E101A6">
      <w:pPr>
        <w:pStyle w:val="FootnoteText"/>
      </w:pPr>
      <w:r w:rsidRPr="00D96063">
        <w:rPr>
          <w:rStyle w:val="FootnoteReference"/>
        </w:rPr>
        <w:footnoteRef/>
      </w:r>
      <w:r w:rsidRPr="00D96063">
        <w:t xml:space="preserve"> The Minister of Finance may decide that it is in the national interest to use a different procedure, and define and publish in the </w:t>
      </w:r>
      <w:r w:rsidRPr="00D96063">
        <w:rPr>
          <w:i/>
        </w:rPr>
        <w:t>National Gazette</w:t>
      </w:r>
      <w:r w:rsidRPr="00D96063">
        <w:t xml:space="preserve"> another method of procurement to be followed.</w:t>
      </w:r>
    </w:p>
  </w:footnote>
  <w:footnote w:id="108">
    <w:p w14:paraId="567433A7" w14:textId="77777777" w:rsidR="00C15F2E" w:rsidRPr="00D96063" w:rsidRDefault="00C15F2E" w:rsidP="00E101A6">
      <w:pPr>
        <w:pStyle w:val="FootnoteText"/>
      </w:pPr>
      <w:r w:rsidRPr="00D96063">
        <w:rPr>
          <w:rStyle w:val="FootnoteReference"/>
        </w:rPr>
        <w:footnoteRef/>
      </w:r>
      <w:r w:rsidRPr="00D96063">
        <w:t xml:space="preserve"> UNCITRAL Model Law on Procurement of Goods, Construction and Services (1994). Viewed at: </w:t>
      </w:r>
      <w:hyperlink r:id="rId79" w:history="1">
        <w:r w:rsidRPr="00D96063">
          <w:rPr>
            <w:rStyle w:val="Hyperlink"/>
          </w:rPr>
          <w:t>https://uncitral.un.org</w:t>
        </w:r>
        <w:r w:rsidRPr="007A1409">
          <w:rPr>
            <w:rStyle w:val="Hyperlink"/>
            <w:color w:val="auto"/>
            <w:u w:val="none"/>
          </w:rPr>
          <w:t>.</w:t>
        </w:r>
      </w:hyperlink>
    </w:p>
  </w:footnote>
  <w:footnote w:id="109">
    <w:p w14:paraId="42EE6333" w14:textId="77777777" w:rsidR="00C15F2E" w:rsidRPr="00D96063" w:rsidRDefault="00C15F2E" w:rsidP="00E101A6">
      <w:pPr>
        <w:pStyle w:val="FootnoteText"/>
      </w:pPr>
      <w:r w:rsidRPr="00D96063">
        <w:rPr>
          <w:rStyle w:val="FootnoteReference"/>
        </w:rPr>
        <w:footnoteRef/>
      </w:r>
      <w:r w:rsidRPr="00D96063">
        <w:t xml:space="preserve"> FWA Guidelines. Viewed at: </w:t>
      </w:r>
      <w:hyperlink r:id="rId80" w:history="1">
        <w:r w:rsidRPr="00D96063">
          <w:rPr>
            <w:rStyle w:val="Hyperlink"/>
          </w:rPr>
          <w:t>https://ppa.gov.gh/wp-content/uploads/2020/10/FWA-Guidelines.pdf</w:t>
        </w:r>
      </w:hyperlink>
      <w:r w:rsidRPr="007A1409">
        <w:rPr>
          <w:rStyle w:val="Hyperlink"/>
          <w:color w:val="auto"/>
          <w:u w:val="none"/>
        </w:rPr>
        <w:t>.</w:t>
      </w:r>
    </w:p>
  </w:footnote>
  <w:footnote w:id="110">
    <w:p w14:paraId="4E606F4C" w14:textId="77777777" w:rsidR="00C15F2E" w:rsidRPr="00D96063" w:rsidRDefault="00C15F2E" w:rsidP="00E101A6">
      <w:pPr>
        <w:pStyle w:val="FootnoteText"/>
      </w:pPr>
      <w:r w:rsidRPr="00D96063">
        <w:rPr>
          <w:rStyle w:val="FootnoteReference"/>
        </w:rPr>
        <w:footnoteRef/>
      </w:r>
      <w:r w:rsidRPr="00D96063">
        <w:t xml:space="preserve"> Treaty text available in the African Union Treaties database</w:t>
      </w:r>
      <w:r w:rsidRPr="007A1409">
        <w:rPr>
          <w:rStyle w:val="Hyperlink"/>
          <w:color w:val="auto"/>
          <w:u w:val="none"/>
        </w:rPr>
        <w:t xml:space="preserve">. Viewed at: </w:t>
      </w:r>
      <w:hyperlink r:id="rId81" w:history="1">
        <w:r w:rsidRPr="00D96063">
          <w:rPr>
            <w:rStyle w:val="Hyperlink"/>
          </w:rPr>
          <w:t>https://au.int/en/treaties/agreement-establishing-african-continental-free-trade-area</w:t>
        </w:r>
      </w:hyperlink>
      <w:r w:rsidRPr="007A1409">
        <w:rPr>
          <w:rStyle w:val="Hyperlink"/>
          <w:color w:val="auto"/>
          <w:u w:val="none"/>
        </w:rPr>
        <w:t>.</w:t>
      </w:r>
    </w:p>
  </w:footnote>
  <w:footnote w:id="111">
    <w:p w14:paraId="649A934B" w14:textId="77777777" w:rsidR="00C15F2E" w:rsidRPr="00D96063" w:rsidRDefault="00C15F2E" w:rsidP="00E101A6">
      <w:pPr>
        <w:pStyle w:val="FootnoteText"/>
      </w:pPr>
      <w:r w:rsidRPr="00D96063">
        <w:rPr>
          <w:rStyle w:val="FootnoteReference"/>
        </w:rPr>
        <w:footnoteRef/>
      </w:r>
      <w:r w:rsidRPr="00D96063">
        <w:t xml:space="preserve"> African Union, Status List of the Agreement Establishing the African Continental Free Trade Area. Viewed at: </w:t>
      </w:r>
      <w:hyperlink r:id="rId82" w:history="1">
        <w:r w:rsidRPr="00D96063">
          <w:rPr>
            <w:rStyle w:val="Hyperlink"/>
          </w:rPr>
          <w:t>https://au.int/en/treaties/agreement-establishing-african-continental-free-trade-area</w:t>
        </w:r>
      </w:hyperlink>
      <w:r w:rsidRPr="007A1409">
        <w:rPr>
          <w:rStyle w:val="Hyperlink"/>
          <w:color w:val="auto"/>
          <w:u w:val="none"/>
        </w:rPr>
        <w:t>.</w:t>
      </w:r>
    </w:p>
  </w:footnote>
  <w:footnote w:id="112">
    <w:p w14:paraId="1911988A" w14:textId="77777777" w:rsidR="00C15F2E" w:rsidRPr="00D96063" w:rsidRDefault="00C15F2E" w:rsidP="00E101A6">
      <w:pPr>
        <w:pStyle w:val="FootnoteText"/>
      </w:pPr>
      <w:r w:rsidRPr="00D96063">
        <w:rPr>
          <w:rStyle w:val="FootnoteReference"/>
        </w:rPr>
        <w:footnoteRef/>
      </w:r>
      <w:r w:rsidRPr="00D96063">
        <w:t xml:space="preserve"> African Union, </w:t>
      </w:r>
      <w:r w:rsidRPr="00D96063">
        <w:rPr>
          <w:i/>
          <w:iCs/>
        </w:rPr>
        <w:t>Statute of the Pan African Intellectual Property Organization (PAIPO)</w:t>
      </w:r>
      <w:r w:rsidRPr="00D96063">
        <w:t xml:space="preserve">. Viewed at: </w:t>
      </w:r>
      <w:hyperlink r:id="rId83" w:history="1">
        <w:r w:rsidRPr="00D96063">
          <w:rPr>
            <w:rStyle w:val="Hyperlink"/>
          </w:rPr>
          <w:t>https://au.int/en/node/32549</w:t>
        </w:r>
      </w:hyperlink>
      <w:r w:rsidRPr="007A1409">
        <w:rPr>
          <w:rStyle w:val="Hyperlink"/>
          <w:color w:val="auto"/>
          <w:u w:val="none"/>
        </w:rPr>
        <w:t>.</w:t>
      </w:r>
    </w:p>
  </w:footnote>
  <w:footnote w:id="113">
    <w:p w14:paraId="53159603" w14:textId="77777777" w:rsidR="00C15F2E" w:rsidRPr="00D96063" w:rsidRDefault="00C15F2E" w:rsidP="00E101A6">
      <w:pPr>
        <w:pStyle w:val="FootnoteText"/>
      </w:pPr>
      <w:r w:rsidRPr="00D96063">
        <w:rPr>
          <w:rStyle w:val="FootnoteReference"/>
        </w:rPr>
        <w:footnoteRef/>
      </w:r>
      <w:r w:rsidRPr="00D96063">
        <w:t xml:space="preserve"> List of countries viewed at: </w:t>
      </w:r>
      <w:hyperlink r:id="rId84" w:history="1">
        <w:r w:rsidRPr="00D96063">
          <w:rPr>
            <w:rStyle w:val="Hyperlink"/>
          </w:rPr>
          <w:t>https://au.int/sites/default/files/treaties/32549-sl-STATUTE%20OF%20THE%20PAN%20AFRICAN%20INTELLECTUAL%20PROPERTY%20ORGANIZATION%20%28PAIPO%29%20%281%29.pdf</w:t>
        </w:r>
      </w:hyperlink>
      <w:r w:rsidRPr="007A1409">
        <w:rPr>
          <w:rStyle w:val="Hyperlink"/>
          <w:color w:val="auto"/>
          <w:u w:val="none"/>
        </w:rPr>
        <w:t>.</w:t>
      </w:r>
    </w:p>
  </w:footnote>
  <w:footnote w:id="114">
    <w:p w14:paraId="7E28CD8C" w14:textId="77777777" w:rsidR="00C15F2E" w:rsidRPr="00D96063" w:rsidRDefault="00C15F2E" w:rsidP="00E101A6">
      <w:pPr>
        <w:pStyle w:val="FootnoteText"/>
      </w:pPr>
      <w:r w:rsidRPr="00D96063">
        <w:rPr>
          <w:rStyle w:val="FootnoteReference"/>
        </w:rPr>
        <w:footnoteRef/>
      </w:r>
      <w:r w:rsidRPr="00D96063">
        <w:t xml:space="preserve"> WTO document IP/N/1/GHA/1, 22 April 2002. Ghana replied to questions posed by Australia, Canada, the European Communities, Japan, Switzerland, and the United States, thereby also referring to its new legislation (WTO documents IP/Q/GHA/1, IP/Q2/GHA/1, IP/Q3/GHA/1, and IP/Q4/GHA/1, 9 February 2004).</w:t>
      </w:r>
    </w:p>
  </w:footnote>
  <w:footnote w:id="115">
    <w:p w14:paraId="7E62799A" w14:textId="77777777" w:rsidR="00C15F2E" w:rsidRPr="00D96063" w:rsidRDefault="00C15F2E" w:rsidP="00E101A6">
      <w:pPr>
        <w:pStyle w:val="FootnoteText"/>
      </w:pPr>
      <w:r w:rsidRPr="00D96063">
        <w:rPr>
          <w:rStyle w:val="FootnoteReference"/>
        </w:rPr>
        <w:footnoteRef/>
      </w:r>
      <w:r w:rsidRPr="00D96063">
        <w:t xml:space="preserve"> Ghana Copyright Office. Viewed at: </w:t>
      </w:r>
      <w:hyperlink r:id="rId85" w:history="1">
        <w:r w:rsidRPr="00D96063">
          <w:rPr>
            <w:rStyle w:val="Hyperlink"/>
          </w:rPr>
          <w:t>http://www.copyright.gov.gh/</w:t>
        </w:r>
      </w:hyperlink>
      <w:r w:rsidRPr="00D96063">
        <w:t>.</w:t>
      </w:r>
    </w:p>
  </w:footnote>
  <w:footnote w:id="116">
    <w:p w14:paraId="22E011FE" w14:textId="77777777" w:rsidR="00C15F2E" w:rsidRPr="00D96063" w:rsidRDefault="00C15F2E" w:rsidP="00E101A6">
      <w:pPr>
        <w:pStyle w:val="FootnoteText"/>
      </w:pPr>
      <w:r w:rsidRPr="00D96063">
        <w:rPr>
          <w:rStyle w:val="FootnoteReference"/>
        </w:rPr>
        <w:footnoteRef/>
      </w:r>
      <w:r w:rsidRPr="00D96063">
        <w:t xml:space="preserve"> LYSAGHT (2014), "Ghana – Trademark (Amendment) Act, 876 of 2014", 19 December. Viewed at: </w:t>
      </w:r>
      <w:hyperlink r:id="rId86" w:history="1">
        <w:r w:rsidRPr="00D96063">
          <w:rPr>
            <w:rStyle w:val="Hyperlink"/>
          </w:rPr>
          <w:t>http://www.lysaght.co.uk/news/ip-developments/ghana-trademarks-amendment-act-876-2014</w:t>
        </w:r>
      </w:hyperlink>
      <w:r w:rsidRPr="007A1409">
        <w:rPr>
          <w:rStyle w:val="Hyperlink"/>
          <w:color w:val="auto"/>
          <w:u w:val="none"/>
        </w:rPr>
        <w:t>.</w:t>
      </w:r>
    </w:p>
  </w:footnote>
  <w:footnote w:id="117">
    <w:p w14:paraId="091EF94B" w14:textId="77777777" w:rsidR="00C15F2E" w:rsidRPr="00D96063" w:rsidRDefault="00C15F2E" w:rsidP="00E101A6">
      <w:pPr>
        <w:pStyle w:val="FootnoteText"/>
      </w:pPr>
      <w:r w:rsidRPr="00D96063">
        <w:rPr>
          <w:rStyle w:val="FootnoteReference"/>
        </w:rPr>
        <w:footnoteRef/>
      </w:r>
      <w:r w:rsidRPr="00D96063">
        <w:t xml:space="preserve"> WIPO (2020), </w:t>
      </w:r>
      <w:r w:rsidRPr="00D96063">
        <w:rPr>
          <w:i/>
          <w:iCs/>
        </w:rPr>
        <w:t>The Economic Contribution of Copyright Industries in Ghana</w:t>
      </w:r>
      <w:r w:rsidRPr="00D96063">
        <w:t xml:space="preserve">. Viewed at: </w:t>
      </w:r>
      <w:hyperlink r:id="rId87" w:history="1">
        <w:r w:rsidRPr="00D96063">
          <w:rPr>
            <w:rStyle w:val="Hyperlink"/>
          </w:rPr>
          <w:t>https://www.wipo.int/export/sites/www/copyright/en/performance/pdf/econ_contribution_cr_gh.pdf</w:t>
        </w:r>
      </w:hyperlink>
      <w:r w:rsidRPr="00D96063">
        <w:t>.</w:t>
      </w:r>
    </w:p>
  </w:footnote>
  <w:footnote w:id="118">
    <w:p w14:paraId="044E78AF" w14:textId="77777777" w:rsidR="00C15F2E" w:rsidRPr="00D96063" w:rsidRDefault="00C15F2E" w:rsidP="00E101A6">
      <w:pPr>
        <w:pStyle w:val="FootnoteText"/>
      </w:pPr>
      <w:r w:rsidRPr="00D96063">
        <w:rPr>
          <w:rStyle w:val="FootnoteReference"/>
        </w:rPr>
        <w:footnoteRef/>
      </w:r>
      <w:r w:rsidRPr="00D96063">
        <w:t xml:space="preserve"> Mwai, P. (2020), "Fake Drugs: How Bad Is Africa's Counterfeit Medicine Problem", </w:t>
      </w:r>
      <w:r w:rsidRPr="00D96063">
        <w:rPr>
          <w:i/>
          <w:iCs/>
        </w:rPr>
        <w:t>BBC</w:t>
      </w:r>
      <w:r w:rsidRPr="00D96063">
        <w:t xml:space="preserve">, 17 January. Viewed at: </w:t>
      </w:r>
      <w:hyperlink r:id="rId88" w:history="1">
        <w:r w:rsidRPr="00D96063">
          <w:rPr>
            <w:rStyle w:val="Hyperlink"/>
          </w:rPr>
          <w:t>https://www.bbc.com/news/world-africa-51122898</w:t>
        </w:r>
      </w:hyperlink>
      <w:r w:rsidRPr="00D96063">
        <w:t>.</w:t>
      </w:r>
    </w:p>
  </w:footnote>
  <w:footnote w:id="119">
    <w:p w14:paraId="51787B29" w14:textId="77777777" w:rsidR="00C15F2E" w:rsidRPr="00D96063" w:rsidRDefault="00C15F2E" w:rsidP="00E101A6">
      <w:pPr>
        <w:pStyle w:val="FootnoteText"/>
      </w:pPr>
      <w:r w:rsidRPr="00D96063">
        <w:rPr>
          <w:rStyle w:val="FootnoteReference"/>
        </w:rPr>
        <w:footnoteRef/>
      </w:r>
      <w:r w:rsidRPr="00D96063">
        <w:t xml:space="preserve"> Le Cam, M. (2020), "Ghanaian Company to Abolish the Reign of Fake Medicines", </w:t>
      </w:r>
      <w:r w:rsidRPr="00D96063">
        <w:rPr>
          <w:i/>
          <w:iCs/>
        </w:rPr>
        <w:t>Geneva Solutions</w:t>
      </w:r>
      <w:r w:rsidRPr="00D96063">
        <w:t xml:space="preserve">, 31 August. Viewed at: </w:t>
      </w:r>
      <w:hyperlink r:id="rId89" w:history="1">
        <w:r w:rsidRPr="00D96063">
          <w:rPr>
            <w:rStyle w:val="Hyperlink"/>
          </w:rPr>
          <w:t>https://genevasolutions.news/explorations/11-african-solutions-for-the-future-world/ghanaian-company-to-abolish-the-reign-of-fake-medicines</w:t>
        </w:r>
      </w:hyperlink>
      <w:r w:rsidRPr="007A1409">
        <w:rPr>
          <w:rStyle w:val="Hyperlink"/>
          <w:color w:val="auto"/>
          <w:u w:val="none"/>
        </w:rPr>
        <w:t>.</w:t>
      </w:r>
    </w:p>
  </w:footnote>
  <w:footnote w:id="120">
    <w:p w14:paraId="1619A678" w14:textId="77777777" w:rsidR="00C15F2E" w:rsidRPr="00D96063" w:rsidRDefault="00C15F2E" w:rsidP="00D868BF">
      <w:pPr>
        <w:pStyle w:val="FootnoteText"/>
      </w:pPr>
      <w:r w:rsidRPr="00D96063">
        <w:rPr>
          <w:rStyle w:val="FootnoteReference"/>
        </w:rPr>
        <w:footnoteRef/>
      </w:r>
      <w:r w:rsidRPr="00D96063">
        <w:t xml:space="preserve"> Foreign investment projects in agriculture include investment in sugar production and processing (Dangote Group) and rice production (4,000 ha purchased by Indo-Ghana Company and lease of 5,600 ha by the Ghana-Iran Partnership).</w:t>
      </w:r>
    </w:p>
  </w:footnote>
  <w:footnote w:id="121">
    <w:p w14:paraId="71140383" w14:textId="77777777" w:rsidR="00C15F2E" w:rsidRPr="00D96063" w:rsidRDefault="00C15F2E" w:rsidP="00D868BF">
      <w:pPr>
        <w:pStyle w:val="FootnoteText"/>
      </w:pPr>
      <w:r w:rsidRPr="00D96063">
        <w:rPr>
          <w:rStyle w:val="FootnoteReference"/>
          <w:szCs w:val="16"/>
        </w:rPr>
        <w:footnoteRef/>
      </w:r>
      <w:r w:rsidRPr="00D96063">
        <w:t xml:space="preserve"> MOFA, </w:t>
      </w:r>
      <w:r w:rsidRPr="00D96063">
        <w:rPr>
          <w:i/>
          <w:iCs/>
        </w:rPr>
        <w:t>National Agriculture Investment Plan (IJF)</w:t>
      </w:r>
      <w:r w:rsidRPr="00D96063">
        <w:t xml:space="preserve">. Viewed at: </w:t>
      </w:r>
      <w:hyperlink r:id="rId90" w:history="1">
        <w:r w:rsidRPr="00D96063">
          <w:rPr>
            <w:rStyle w:val="Hyperlink"/>
          </w:rPr>
          <w:t>http://www.mofa.gov.gh/site/publications/policies-plans/316-national-agriculture-investment-plan-ifj</w:t>
        </w:r>
      </w:hyperlink>
      <w:r w:rsidRPr="00D96063">
        <w:rPr>
          <w:rStyle w:val="Hyperlink"/>
          <w:color w:val="auto"/>
          <w:u w:val="none"/>
        </w:rPr>
        <w:t>.</w:t>
      </w:r>
    </w:p>
  </w:footnote>
  <w:footnote w:id="122">
    <w:p w14:paraId="27D7A217" w14:textId="666F9D78" w:rsidR="00C15F2E" w:rsidRPr="005C20E0" w:rsidRDefault="00C15F2E" w:rsidP="00D868BF">
      <w:pPr>
        <w:pStyle w:val="FootnoteText"/>
      </w:pPr>
      <w:r w:rsidRPr="00D96063">
        <w:rPr>
          <w:rStyle w:val="FootnoteReference"/>
          <w:szCs w:val="16"/>
        </w:rPr>
        <w:footnoteRef/>
      </w:r>
      <w:r w:rsidRPr="00D96063">
        <w:t xml:space="preserve"> </w:t>
      </w:r>
      <w:r w:rsidRPr="00D96063">
        <w:rPr>
          <w:i/>
          <w:iCs/>
        </w:rPr>
        <w:t>Budget Statement and Economic Policy of the Government of Ghana for the 2021 Financial Year</w:t>
      </w:r>
      <w:r w:rsidRPr="00D96063">
        <w:t xml:space="preserve">. Viewed at: </w:t>
      </w:r>
      <w:hyperlink r:id="rId91" w:history="1">
        <w:r w:rsidRPr="00D96063">
          <w:rPr>
            <w:rStyle w:val="Hyperlink"/>
          </w:rPr>
          <w:t>https://mofep.gov.gh/sites/default/files/budget-statements/2021-Budget-Statement_v3.pdf</w:t>
        </w:r>
      </w:hyperlink>
      <w:r w:rsidR="005C20E0">
        <w:rPr>
          <w:rStyle w:val="Hyperlink"/>
          <w:u w:val="none"/>
        </w:rPr>
        <w:t>.</w:t>
      </w:r>
    </w:p>
  </w:footnote>
  <w:footnote w:id="123">
    <w:p w14:paraId="16721C9B" w14:textId="7F9AB972" w:rsidR="00C15F2E" w:rsidRPr="005C20E0" w:rsidRDefault="00C15F2E" w:rsidP="00D868BF">
      <w:pPr>
        <w:pStyle w:val="FootnoteText"/>
      </w:pPr>
      <w:r w:rsidRPr="00D96063">
        <w:rPr>
          <w:rStyle w:val="FootnoteReference"/>
          <w:szCs w:val="16"/>
        </w:rPr>
        <w:footnoteRef/>
      </w:r>
      <w:r w:rsidRPr="00D96063">
        <w:t xml:space="preserve"> World Bank (2017), "Ghana: Agriculture Sector Policy Note – Transforming Agriculture for Economic Growth, Job Creation and Food Security". Viewed at: </w:t>
      </w:r>
      <w:hyperlink r:id="rId92" w:history="1">
        <w:r w:rsidR="005C20E0">
          <w:rPr>
            <w:rStyle w:val="Hyperlink"/>
          </w:rPr>
          <w:t>https://documents1.worldbank.org/curated/en/336541505459269020/pdf/119753-PN-P133833-PUBLIC-Ghana-Policy-Note-Ag-Sector-Review.pdf</w:t>
        </w:r>
      </w:hyperlink>
      <w:r w:rsidR="005C20E0">
        <w:rPr>
          <w:rStyle w:val="Hyperlink"/>
          <w:color w:val="auto"/>
          <w:u w:val="none"/>
        </w:rPr>
        <w:t>.</w:t>
      </w:r>
    </w:p>
  </w:footnote>
  <w:footnote w:id="124">
    <w:p w14:paraId="32C02E64" w14:textId="77777777" w:rsidR="00C15F2E" w:rsidRPr="00D96063" w:rsidRDefault="00C15F2E" w:rsidP="00D868BF">
      <w:pPr>
        <w:pStyle w:val="FootnoteText"/>
      </w:pPr>
      <w:r w:rsidRPr="00D96063">
        <w:rPr>
          <w:rStyle w:val="FootnoteReference"/>
          <w:szCs w:val="16"/>
        </w:rPr>
        <w:footnoteRef/>
      </w:r>
      <w:r w:rsidRPr="00D96063">
        <w:t xml:space="preserve"> Cocoa farmers receive inputs through COCOBOD.</w:t>
      </w:r>
    </w:p>
  </w:footnote>
  <w:footnote w:id="125">
    <w:p w14:paraId="214CF0A0" w14:textId="5F71136F" w:rsidR="00C15F2E" w:rsidRPr="00D96063" w:rsidRDefault="00C15F2E" w:rsidP="00D868BF">
      <w:pPr>
        <w:pStyle w:val="FootnoteText"/>
      </w:pPr>
      <w:r w:rsidRPr="00D96063">
        <w:rPr>
          <w:rStyle w:val="FootnoteReference"/>
          <w:szCs w:val="16"/>
        </w:rPr>
        <w:footnoteRef/>
      </w:r>
      <w:r w:rsidRPr="00D96063">
        <w:t xml:space="preserve"> </w:t>
      </w:r>
      <w:r w:rsidRPr="00D96063">
        <w:rPr>
          <w:i/>
          <w:iCs/>
        </w:rPr>
        <w:t>Budget Statement and Economic Policy of the Government of Ghana for the 2021 Financial Year</w:t>
      </w:r>
      <w:r w:rsidRPr="00D96063">
        <w:t xml:space="preserve">. Viewed at: </w:t>
      </w:r>
      <w:hyperlink r:id="rId93" w:history="1">
        <w:r w:rsidRPr="00D96063">
          <w:rPr>
            <w:rStyle w:val="Hyperlink"/>
          </w:rPr>
          <w:t>https://mofep.gov.gh/sites/default/files/budget-statements/2021-Budget-Statement_v3.pdf</w:t>
        </w:r>
      </w:hyperlink>
      <w:r w:rsidR="005C20E0">
        <w:t>.</w:t>
      </w:r>
    </w:p>
  </w:footnote>
  <w:footnote w:id="126">
    <w:p w14:paraId="6DF09544" w14:textId="71839FF0" w:rsidR="00C15F2E" w:rsidRPr="00D96063" w:rsidRDefault="00C15F2E" w:rsidP="00D868BF">
      <w:pPr>
        <w:pStyle w:val="FootnoteText"/>
      </w:pPr>
      <w:r w:rsidRPr="00D96063">
        <w:rPr>
          <w:rStyle w:val="FootnoteReference"/>
          <w:szCs w:val="16"/>
        </w:rPr>
        <w:footnoteRef/>
      </w:r>
      <w:r w:rsidRPr="00D96063">
        <w:t xml:space="preserve"> </w:t>
      </w:r>
      <w:r w:rsidRPr="00D96063">
        <w:rPr>
          <w:i/>
          <w:iCs/>
        </w:rPr>
        <w:t>Budget Statement and Economic Policy of the Government of Ghana for the 2020 Financial Year</w:t>
      </w:r>
      <w:r w:rsidRPr="00D96063">
        <w:t xml:space="preserve">. Viewed at: </w:t>
      </w:r>
      <w:hyperlink r:id="rId94" w:history="1">
        <w:r w:rsidRPr="00D96063">
          <w:rPr>
            <w:rStyle w:val="Hyperlink"/>
          </w:rPr>
          <w:t>https://mofep.gov.gh/sites/default/files/budget-statements/2020-Budget-Statement-and-Economic-Policy_v3.pdf</w:t>
        </w:r>
      </w:hyperlink>
      <w:r w:rsidR="005C20E0">
        <w:t>.</w:t>
      </w:r>
    </w:p>
  </w:footnote>
  <w:footnote w:id="127">
    <w:p w14:paraId="419B4F5C" w14:textId="77777777" w:rsidR="00C15F2E" w:rsidRPr="00D96063" w:rsidRDefault="00C15F2E" w:rsidP="00D868BF">
      <w:pPr>
        <w:pStyle w:val="FootnoteText"/>
      </w:pPr>
      <w:r w:rsidRPr="00D96063">
        <w:rPr>
          <w:rStyle w:val="FootnoteReference"/>
          <w:szCs w:val="16"/>
        </w:rPr>
        <w:footnoteRef/>
      </w:r>
      <w:r w:rsidRPr="00D96063">
        <w:t xml:space="preserve"> World Bank (2017), "Ghana: Agriculture Sector Policy Note – Transforming Agriculture for Economic Growth, Job Creation and Food Security".</w:t>
      </w:r>
    </w:p>
  </w:footnote>
  <w:footnote w:id="128">
    <w:p w14:paraId="7E40476C" w14:textId="77777777" w:rsidR="00C15F2E" w:rsidRPr="00D96063" w:rsidRDefault="00C15F2E" w:rsidP="00D868BF">
      <w:pPr>
        <w:pStyle w:val="FootnoteText"/>
      </w:pPr>
      <w:r w:rsidRPr="00D96063">
        <w:rPr>
          <w:rStyle w:val="FootnoteReference"/>
        </w:rPr>
        <w:footnoteRef/>
      </w:r>
      <w:r w:rsidRPr="00D96063">
        <w:t xml:space="preserve"> Ghana Cocoa Board Act, Section 4, Purchase of Cocoa. "(1) A person shall not purchase cocoa except (a) the Board through its wholly-owned subsidiary buying company, or (b) a person or an organisation authorized in writing by the Board to purchase cocoa for sale to the Board. … (6) A person shall not market or export cocoa unless (a) the cocoa is the property of the Board, or (b) the cocoa has been graded and sealed, the export of which has been authorised in writing by the certifying authority of the Board". Ghana Cocoa Board Act, 1984 (PNDCL 81). Viewed at: </w:t>
      </w:r>
      <w:hyperlink r:id="rId95" w:history="1">
        <w:r w:rsidRPr="00D96063">
          <w:rPr>
            <w:rStyle w:val="Hyperlink"/>
          </w:rPr>
          <w:t>https://bcp.gov.gh/acc/registry/docs/GHANA%20COCOA%20BOARD%20ACT,%201984%20P.N.D.C.L.%2081.pdf</w:t>
        </w:r>
      </w:hyperlink>
      <w:r w:rsidRPr="00D96063">
        <w:rPr>
          <w:rStyle w:val="Hyperlink"/>
          <w:color w:val="auto"/>
          <w:u w:val="none"/>
        </w:rPr>
        <w:t>.</w:t>
      </w:r>
      <w:r w:rsidRPr="00D96063">
        <w:t xml:space="preserve"> </w:t>
      </w:r>
    </w:p>
  </w:footnote>
  <w:footnote w:id="129">
    <w:p w14:paraId="0300F39F" w14:textId="77777777" w:rsidR="00C15F2E" w:rsidRPr="00D96063" w:rsidRDefault="00C15F2E" w:rsidP="00D868BF">
      <w:pPr>
        <w:pStyle w:val="FootnoteText"/>
      </w:pPr>
      <w:r w:rsidRPr="00D96063">
        <w:rPr>
          <w:rStyle w:val="FootnoteReference"/>
          <w:szCs w:val="16"/>
        </w:rPr>
        <w:footnoteRef/>
      </w:r>
      <w:r w:rsidRPr="00D96063">
        <w:t xml:space="preserve"> COCOBOD (2019), </w:t>
      </w:r>
      <w:r w:rsidRPr="00D96063">
        <w:rPr>
          <w:i/>
          <w:iCs/>
        </w:rPr>
        <w:t>50</w:t>
      </w:r>
      <w:r w:rsidRPr="00D96063">
        <w:rPr>
          <w:i/>
          <w:iCs/>
          <w:vertAlign w:val="superscript"/>
        </w:rPr>
        <w:t>th</w:t>
      </w:r>
      <w:r w:rsidRPr="00D96063">
        <w:rPr>
          <w:i/>
          <w:iCs/>
        </w:rPr>
        <w:t xml:space="preserve"> Annual Reports and Consolidated Financial Statements</w:t>
      </w:r>
      <w:r w:rsidRPr="00D96063">
        <w:t>, p. XIII.</w:t>
      </w:r>
    </w:p>
  </w:footnote>
  <w:footnote w:id="130">
    <w:p w14:paraId="568ED820" w14:textId="77777777" w:rsidR="00C15F2E" w:rsidRPr="00D96063" w:rsidRDefault="00C15F2E" w:rsidP="00D868BF">
      <w:pPr>
        <w:pStyle w:val="FootnoteText"/>
      </w:pPr>
      <w:r w:rsidRPr="00D96063">
        <w:rPr>
          <w:rStyle w:val="FootnoteReference"/>
          <w:szCs w:val="16"/>
        </w:rPr>
        <w:footnoteRef/>
      </w:r>
      <w:r w:rsidRPr="00D96063">
        <w:t xml:space="preserve"> COCOBOD (2018), </w:t>
      </w:r>
      <w:r w:rsidRPr="00D96063">
        <w:rPr>
          <w:i/>
          <w:iCs/>
        </w:rPr>
        <w:t>49</w:t>
      </w:r>
      <w:r w:rsidRPr="00D96063">
        <w:rPr>
          <w:i/>
          <w:iCs/>
          <w:vertAlign w:val="superscript"/>
        </w:rPr>
        <w:t>th</w:t>
      </w:r>
      <w:r w:rsidRPr="00D96063">
        <w:rPr>
          <w:i/>
          <w:iCs/>
        </w:rPr>
        <w:t xml:space="preserve"> Annual Report and Financial Statements</w:t>
      </w:r>
      <w:r w:rsidRPr="00D96063">
        <w:t xml:space="preserve">, p. 23. </w:t>
      </w:r>
    </w:p>
  </w:footnote>
  <w:footnote w:id="131">
    <w:p w14:paraId="41063AC3" w14:textId="77777777" w:rsidR="00C15F2E" w:rsidRPr="00D96063" w:rsidRDefault="00C15F2E" w:rsidP="00D868BF">
      <w:pPr>
        <w:pStyle w:val="FootnoteText"/>
      </w:pPr>
      <w:r w:rsidRPr="00D96063">
        <w:rPr>
          <w:rStyle w:val="FootnoteReference"/>
        </w:rPr>
        <w:footnoteRef/>
      </w:r>
      <w:r w:rsidRPr="00D96063">
        <w:t xml:space="preserve"> See also Boysen, O., et al. (2021), "Impacts of the Cocoa Living Income Differential Policy in Ghana and Côte d'Ivoire", </w:t>
      </w:r>
      <w:r w:rsidRPr="00D96063">
        <w:rPr>
          <w:i/>
          <w:iCs/>
        </w:rPr>
        <w:t>European Commission JRC Science for Policy Report</w:t>
      </w:r>
      <w:r w:rsidRPr="00D96063">
        <w:t xml:space="preserve">. Viewed at: </w:t>
      </w:r>
      <w:hyperlink r:id="rId96" w:history="1">
        <w:r w:rsidRPr="00D96063">
          <w:rPr>
            <w:rStyle w:val="Hyperlink"/>
          </w:rPr>
          <w:t>https://op.europa.eu/en/publication-detail/-/publication/bd4ad048-0ebc-11ec-b771-01aa75ed71a1/language-en</w:t>
        </w:r>
      </w:hyperlink>
      <w:r w:rsidRPr="00D96063">
        <w:rPr>
          <w:rStyle w:val="Hyperlink"/>
          <w:u w:val="none"/>
        </w:rPr>
        <w:t>.</w:t>
      </w:r>
    </w:p>
  </w:footnote>
  <w:footnote w:id="132">
    <w:p w14:paraId="27093457" w14:textId="77777777" w:rsidR="00C15F2E" w:rsidRPr="00D96063" w:rsidRDefault="00C15F2E" w:rsidP="00D868BF">
      <w:pPr>
        <w:pStyle w:val="FootnoteText"/>
      </w:pPr>
      <w:r w:rsidRPr="00D96063">
        <w:rPr>
          <w:rStyle w:val="FootnoteReference"/>
          <w:szCs w:val="16"/>
        </w:rPr>
        <w:footnoteRef/>
      </w:r>
      <w:r w:rsidRPr="00D96063">
        <w:t xml:space="preserve"> Ghana Forestry Commission (2019), </w:t>
      </w:r>
      <w:r w:rsidRPr="00D96063">
        <w:rPr>
          <w:i/>
          <w:iCs/>
        </w:rPr>
        <w:t>Report on Export of Timber and Wood Products, September 2019</w:t>
      </w:r>
      <w:r w:rsidRPr="00D96063">
        <w:t xml:space="preserve">. Viewed at: </w:t>
      </w:r>
      <w:hyperlink r:id="rId97" w:history="1">
        <w:r w:rsidRPr="00D96063">
          <w:rPr>
            <w:rStyle w:val="Hyperlink"/>
          </w:rPr>
          <w:t>https://www.oldwebsite.fcghana.org/userfiles/files/September%202019(1).pdf</w:t>
        </w:r>
      </w:hyperlink>
      <w:r w:rsidRPr="00D96063">
        <w:rPr>
          <w:rStyle w:val="Hyperlink"/>
          <w:color w:val="auto"/>
          <w:u w:val="none"/>
        </w:rPr>
        <w:t>.</w:t>
      </w:r>
    </w:p>
  </w:footnote>
  <w:footnote w:id="133">
    <w:p w14:paraId="2729BDDB" w14:textId="77777777" w:rsidR="00C15F2E" w:rsidRPr="00D96063" w:rsidRDefault="00C15F2E" w:rsidP="00D868BF">
      <w:pPr>
        <w:pStyle w:val="FootnoteText"/>
      </w:pPr>
      <w:r w:rsidRPr="00D96063">
        <w:rPr>
          <w:rStyle w:val="FootnoteReference"/>
          <w:szCs w:val="16"/>
        </w:rPr>
        <w:footnoteRef/>
      </w:r>
      <w:r w:rsidRPr="00D96063">
        <w:t xml:space="preserve"> Asiedu, K.G. (2019), "Ghana Is Losing its Rainforest Faster than any Other Country in the World", 10 May, </w:t>
      </w:r>
      <w:r w:rsidRPr="00D96063">
        <w:rPr>
          <w:i/>
          <w:iCs/>
        </w:rPr>
        <w:t>World Economic Forum</w:t>
      </w:r>
      <w:r w:rsidRPr="00D96063">
        <w:t xml:space="preserve">. Viewed at: </w:t>
      </w:r>
      <w:hyperlink r:id="rId98" w:history="1">
        <w:r w:rsidRPr="00D96063">
          <w:rPr>
            <w:rStyle w:val="Hyperlink"/>
          </w:rPr>
          <w:t>https://www.weforum.org/agenda/2019/05/ghana-is-losing-its-rainforest-faster-than-any-other-country-in-the-world/</w:t>
        </w:r>
      </w:hyperlink>
      <w:r w:rsidRPr="00D96063">
        <w:rPr>
          <w:rStyle w:val="Hyperlink"/>
          <w:color w:val="auto"/>
          <w:u w:val="none"/>
        </w:rPr>
        <w:t>.</w:t>
      </w:r>
    </w:p>
  </w:footnote>
  <w:footnote w:id="134">
    <w:p w14:paraId="076542A5" w14:textId="77777777" w:rsidR="00C15F2E" w:rsidRPr="00D96063" w:rsidRDefault="00C15F2E" w:rsidP="00D868BF">
      <w:pPr>
        <w:pStyle w:val="FootnoteText"/>
      </w:pPr>
      <w:r w:rsidRPr="00D96063">
        <w:rPr>
          <w:rStyle w:val="FootnoteReference"/>
          <w:szCs w:val="16"/>
        </w:rPr>
        <w:footnoteRef/>
      </w:r>
      <w:r w:rsidRPr="00D96063">
        <w:t xml:space="preserve"> Forestry Commission. Viewed at: </w:t>
      </w:r>
      <w:hyperlink r:id="rId99" w:history="1">
        <w:r w:rsidRPr="00D96063">
          <w:rPr>
            <w:rStyle w:val="Hyperlink"/>
          </w:rPr>
          <w:t>https://fcghana.org/</w:t>
        </w:r>
      </w:hyperlink>
      <w:r w:rsidRPr="00D96063">
        <w:rPr>
          <w:rStyle w:val="Hyperlink"/>
          <w:color w:val="auto"/>
          <w:u w:val="none"/>
        </w:rPr>
        <w:t>.</w:t>
      </w:r>
    </w:p>
  </w:footnote>
  <w:footnote w:id="135">
    <w:p w14:paraId="52BA5D60" w14:textId="77777777" w:rsidR="00C15F2E" w:rsidRPr="00D96063" w:rsidRDefault="00C15F2E" w:rsidP="00D868BF">
      <w:pPr>
        <w:pStyle w:val="FootnoteText"/>
      </w:pPr>
      <w:r w:rsidRPr="00D96063">
        <w:rPr>
          <w:rStyle w:val="FootnoteReference"/>
          <w:szCs w:val="16"/>
        </w:rPr>
        <w:footnoteRef/>
      </w:r>
      <w:r w:rsidRPr="00D96063">
        <w:t xml:space="preserve"> MLNR (2012), </w:t>
      </w:r>
      <w:r w:rsidRPr="00D96063">
        <w:rPr>
          <w:i/>
          <w:iCs/>
        </w:rPr>
        <w:t>Ghana Forest and Wildlife Policy</w:t>
      </w:r>
      <w:r w:rsidRPr="00D96063">
        <w:t xml:space="preserve">. Viewed at: </w:t>
      </w:r>
      <w:hyperlink r:id="rId100" w:history="1">
        <w:r w:rsidRPr="00D96063">
          <w:rPr>
            <w:rStyle w:val="Hyperlink"/>
          </w:rPr>
          <w:t>http://extwprlegs1.fao.org/docs/pdf/gha144198.pdf</w:t>
        </w:r>
      </w:hyperlink>
      <w:r w:rsidRPr="00D96063">
        <w:t>.</w:t>
      </w:r>
    </w:p>
  </w:footnote>
  <w:footnote w:id="136">
    <w:p w14:paraId="529D16DF" w14:textId="77777777" w:rsidR="00C15F2E" w:rsidRPr="00D96063" w:rsidRDefault="00C15F2E" w:rsidP="00D868BF">
      <w:pPr>
        <w:pStyle w:val="FootnoteText"/>
      </w:pPr>
      <w:r w:rsidRPr="00D96063">
        <w:rPr>
          <w:rStyle w:val="FootnoteReference"/>
          <w:szCs w:val="16"/>
        </w:rPr>
        <w:footnoteRef/>
      </w:r>
      <w:r w:rsidRPr="00D96063">
        <w:t xml:space="preserve"> MLNR (2016), </w:t>
      </w:r>
      <w:r w:rsidRPr="00D96063">
        <w:rPr>
          <w:i/>
          <w:iCs/>
        </w:rPr>
        <w:t>Forestry Development Master Plan (2016-2036)</w:t>
      </w:r>
      <w:r w:rsidRPr="00D96063">
        <w:t xml:space="preserve">. Viewed at: </w:t>
      </w:r>
      <w:hyperlink r:id="rId101" w:history="1">
        <w:r w:rsidRPr="00D96063">
          <w:rPr>
            <w:rStyle w:val="Hyperlink"/>
          </w:rPr>
          <w:t>https://www.oldwebsite.fcghana.org/userfiles/files/MLNR/FDMP Final (2).pdf</w:t>
        </w:r>
      </w:hyperlink>
      <w:r w:rsidRPr="00D96063">
        <w:rPr>
          <w:rStyle w:val="Hyperlink"/>
          <w:color w:val="auto"/>
          <w:u w:val="none"/>
        </w:rPr>
        <w:t>.</w:t>
      </w:r>
      <w:r w:rsidRPr="00D96063">
        <w:t xml:space="preserve"> </w:t>
      </w:r>
    </w:p>
  </w:footnote>
  <w:footnote w:id="137">
    <w:p w14:paraId="6F835189" w14:textId="77777777" w:rsidR="00C15F2E" w:rsidRPr="00D96063" w:rsidRDefault="00C15F2E" w:rsidP="00D868BF">
      <w:pPr>
        <w:pStyle w:val="FootnoteText"/>
      </w:pPr>
      <w:r w:rsidRPr="00D96063">
        <w:rPr>
          <w:rStyle w:val="FootnoteReference"/>
          <w:szCs w:val="16"/>
        </w:rPr>
        <w:footnoteRef/>
      </w:r>
      <w:r w:rsidRPr="00D96063">
        <w:t xml:space="preserve"> United Nations Forum on Forests (2018), </w:t>
      </w:r>
      <w:r w:rsidRPr="00D96063">
        <w:rPr>
          <w:i/>
          <w:iCs/>
        </w:rPr>
        <w:t>Development of a System for Monitoring Progress Toward Sustainable Forest Management</w:t>
      </w:r>
      <w:r w:rsidRPr="00D96063">
        <w:t xml:space="preserve">, January. Viewed at: </w:t>
      </w:r>
      <w:hyperlink r:id="rId102" w:history="1">
        <w:r w:rsidRPr="00D96063">
          <w:rPr>
            <w:rStyle w:val="Hyperlink"/>
          </w:rPr>
          <w:t>https://www.un.org/esa/forests/wp-content/uploads/2020/08/MAR-Ghana-Project-Report.pdf</w:t>
        </w:r>
      </w:hyperlink>
      <w:r w:rsidRPr="00D96063">
        <w:t>.</w:t>
      </w:r>
    </w:p>
  </w:footnote>
  <w:footnote w:id="138">
    <w:p w14:paraId="1BDBDD86" w14:textId="77777777" w:rsidR="00C15F2E" w:rsidRPr="00D96063" w:rsidRDefault="00C15F2E" w:rsidP="00D868BF">
      <w:pPr>
        <w:pStyle w:val="FootnoteText"/>
      </w:pPr>
      <w:r w:rsidRPr="00D96063">
        <w:rPr>
          <w:rStyle w:val="FootnoteReference"/>
          <w:szCs w:val="16"/>
        </w:rPr>
        <w:footnoteRef/>
      </w:r>
      <w:r w:rsidRPr="00D96063">
        <w:t xml:space="preserve"> Forestry Commission, </w:t>
      </w:r>
      <w:r w:rsidRPr="00D96063">
        <w:rPr>
          <w:i/>
          <w:iCs/>
        </w:rPr>
        <w:t>Forest Laws &amp; Regulations: Timber Resource Management Act, 1997 – Act 547</w:t>
      </w:r>
      <w:r w:rsidRPr="00D96063">
        <w:t xml:space="preserve">. Viewed at: </w:t>
      </w:r>
      <w:hyperlink r:id="rId103" w:history="1">
        <w:r w:rsidRPr="00D96063">
          <w:rPr>
            <w:rStyle w:val="Hyperlink"/>
          </w:rPr>
          <w:t>https://www.oldwebsite.fcghana.org/library_info.php?doc=45&amp;publication:Timber%20Resource%20Management%20Act,%201997%20-%20Act%20%20547&amp;id=15</w:t>
        </w:r>
      </w:hyperlink>
      <w:r w:rsidRPr="00D96063">
        <w:rPr>
          <w:rStyle w:val="Hyperlink"/>
          <w:color w:val="auto"/>
          <w:u w:val="none"/>
        </w:rPr>
        <w:t>.</w:t>
      </w:r>
    </w:p>
  </w:footnote>
  <w:footnote w:id="139">
    <w:p w14:paraId="5CCE0EC2" w14:textId="77777777" w:rsidR="00C15F2E" w:rsidRPr="00D96063" w:rsidRDefault="00C15F2E" w:rsidP="00D868BF">
      <w:pPr>
        <w:pStyle w:val="FootnoteText"/>
      </w:pPr>
      <w:r w:rsidRPr="00D96063">
        <w:rPr>
          <w:rStyle w:val="FootnoteReference"/>
          <w:szCs w:val="16"/>
        </w:rPr>
        <w:footnoteRef/>
      </w:r>
      <w:r w:rsidRPr="00D96063">
        <w:t xml:space="preserve"> Forestry Commission, </w:t>
      </w:r>
      <w:r w:rsidRPr="00D96063">
        <w:rPr>
          <w:i/>
          <w:iCs/>
        </w:rPr>
        <w:t>Forest Laws &amp; Regulations: The Trees &amp; Timber (Amendment) Act, 1994</w:t>
      </w:r>
      <w:r w:rsidRPr="00D96063">
        <w:t xml:space="preserve">. Viewed at: </w:t>
      </w:r>
      <w:hyperlink r:id="rId104" w:history="1">
        <w:r w:rsidRPr="00D96063">
          <w:rPr>
            <w:rStyle w:val="Hyperlink"/>
          </w:rPr>
          <w:t>https://www.oldwebsite.fcghana.org/library_info.php?doc=49&amp;publication:The%20Trees%20&amp;%20Timber%20(Amendment)%20Act,%201994&amp;id=15</w:t>
        </w:r>
      </w:hyperlink>
      <w:r w:rsidRPr="00D96063">
        <w:t>.</w:t>
      </w:r>
    </w:p>
  </w:footnote>
  <w:footnote w:id="140">
    <w:p w14:paraId="68190157" w14:textId="77777777" w:rsidR="00C15F2E" w:rsidRPr="00D96063" w:rsidRDefault="00C15F2E" w:rsidP="00D868BF">
      <w:pPr>
        <w:pStyle w:val="FootnoteText"/>
      </w:pPr>
      <w:r w:rsidRPr="00D96063">
        <w:rPr>
          <w:rStyle w:val="FootnoteReference"/>
          <w:szCs w:val="16"/>
        </w:rPr>
        <w:footnoteRef/>
      </w:r>
      <w:r w:rsidRPr="00D96063">
        <w:t xml:space="preserve"> Forestry Commission, </w:t>
      </w:r>
      <w:r w:rsidRPr="00D96063">
        <w:rPr>
          <w:i/>
          <w:iCs/>
        </w:rPr>
        <w:t>Forest Laws &amp; Regulations: Timber Resources Management Act 617 (Amendment) Act</w:t>
      </w:r>
      <w:r w:rsidRPr="00D96063">
        <w:t xml:space="preserve">, 2002. Viewed at: </w:t>
      </w:r>
      <w:hyperlink r:id="rId105" w:history="1">
        <w:r w:rsidRPr="00D96063">
          <w:rPr>
            <w:rStyle w:val="Hyperlink"/>
          </w:rPr>
          <w:t>https://www.oldwebsite.fcghana.org/library_info.php?doc=52&amp;publication:Timber%20Resources%20Management%20Act%20617%20(Amendment)%20Act,%202002&amp;id=15</w:t>
        </w:r>
      </w:hyperlink>
      <w:r w:rsidRPr="00D96063">
        <w:rPr>
          <w:rStyle w:val="Hyperlink"/>
          <w:color w:val="auto"/>
          <w:u w:val="none"/>
        </w:rPr>
        <w:t>.</w:t>
      </w:r>
    </w:p>
  </w:footnote>
  <w:footnote w:id="141">
    <w:p w14:paraId="225550C8" w14:textId="75B8AF78" w:rsidR="00C15F2E" w:rsidRPr="00D96063" w:rsidRDefault="00C15F2E" w:rsidP="00D868BF">
      <w:pPr>
        <w:pStyle w:val="FootnoteText"/>
      </w:pPr>
      <w:r w:rsidRPr="00D96063">
        <w:rPr>
          <w:rStyle w:val="FootnoteReference"/>
          <w:szCs w:val="16"/>
        </w:rPr>
        <w:footnoteRef/>
      </w:r>
      <w:r w:rsidRPr="00D96063">
        <w:t xml:space="preserve"> Timber Resource Management and Legality Licensing Regulations, 2017 (L.I. 2254). Viewed at: </w:t>
      </w:r>
      <w:hyperlink r:id="rId106" w:history="1">
        <w:r w:rsidR="005C20E0">
          <w:rPr>
            <w:rStyle w:val="Hyperlink"/>
          </w:rPr>
          <w:t>https://www.bcp.gov.gh/acc/registry/docs/TIMBER%20RESOURCE%20MANAGEMENT%20AND%20LEGALITY%20LICENSING%20REGULATIONS,%202017%20(L.I.%202254).pdf</w:t>
        </w:r>
      </w:hyperlink>
      <w:r w:rsidR="005C20E0" w:rsidRPr="007A1409">
        <w:rPr>
          <w:rStyle w:val="Hyperlink"/>
          <w:color w:val="auto"/>
          <w:u w:val="none"/>
        </w:rPr>
        <w:t>.</w:t>
      </w:r>
      <w:r w:rsidRPr="00D96063">
        <w:t xml:space="preserve"> See also: Ghana and the European Union (n.d.), </w:t>
      </w:r>
      <w:r w:rsidRPr="00D96063">
        <w:rPr>
          <w:i/>
          <w:iCs/>
        </w:rPr>
        <w:t>Progress Report 2013-2017: Implementing the Ghana-EU FLEGT Voluntary Partnership Agreement</w:t>
      </w:r>
      <w:r w:rsidRPr="00D96063">
        <w:t xml:space="preserve">. Viewed at: </w:t>
      </w:r>
      <w:hyperlink r:id="rId107" w:history="1">
        <w:r w:rsidRPr="00D96063">
          <w:rPr>
            <w:rStyle w:val="Hyperlink"/>
          </w:rPr>
          <w:t>https://www.euflegt.efi.int/documents/10180/438736/Ghana+Progress+Report+2013+%e2%80%93+2017.pdf/96b75d78-7eb8-0761-85c2-3daa07e7dfe6</w:t>
        </w:r>
      </w:hyperlink>
      <w:r w:rsidRPr="00D96063">
        <w:t>.</w:t>
      </w:r>
    </w:p>
  </w:footnote>
  <w:footnote w:id="142">
    <w:p w14:paraId="3E08CAE5" w14:textId="77777777" w:rsidR="00C15F2E" w:rsidRPr="00D96063" w:rsidRDefault="00C15F2E" w:rsidP="00D868BF">
      <w:pPr>
        <w:pStyle w:val="FootnoteText"/>
      </w:pPr>
      <w:r w:rsidRPr="00D96063">
        <w:rPr>
          <w:rStyle w:val="FootnoteReference"/>
        </w:rPr>
        <w:footnoteRef/>
      </w:r>
      <w:r w:rsidRPr="00D96063">
        <w:t xml:space="preserve"> Reducing emissions from deforestation and forest degradation and the role of conservation, sustainable management of forests, and enhancement of forest carbon stocks in developing countries (REDD+).</w:t>
      </w:r>
    </w:p>
  </w:footnote>
  <w:footnote w:id="143">
    <w:p w14:paraId="725C7C8B" w14:textId="77777777" w:rsidR="00C15F2E" w:rsidRPr="00D96063" w:rsidRDefault="00C15F2E" w:rsidP="00D868BF">
      <w:pPr>
        <w:pStyle w:val="FootnoteText"/>
      </w:pPr>
      <w:r w:rsidRPr="00D96063">
        <w:rPr>
          <w:rStyle w:val="FootnoteReference"/>
          <w:szCs w:val="16"/>
        </w:rPr>
        <w:footnoteRef/>
      </w:r>
      <w:r w:rsidRPr="00D96063">
        <w:t xml:space="preserve"> World Bank (2019), "Ghana Signs Landmark Deal with World Bank to Cut Carbon Emissions and Reduce Deforestation", 9 July. Viewed at: </w:t>
      </w:r>
      <w:hyperlink r:id="rId108" w:history="1">
        <w:r w:rsidRPr="00D96063">
          <w:rPr>
            <w:rStyle w:val="Hyperlink"/>
          </w:rPr>
          <w:t>https://www.worldbank.org/en/news/press-release/2019/07/09/ghana-signs-landmark-deal-with-world-bank-to-cut-carbon-emissions-and-reduce-deforestation</w:t>
        </w:r>
      </w:hyperlink>
      <w:r w:rsidRPr="00D96063">
        <w:rPr>
          <w:rStyle w:val="Hyperlink"/>
          <w:color w:val="auto"/>
          <w:u w:val="none"/>
        </w:rPr>
        <w:t>.</w:t>
      </w:r>
      <w:r w:rsidRPr="00D96063">
        <w:t xml:space="preserve"> </w:t>
      </w:r>
    </w:p>
  </w:footnote>
  <w:footnote w:id="144">
    <w:p w14:paraId="6122DA07" w14:textId="77777777" w:rsidR="00C15F2E" w:rsidRPr="00D96063" w:rsidRDefault="00C15F2E" w:rsidP="00D868BF">
      <w:pPr>
        <w:pStyle w:val="FootnoteText"/>
      </w:pPr>
      <w:r w:rsidRPr="00D96063">
        <w:rPr>
          <w:rStyle w:val="FootnoteReference"/>
          <w:szCs w:val="16"/>
        </w:rPr>
        <w:footnoteRef/>
      </w:r>
      <w:r w:rsidRPr="00D96063">
        <w:t xml:space="preserve"> Forestry Commission, </w:t>
      </w:r>
      <w:r w:rsidRPr="00D96063">
        <w:rPr>
          <w:i/>
          <w:iCs/>
        </w:rPr>
        <w:t>Timber Industry Development Division (TIDD)</w:t>
      </w:r>
      <w:r w:rsidRPr="00D96063">
        <w:t xml:space="preserve">. Viewed at: </w:t>
      </w:r>
      <w:hyperlink r:id="rId109" w:history="1">
        <w:r w:rsidRPr="00D96063">
          <w:rPr>
            <w:rStyle w:val="Hyperlink"/>
          </w:rPr>
          <w:t>https://www.oldwebsite.fcghana.org/page.php?page=46&amp;section=22&amp;typ=1&amp;subs=253</w:t>
        </w:r>
      </w:hyperlink>
      <w:r w:rsidRPr="00D96063">
        <w:t>.</w:t>
      </w:r>
    </w:p>
  </w:footnote>
  <w:footnote w:id="145">
    <w:p w14:paraId="1113305D" w14:textId="65C94687" w:rsidR="00C15F2E" w:rsidRPr="00D96063" w:rsidRDefault="00C15F2E" w:rsidP="00D868BF">
      <w:pPr>
        <w:pStyle w:val="FootnoteText"/>
      </w:pPr>
      <w:r w:rsidRPr="00D96063">
        <w:rPr>
          <w:rStyle w:val="FootnoteReference"/>
          <w:szCs w:val="16"/>
        </w:rPr>
        <w:footnoteRef/>
      </w:r>
      <w:r w:rsidRPr="00D96063">
        <w:t xml:space="preserve"> Forestry Commission</w:t>
      </w:r>
      <w:r w:rsidR="00E66257">
        <w:t>. Viewed at:</w:t>
      </w:r>
      <w:r w:rsidRPr="00D96063">
        <w:t xml:space="preserve"> </w:t>
      </w:r>
      <w:hyperlink r:id="rId110" w:history="1">
        <w:r w:rsidRPr="00D96063">
          <w:rPr>
            <w:rStyle w:val="Hyperlink"/>
          </w:rPr>
          <w:t>https://www.oldwebsite.fcghana.org/library_info.php?doc=49&amp;publication:The%20Trees%20&amp;%20Timber%20(Amendment)%20Act,%201994&amp;id=15</w:t>
        </w:r>
      </w:hyperlink>
      <w:r w:rsidRPr="00D96063">
        <w:t>.</w:t>
      </w:r>
    </w:p>
  </w:footnote>
  <w:footnote w:id="146">
    <w:p w14:paraId="28330FE4" w14:textId="77777777" w:rsidR="00C15F2E" w:rsidRPr="00D96063" w:rsidRDefault="00C15F2E" w:rsidP="00D868BF">
      <w:pPr>
        <w:pStyle w:val="FootnoteText"/>
      </w:pPr>
      <w:r w:rsidRPr="00D96063">
        <w:rPr>
          <w:rStyle w:val="FootnoteReference"/>
          <w:szCs w:val="16"/>
        </w:rPr>
        <w:footnoteRef/>
      </w:r>
      <w:r w:rsidRPr="00D96063">
        <w:t xml:space="preserve"> Ghana Maritime Authority (n.d.), </w:t>
      </w:r>
      <w:r w:rsidRPr="00D96063">
        <w:rPr>
          <w:i/>
          <w:iCs/>
        </w:rPr>
        <w:t>Profile of Major Rivers in Ghana</w:t>
      </w:r>
      <w:r w:rsidRPr="00D96063">
        <w:t xml:space="preserve">. Viewed at: </w:t>
      </w:r>
      <w:hyperlink r:id="rId111" w:history="1">
        <w:r w:rsidRPr="00D96063">
          <w:rPr>
            <w:rStyle w:val="Hyperlink"/>
            <w:color w:val="0000FF"/>
          </w:rPr>
          <w:t>https://www.ghanamaritime.org/uploads/39536-profile-of-major-rivers-in-ghana.pdf</w:t>
        </w:r>
      </w:hyperlink>
      <w:r w:rsidRPr="007A1409">
        <w:rPr>
          <w:rFonts w:eastAsiaTheme="minorHAnsi" w:cstheme="minorBidi"/>
          <w:szCs w:val="16"/>
          <w:lang w:eastAsia="en-US"/>
        </w:rPr>
        <w:t>.</w:t>
      </w:r>
    </w:p>
  </w:footnote>
  <w:footnote w:id="147">
    <w:p w14:paraId="49F568D5" w14:textId="77777777" w:rsidR="00C15F2E" w:rsidRPr="00D96063" w:rsidRDefault="00C15F2E" w:rsidP="00D868BF">
      <w:pPr>
        <w:pStyle w:val="FootnoteText"/>
      </w:pPr>
      <w:r w:rsidRPr="00D96063">
        <w:rPr>
          <w:rStyle w:val="FootnoteReference"/>
          <w:szCs w:val="16"/>
        </w:rPr>
        <w:footnoteRef/>
      </w:r>
      <w:r w:rsidRPr="00D96063">
        <w:t xml:space="preserve"> MoFAD, </w:t>
      </w:r>
      <w:r w:rsidRPr="00D96063">
        <w:rPr>
          <w:i/>
          <w:iCs/>
        </w:rPr>
        <w:t>Fish Production</w:t>
      </w:r>
      <w:r w:rsidRPr="00D96063">
        <w:t xml:space="preserve">. Viewed at: </w:t>
      </w:r>
      <w:hyperlink r:id="rId112" w:history="1">
        <w:r w:rsidRPr="00D96063">
          <w:rPr>
            <w:rStyle w:val="Hyperlink"/>
          </w:rPr>
          <w:t>https://www.mofad.gov.gh/publications/statistics-and-reports/fish-production/</w:t>
        </w:r>
      </w:hyperlink>
      <w:r w:rsidRPr="00D96063">
        <w:rPr>
          <w:rStyle w:val="Hyperlink"/>
          <w:color w:val="auto"/>
          <w:u w:val="none"/>
        </w:rPr>
        <w:t>.</w:t>
      </w:r>
    </w:p>
  </w:footnote>
  <w:footnote w:id="148">
    <w:p w14:paraId="66C38666" w14:textId="77777777" w:rsidR="00C15F2E" w:rsidRPr="00D96063" w:rsidRDefault="00C15F2E" w:rsidP="00D868BF">
      <w:pPr>
        <w:pStyle w:val="FootnoteText"/>
      </w:pPr>
      <w:r w:rsidRPr="00D96063">
        <w:rPr>
          <w:rStyle w:val="FootnoteReference"/>
          <w:szCs w:val="16"/>
        </w:rPr>
        <w:footnoteRef/>
      </w:r>
      <w:r w:rsidRPr="00D96063">
        <w:t xml:space="preserve"> MoFAD (2015), </w:t>
      </w:r>
      <w:r w:rsidRPr="00D96063">
        <w:rPr>
          <w:i/>
          <w:iCs/>
        </w:rPr>
        <w:t>Fisheries Management Plan of Ghana</w:t>
      </w:r>
      <w:r w:rsidRPr="00D96063">
        <w:t xml:space="preserve">. Viewed at: </w:t>
      </w:r>
      <w:hyperlink r:id="rId113" w:history="1">
        <w:r w:rsidRPr="00D96063">
          <w:rPr>
            <w:rStyle w:val="Hyperlink"/>
          </w:rPr>
          <w:t>https://www.crc.uri.edu/download/GH2014_POL005_FC_FisheriesMgtPlan2016.pdf</w:t>
        </w:r>
      </w:hyperlink>
      <w:r w:rsidRPr="00D96063">
        <w:t>.</w:t>
      </w:r>
    </w:p>
  </w:footnote>
  <w:footnote w:id="149">
    <w:p w14:paraId="7607DAC8" w14:textId="77777777" w:rsidR="00C15F2E" w:rsidRPr="00D96063" w:rsidRDefault="00C15F2E" w:rsidP="00D868BF">
      <w:pPr>
        <w:pStyle w:val="FootnoteText"/>
      </w:pPr>
      <w:r w:rsidRPr="00D96063">
        <w:rPr>
          <w:rStyle w:val="FootnoteReference"/>
          <w:szCs w:val="16"/>
        </w:rPr>
        <w:footnoteRef/>
      </w:r>
      <w:r w:rsidRPr="00D96063">
        <w:t xml:space="preserve"> Norwegian Institute of International Affairs (2018), </w:t>
      </w:r>
      <w:r w:rsidRPr="00D96063">
        <w:rPr>
          <w:i/>
          <w:iCs/>
        </w:rPr>
        <w:t>The Fisheries Sector in Ghana</w:t>
      </w:r>
      <w:r w:rsidRPr="00D96063">
        <w:t xml:space="preserve">. Viewed at: </w:t>
      </w:r>
      <w:hyperlink r:id="rId114" w:history="1">
        <w:r w:rsidRPr="00D96063">
          <w:rPr>
            <w:rStyle w:val="Hyperlink"/>
          </w:rPr>
          <w:t>https://munin.uit.no/bitstream/handle/10037/14303/article.pdf?sequence=2&amp;isAllowed=y</w:t>
        </w:r>
      </w:hyperlink>
      <w:r w:rsidRPr="00D96063">
        <w:t>.</w:t>
      </w:r>
    </w:p>
  </w:footnote>
  <w:footnote w:id="150">
    <w:p w14:paraId="266121CB" w14:textId="77777777" w:rsidR="00C15F2E" w:rsidRPr="00D96063" w:rsidRDefault="00C15F2E" w:rsidP="00D868BF">
      <w:pPr>
        <w:pStyle w:val="FootnoteText"/>
      </w:pPr>
      <w:r w:rsidRPr="00D96063">
        <w:rPr>
          <w:rStyle w:val="FootnoteReference"/>
        </w:rPr>
        <w:footnoteRef/>
      </w:r>
      <w:r w:rsidRPr="00D96063">
        <w:t xml:space="preserve"> See also Environmental Justice Foundation, </w:t>
      </w:r>
      <w:r w:rsidRPr="00D96063">
        <w:rPr>
          <w:i/>
          <w:iCs/>
        </w:rPr>
        <w:t>Securing Sustainable Fisheries</w:t>
      </w:r>
      <w:r w:rsidRPr="00D96063">
        <w:t xml:space="preserve">. Viewed at: </w:t>
      </w:r>
      <w:hyperlink r:id="rId115" w:history="1">
        <w:r w:rsidRPr="00D96063">
          <w:rPr>
            <w:rStyle w:val="Hyperlink"/>
          </w:rPr>
          <w:t>https://ejfoundation.org/what-we-do/ocean/ghana</w:t>
        </w:r>
      </w:hyperlink>
      <w:r w:rsidRPr="00D96063">
        <w:t>.</w:t>
      </w:r>
    </w:p>
  </w:footnote>
  <w:footnote w:id="151">
    <w:p w14:paraId="775A3B64" w14:textId="77777777" w:rsidR="00C15F2E" w:rsidRPr="00D96063" w:rsidRDefault="00C15F2E" w:rsidP="00D868BF">
      <w:pPr>
        <w:pStyle w:val="FootnoteText"/>
      </w:pPr>
      <w:r w:rsidRPr="00D96063">
        <w:rPr>
          <w:rStyle w:val="FootnoteReference"/>
          <w:szCs w:val="16"/>
        </w:rPr>
        <w:footnoteRef/>
      </w:r>
      <w:r w:rsidRPr="00D96063">
        <w:t xml:space="preserve"> Fisheries Committee for the West Central Gulf of Guinea (2019), "Ghana: Fisheries Ministry Proposes Tax Exemptions for Fish Farming Inputs", 30 October. Viewed at: </w:t>
      </w:r>
      <w:hyperlink r:id="rId116" w:history="1">
        <w:r w:rsidRPr="00D96063">
          <w:rPr>
            <w:rStyle w:val="Hyperlink"/>
          </w:rPr>
          <w:t>https://fcwc-fish.org/other-news/ghana-fisheries-ministry-proposes-tax-exemptions-for-fish-farming-inputs</w:t>
        </w:r>
      </w:hyperlink>
      <w:r w:rsidRPr="00D96063">
        <w:t>.</w:t>
      </w:r>
    </w:p>
  </w:footnote>
  <w:footnote w:id="152">
    <w:p w14:paraId="5BA55294" w14:textId="77777777" w:rsidR="00C15F2E" w:rsidRPr="00D96063" w:rsidRDefault="00C15F2E" w:rsidP="00D868BF">
      <w:pPr>
        <w:pStyle w:val="FootnoteText"/>
      </w:pPr>
      <w:r w:rsidRPr="00D96063">
        <w:rPr>
          <w:rStyle w:val="FootnoteReference"/>
          <w:szCs w:val="16"/>
        </w:rPr>
        <w:footnoteRef/>
      </w:r>
      <w:r w:rsidRPr="00D96063">
        <w:t xml:space="preserve"> Norwegian Institute of International Affairs (2018), </w:t>
      </w:r>
      <w:r w:rsidRPr="00D96063">
        <w:rPr>
          <w:i/>
          <w:iCs/>
        </w:rPr>
        <w:t>The Fisheries Sector in Ghana</w:t>
      </w:r>
      <w:r w:rsidRPr="00D96063">
        <w:t xml:space="preserve">. Viewed at: </w:t>
      </w:r>
      <w:hyperlink r:id="rId117" w:history="1">
        <w:r w:rsidRPr="00D96063">
          <w:rPr>
            <w:rStyle w:val="Hyperlink"/>
          </w:rPr>
          <w:t>https://munin.uit.no/bitstream/handle/10037/14303/article.pdf?sequence=2&amp;isAllowed=y</w:t>
        </w:r>
      </w:hyperlink>
      <w:r w:rsidRPr="00D96063">
        <w:t>.</w:t>
      </w:r>
    </w:p>
  </w:footnote>
  <w:footnote w:id="153">
    <w:p w14:paraId="705DDD4A" w14:textId="75A39DA1" w:rsidR="00C15F2E" w:rsidRPr="00D96063" w:rsidRDefault="00C15F2E" w:rsidP="00D868BF">
      <w:pPr>
        <w:pStyle w:val="FootnoteText"/>
      </w:pPr>
      <w:r w:rsidRPr="00D96063">
        <w:rPr>
          <w:rStyle w:val="FootnoteReference"/>
          <w:szCs w:val="16"/>
        </w:rPr>
        <w:footnoteRef/>
      </w:r>
      <w:r w:rsidRPr="00D96063">
        <w:t xml:space="preserve"> </w:t>
      </w:r>
      <w:r w:rsidR="005C20E0" w:rsidRPr="00D96063">
        <w:t xml:space="preserve">Norwegian Institute of International Affairs (2018), </w:t>
      </w:r>
      <w:r w:rsidR="005C20E0" w:rsidRPr="00D96063">
        <w:rPr>
          <w:i/>
          <w:iCs/>
        </w:rPr>
        <w:t>The Fisheries Sector in Ghana</w:t>
      </w:r>
      <w:r w:rsidR="005C20E0" w:rsidRPr="00D96063">
        <w:t xml:space="preserve">. Viewed at: </w:t>
      </w:r>
      <w:hyperlink r:id="rId118" w:history="1">
        <w:r w:rsidRPr="00D96063">
          <w:rPr>
            <w:rStyle w:val="Hyperlink"/>
          </w:rPr>
          <w:t>https://munin.uit.no/bitstream/handle/10037/14303/article.pdf?sequence=2&amp;isAllowed=y</w:t>
        </w:r>
      </w:hyperlink>
      <w:r w:rsidR="005C20E0">
        <w:t>.</w:t>
      </w:r>
    </w:p>
  </w:footnote>
  <w:footnote w:id="154">
    <w:p w14:paraId="5BFF64CE" w14:textId="77777777" w:rsidR="00C15F2E" w:rsidRPr="00D96063" w:rsidRDefault="00C15F2E" w:rsidP="00D868BF">
      <w:pPr>
        <w:pStyle w:val="FootnoteText"/>
      </w:pPr>
      <w:r w:rsidRPr="00D96063">
        <w:rPr>
          <w:rStyle w:val="FootnoteReference"/>
          <w:szCs w:val="16"/>
        </w:rPr>
        <w:footnoteRef/>
      </w:r>
      <w:r w:rsidRPr="00D96063">
        <w:t xml:space="preserve"> IMF (2019), </w:t>
      </w:r>
      <w:r w:rsidRPr="00D96063">
        <w:rPr>
          <w:i/>
          <w:iCs/>
        </w:rPr>
        <w:t>Ghana: Staff Report for the Article IV Consultation</w:t>
      </w:r>
      <w:r w:rsidRPr="00D96063">
        <w:t xml:space="preserve">, IMF Country Report No. 19/367. Viewed at: </w:t>
      </w:r>
      <w:hyperlink r:id="rId119" w:history="1">
        <w:r w:rsidRPr="00D96063">
          <w:rPr>
            <w:rStyle w:val="Hyperlink"/>
          </w:rPr>
          <w:t>https://www.imf.org/en/Publications/CR/Issues/2019/12/18/Ghana-2019-Article-IV-Consultation-Press-Release-Staff-Report-and-Statement-by-the-Executive-48883</w:t>
        </w:r>
      </w:hyperlink>
      <w:r w:rsidRPr="00D96063">
        <w:t xml:space="preserve">. See also IMF (2021), "IMF Executive Board Concludes 2021 Article IV Consultation with Ghana", 20 July. Viewed at: </w:t>
      </w:r>
      <w:hyperlink r:id="rId120" w:history="1">
        <w:r w:rsidRPr="00D96063">
          <w:rPr>
            <w:rStyle w:val="Hyperlink"/>
          </w:rPr>
          <w:t>https://www.imf.org/-/media/Files/Publications/CR/2021/English/1GHAEA2021001.ashx</w:t>
        </w:r>
      </w:hyperlink>
      <w:r w:rsidRPr="00D96063">
        <w:t>.</w:t>
      </w:r>
    </w:p>
  </w:footnote>
  <w:footnote w:id="155">
    <w:p w14:paraId="6FCB15AA" w14:textId="77777777" w:rsidR="00C15F2E" w:rsidRPr="00D96063" w:rsidRDefault="00C15F2E" w:rsidP="00D868BF">
      <w:pPr>
        <w:pStyle w:val="FootnoteText"/>
      </w:pPr>
      <w:r w:rsidRPr="00D96063">
        <w:rPr>
          <w:rStyle w:val="FootnoteReference"/>
          <w:szCs w:val="16"/>
        </w:rPr>
        <w:footnoteRef/>
      </w:r>
      <w:r w:rsidRPr="00D96063">
        <w:t xml:space="preserve"> The Ministry's name was changed from the Ministry of Energy to the Ministry of Energy and Petroleum in 2012. Then it was split into Ministries of Petroleum and Power in November 2014. On 27 February 2017, by Executive Instrument (E.I. 28), the Ministries of Petroleum and Power were merged to create the current Ministry of Energy.</w:t>
      </w:r>
    </w:p>
  </w:footnote>
  <w:footnote w:id="156">
    <w:p w14:paraId="5D0B0B00" w14:textId="77777777" w:rsidR="00C15F2E" w:rsidRPr="00D96063" w:rsidRDefault="00C15F2E" w:rsidP="00D868BF">
      <w:pPr>
        <w:pStyle w:val="FootnoteText"/>
      </w:pPr>
      <w:r w:rsidRPr="00D96063">
        <w:rPr>
          <w:rStyle w:val="FootnoteReference"/>
          <w:szCs w:val="16"/>
        </w:rPr>
        <w:footnoteRef/>
      </w:r>
      <w:r w:rsidRPr="00D96063">
        <w:t xml:space="preserve"> Ghana Extractive Industries Transparency Initiative (GHEITI). Viewed at: </w:t>
      </w:r>
      <w:hyperlink r:id="rId121" w:history="1">
        <w:r w:rsidRPr="00D96063">
          <w:rPr>
            <w:rStyle w:val="Hyperlink"/>
          </w:rPr>
          <w:t>http://www.gheiti.gov.gh/site/</w:t>
        </w:r>
      </w:hyperlink>
      <w:r w:rsidRPr="00D96063">
        <w:t xml:space="preserve">. </w:t>
      </w:r>
    </w:p>
  </w:footnote>
  <w:footnote w:id="157">
    <w:p w14:paraId="0BB1DCBD" w14:textId="77777777" w:rsidR="00C15F2E" w:rsidRPr="00D96063" w:rsidRDefault="00C15F2E" w:rsidP="00D868BF">
      <w:pPr>
        <w:pStyle w:val="FootnoteText"/>
      </w:pPr>
      <w:r w:rsidRPr="00D96063">
        <w:rPr>
          <w:rStyle w:val="FootnoteReference"/>
          <w:szCs w:val="16"/>
        </w:rPr>
        <w:footnoteRef/>
      </w:r>
      <w:r w:rsidRPr="00D96063">
        <w:t xml:space="preserve"> The Petroleum (Exploration and Production) Act, 2016 (Act 919) repealed the Petroleum (Exploration and Production) Act, 1984 (PNDCL 84). Viewed at: </w:t>
      </w:r>
      <w:hyperlink r:id="rId122" w:history="1">
        <w:r w:rsidRPr="00D96063">
          <w:rPr>
            <w:rStyle w:val="Hyperlink"/>
          </w:rPr>
          <w:t>https://bcp.gov.gh/acc/registry/docs/Petroleum%20(Exploration%20and%20Production)%20Act,%202016%20Act%20919.pdf</w:t>
        </w:r>
      </w:hyperlink>
      <w:r w:rsidRPr="00D96063">
        <w:t>.</w:t>
      </w:r>
    </w:p>
  </w:footnote>
  <w:footnote w:id="158">
    <w:p w14:paraId="416DFB0D" w14:textId="77777777" w:rsidR="00C15F2E" w:rsidRPr="00D96063" w:rsidRDefault="00C15F2E" w:rsidP="00D868BF">
      <w:pPr>
        <w:pStyle w:val="FootnoteText"/>
      </w:pPr>
      <w:r w:rsidRPr="00D96063">
        <w:rPr>
          <w:rStyle w:val="FootnoteReference"/>
          <w:szCs w:val="16"/>
        </w:rPr>
        <w:footnoteRef/>
      </w:r>
      <w:r w:rsidRPr="00D96063">
        <w:t xml:space="preserve"> If a block is characterized by complex geology and located in ultra-deep water, it may take only companies with sophisticated technology, experience in similar environments, and strong financial resources to undertake petroleum activities in this area. Therefore, the Minister of Energy may engage in direct negotiations with a company that has all of these characteristics to license such a block. Apart from the above, "[w]here all or part of the area offered for tender in a public tender process has not become the subject of a petroleum agreement, but the Minister determines that it is in the public interest for that area to be subjected to a petroleum agreement, the Minister may initiate direct negotiations with a qualified body corporate for a petroleum agreement" (Act 919, Section 10(5)).</w:t>
      </w:r>
    </w:p>
  </w:footnote>
  <w:footnote w:id="159">
    <w:p w14:paraId="33450AFF" w14:textId="77777777" w:rsidR="00C15F2E" w:rsidRPr="00D96063" w:rsidRDefault="00C15F2E" w:rsidP="00D868BF">
      <w:pPr>
        <w:pStyle w:val="FootnoteText"/>
      </w:pPr>
      <w:r w:rsidRPr="00D96063">
        <w:rPr>
          <w:rStyle w:val="FootnoteReference"/>
          <w:szCs w:val="16"/>
        </w:rPr>
        <w:footnoteRef/>
      </w:r>
      <w:r w:rsidRPr="00D96063">
        <w:t xml:space="preserve"> Petroleum Register. Viewed at: </w:t>
      </w:r>
      <w:hyperlink r:id="rId123" w:history="1">
        <w:r w:rsidRPr="00D96063">
          <w:rPr>
            <w:rStyle w:val="Hyperlink"/>
          </w:rPr>
          <w:t>https://www.ghanapetroleumregister.com/</w:t>
        </w:r>
      </w:hyperlink>
      <w:r w:rsidRPr="00D96063">
        <w:rPr>
          <w:rStyle w:val="Hyperlink"/>
          <w:color w:val="auto"/>
          <w:u w:val="none"/>
        </w:rPr>
        <w:t>.</w:t>
      </w:r>
    </w:p>
  </w:footnote>
  <w:footnote w:id="160">
    <w:p w14:paraId="7AC3BA57" w14:textId="77777777" w:rsidR="00C15F2E" w:rsidRPr="00D96063" w:rsidRDefault="00C15F2E" w:rsidP="00D868BF">
      <w:pPr>
        <w:pStyle w:val="FootnoteText"/>
      </w:pPr>
      <w:r w:rsidRPr="00D96063">
        <w:rPr>
          <w:rStyle w:val="FootnoteReference"/>
          <w:szCs w:val="16"/>
        </w:rPr>
        <w:footnoteRef/>
      </w:r>
      <w:r w:rsidRPr="00D96063">
        <w:t xml:space="preserve"> Petroleum (Local Content and Local Participation) Regulations, 2013 (L.I. 2204). Viewed at: </w:t>
      </w:r>
      <w:hyperlink r:id="rId124" w:history="1">
        <w:r w:rsidRPr="00D96063">
          <w:rPr>
            <w:rStyle w:val="Hyperlink"/>
          </w:rPr>
          <w:t>https://www.petrocom.gov.gh/wp-content/uploads/2018/12/13-Local-Content-and-Local-Participation-Regulations-L_I-2204.pdf</w:t>
        </w:r>
      </w:hyperlink>
      <w:r w:rsidRPr="00D96063">
        <w:rPr>
          <w:rStyle w:val="Hyperlink"/>
          <w:u w:val="none"/>
        </w:rPr>
        <w:t>.</w:t>
      </w:r>
    </w:p>
  </w:footnote>
  <w:footnote w:id="161">
    <w:p w14:paraId="41D0966A" w14:textId="77777777" w:rsidR="00C15F2E" w:rsidRPr="00D96063" w:rsidRDefault="00C15F2E" w:rsidP="00D868BF">
      <w:pPr>
        <w:pStyle w:val="FootnoteText"/>
      </w:pPr>
      <w:r w:rsidRPr="00D96063">
        <w:rPr>
          <w:rStyle w:val="FootnoteReference"/>
          <w:szCs w:val="16"/>
        </w:rPr>
        <w:footnoteRef/>
      </w:r>
      <w:r w:rsidRPr="00D96063">
        <w:t xml:space="preserve"> Public Interest &amp; Accountability Committee. Viewed at: </w:t>
      </w:r>
      <w:hyperlink r:id="rId125" w:history="1">
        <w:r w:rsidRPr="00D96063">
          <w:rPr>
            <w:rStyle w:val="Hyperlink"/>
          </w:rPr>
          <w:t>https://www.piacghana.org/portal/</w:t>
        </w:r>
      </w:hyperlink>
      <w:r w:rsidRPr="00D96063">
        <w:t>.</w:t>
      </w:r>
    </w:p>
  </w:footnote>
  <w:footnote w:id="162">
    <w:p w14:paraId="7A272F41" w14:textId="77777777" w:rsidR="00C15F2E" w:rsidRPr="00D96063" w:rsidRDefault="00C15F2E" w:rsidP="00D868BF">
      <w:pPr>
        <w:pStyle w:val="FootnoteText"/>
      </w:pPr>
      <w:r w:rsidRPr="00D96063">
        <w:rPr>
          <w:rStyle w:val="FootnoteReference"/>
          <w:szCs w:val="16"/>
        </w:rPr>
        <w:footnoteRef/>
      </w:r>
      <w:r w:rsidRPr="00D96063">
        <w:t xml:space="preserve"> Premix fuel, residual fuel oil, aviation turbine kerosine, marine gasoil (for foreign vessels bunkering at Ghanaian ports), gasoil (for mines), and gasoil (for offshore oil rigs) remain subject to regulated prices.</w:t>
      </w:r>
    </w:p>
  </w:footnote>
  <w:footnote w:id="163">
    <w:p w14:paraId="4C4CCD25" w14:textId="77777777" w:rsidR="00C15F2E" w:rsidRPr="00D96063" w:rsidRDefault="00C15F2E" w:rsidP="00D868BF">
      <w:pPr>
        <w:pStyle w:val="FootnoteText"/>
      </w:pPr>
      <w:r w:rsidRPr="00D96063">
        <w:rPr>
          <w:rStyle w:val="FootnoteReference"/>
          <w:szCs w:val="16"/>
        </w:rPr>
        <w:footnoteRef/>
      </w:r>
      <w:r w:rsidRPr="00D96063">
        <w:t xml:space="preserve"> Ghana Chamber of Bulk Oil Distributors (2020), </w:t>
      </w:r>
      <w:r w:rsidRPr="00D96063">
        <w:rPr>
          <w:i/>
          <w:iCs/>
        </w:rPr>
        <w:t>2019 Ghana Petroleum Industry Report</w:t>
      </w:r>
      <w:r w:rsidRPr="00D96063">
        <w:t xml:space="preserve">. Viewed at: </w:t>
      </w:r>
      <w:hyperlink r:id="rId126" w:history="1">
        <w:r w:rsidRPr="00D96063">
          <w:rPr>
            <w:rStyle w:val="Hyperlink"/>
          </w:rPr>
          <w:t>https://cbodghana.com/download/2019-industry-report/</w:t>
        </w:r>
      </w:hyperlink>
      <w:r w:rsidRPr="00D96063">
        <w:t>.</w:t>
      </w:r>
    </w:p>
  </w:footnote>
  <w:footnote w:id="164">
    <w:p w14:paraId="3966DA16" w14:textId="77777777" w:rsidR="00C15F2E" w:rsidRPr="00D96063" w:rsidRDefault="00C15F2E" w:rsidP="00D868BF">
      <w:pPr>
        <w:pStyle w:val="FootnoteText"/>
      </w:pPr>
      <w:r w:rsidRPr="00D96063">
        <w:rPr>
          <w:rStyle w:val="FootnoteReference"/>
          <w:szCs w:val="16"/>
        </w:rPr>
        <w:footnoteRef/>
      </w:r>
      <w:r w:rsidRPr="00D96063">
        <w:t xml:space="preserve"> Ministry of Finance (2021), </w:t>
      </w:r>
      <w:r w:rsidRPr="00D96063">
        <w:rPr>
          <w:i/>
          <w:iCs/>
        </w:rPr>
        <w:t>Annual Report on the Management of the Energy Sector Levies and Accounts for the Year 2020</w:t>
      </w:r>
      <w:r w:rsidRPr="00D96063">
        <w:t xml:space="preserve">. Viewed at: </w:t>
      </w:r>
      <w:hyperlink r:id="rId127" w:history="1">
        <w:r w:rsidRPr="00D96063">
          <w:rPr>
            <w:rStyle w:val="Hyperlink"/>
          </w:rPr>
          <w:t>https://www.mofep.gov.gh/sites/default/files/reports/economic/2020_ESLA_Report_v3.pdf</w:t>
        </w:r>
      </w:hyperlink>
      <w:r w:rsidRPr="00D96063">
        <w:t>.</w:t>
      </w:r>
    </w:p>
  </w:footnote>
  <w:footnote w:id="165">
    <w:p w14:paraId="39C94912" w14:textId="77777777" w:rsidR="00C15F2E" w:rsidRPr="00D96063" w:rsidRDefault="00C15F2E" w:rsidP="00D868BF">
      <w:pPr>
        <w:pStyle w:val="FootnoteText"/>
      </w:pPr>
      <w:r w:rsidRPr="00D96063">
        <w:rPr>
          <w:rStyle w:val="FootnoteReference"/>
          <w:szCs w:val="16"/>
        </w:rPr>
        <w:footnoteRef/>
      </w:r>
      <w:r w:rsidRPr="00D96063">
        <w:t xml:space="preserve"> Ministry of Finance, </w:t>
      </w:r>
      <w:r w:rsidRPr="00D96063">
        <w:rPr>
          <w:i/>
          <w:iCs/>
        </w:rPr>
        <w:t>2020 Fiscal Data</w:t>
      </w:r>
      <w:r w:rsidRPr="00D96063">
        <w:t>. Viewed at:</w:t>
      </w:r>
      <w:hyperlink r:id="rId128" w:history="1">
        <w:r w:rsidRPr="00D96063">
          <w:rPr>
            <w:rStyle w:val="Hyperlink"/>
          </w:rPr>
          <w:t xml:space="preserve"> https:/www.mofep.gov.gh/index.php/fiscal-data/2020-jan-jun</w:t>
        </w:r>
      </w:hyperlink>
      <w:r w:rsidRPr="00D96063">
        <w:t>.</w:t>
      </w:r>
    </w:p>
  </w:footnote>
  <w:footnote w:id="166">
    <w:p w14:paraId="7A051186" w14:textId="77777777" w:rsidR="00C15F2E" w:rsidRPr="00D96063" w:rsidRDefault="00C15F2E" w:rsidP="00D868BF">
      <w:pPr>
        <w:pStyle w:val="FootnoteText"/>
      </w:pPr>
      <w:r w:rsidRPr="00D96063">
        <w:rPr>
          <w:rStyle w:val="FootnoteReference"/>
          <w:szCs w:val="16"/>
        </w:rPr>
        <w:footnoteRef/>
      </w:r>
      <w:r w:rsidRPr="00D96063">
        <w:t xml:space="preserve"> Ghana Chamber of Bulk Oil Distributors. Viewed at: </w:t>
      </w:r>
      <w:hyperlink r:id="rId129" w:history="1">
        <w:r w:rsidRPr="00D96063">
          <w:rPr>
            <w:rStyle w:val="Hyperlink"/>
          </w:rPr>
          <w:t>https://cbodghana.com/</w:t>
        </w:r>
      </w:hyperlink>
      <w:r w:rsidRPr="00D96063">
        <w:t>.</w:t>
      </w:r>
    </w:p>
  </w:footnote>
  <w:footnote w:id="167">
    <w:p w14:paraId="2F7E47A7" w14:textId="77777777" w:rsidR="00C15F2E" w:rsidRPr="00D96063" w:rsidRDefault="00C15F2E" w:rsidP="00D868BF">
      <w:pPr>
        <w:pStyle w:val="FootnoteText"/>
      </w:pPr>
      <w:r w:rsidRPr="00D96063">
        <w:rPr>
          <w:rStyle w:val="FootnoteReference"/>
          <w:szCs w:val="16"/>
        </w:rPr>
        <w:footnoteRef/>
      </w:r>
      <w:r w:rsidRPr="00D96063">
        <w:t xml:space="preserve"> Energy Commission, </w:t>
      </w:r>
      <w:r w:rsidRPr="00D96063">
        <w:rPr>
          <w:i/>
          <w:iCs/>
        </w:rPr>
        <w:t>Regulation</w:t>
      </w:r>
      <w:r w:rsidRPr="00D96063">
        <w:t xml:space="preserve">. Viewed at: </w:t>
      </w:r>
      <w:hyperlink r:id="rId130" w:history="1">
        <w:r w:rsidRPr="00D96063">
          <w:rPr>
            <w:rStyle w:val="Hyperlink"/>
          </w:rPr>
          <w:t>http://www.energycom.gov.gh/regulation</w:t>
        </w:r>
      </w:hyperlink>
      <w:r w:rsidRPr="00D96063">
        <w:t>.</w:t>
      </w:r>
    </w:p>
  </w:footnote>
  <w:footnote w:id="168">
    <w:p w14:paraId="1A8FA2D1" w14:textId="77777777" w:rsidR="00C15F2E" w:rsidRPr="00D96063" w:rsidRDefault="00C15F2E" w:rsidP="00D868BF">
      <w:pPr>
        <w:pStyle w:val="FootnoteText"/>
      </w:pPr>
      <w:r w:rsidRPr="00D96063">
        <w:rPr>
          <w:rStyle w:val="FootnoteReference"/>
          <w:szCs w:val="16"/>
        </w:rPr>
        <w:footnoteRef/>
      </w:r>
      <w:r w:rsidRPr="00D96063">
        <w:t xml:space="preserve"> Public Utilities Regulatory Commission. Viewed at: </w:t>
      </w:r>
      <w:hyperlink r:id="rId131" w:history="1">
        <w:r w:rsidRPr="00D96063">
          <w:rPr>
            <w:rStyle w:val="Hyperlink"/>
          </w:rPr>
          <w:t>https://www.purc.com.gh/who-we-are</w:t>
        </w:r>
      </w:hyperlink>
      <w:r w:rsidRPr="00D96063">
        <w:rPr>
          <w:rStyle w:val="Hyperlink"/>
          <w:u w:val="none"/>
        </w:rPr>
        <w:t xml:space="preserve">. </w:t>
      </w:r>
      <w:r w:rsidRPr="00D96063">
        <w:t xml:space="preserve"> </w:t>
      </w:r>
    </w:p>
  </w:footnote>
  <w:footnote w:id="169">
    <w:p w14:paraId="1365FAE7" w14:textId="20E31B9B" w:rsidR="00C15F2E" w:rsidRPr="00D96063" w:rsidRDefault="00C15F2E" w:rsidP="00D868BF">
      <w:pPr>
        <w:pStyle w:val="FootnoteText"/>
      </w:pPr>
      <w:r w:rsidRPr="00D96063">
        <w:rPr>
          <w:rStyle w:val="FootnoteReference"/>
          <w:szCs w:val="16"/>
        </w:rPr>
        <w:footnoteRef/>
      </w:r>
      <w:r w:rsidRPr="00D96063">
        <w:t xml:space="preserve"> Ministry of Petroleum (2016), </w:t>
      </w:r>
      <w:r w:rsidRPr="00D96063">
        <w:rPr>
          <w:i/>
          <w:iCs/>
        </w:rPr>
        <w:t>Gas Master Plan</w:t>
      </w:r>
      <w:r w:rsidR="005C20E0">
        <w:t>.</w:t>
      </w:r>
      <w:r w:rsidRPr="00D96063">
        <w:t xml:space="preserve"> Viewed at: </w:t>
      </w:r>
      <w:hyperlink r:id="rId132" w:history="1">
        <w:r w:rsidRPr="00D96063">
          <w:rPr>
            <w:rStyle w:val="Hyperlink"/>
          </w:rPr>
          <w:t>https://uploads-ssl.webflow.com/5a92987328c28c00011db053/5bbf7dca7a04d6da6a45aa82_GMP-Final-Jun16.pdf</w:t>
        </w:r>
      </w:hyperlink>
      <w:r w:rsidRPr="00D96063">
        <w:t>.</w:t>
      </w:r>
    </w:p>
  </w:footnote>
  <w:footnote w:id="170">
    <w:p w14:paraId="4A5734A0" w14:textId="77777777" w:rsidR="00C15F2E" w:rsidRPr="00D96063" w:rsidRDefault="00C15F2E" w:rsidP="00D868BF">
      <w:pPr>
        <w:pStyle w:val="FootnoteText"/>
      </w:pPr>
      <w:r w:rsidRPr="00D96063">
        <w:rPr>
          <w:rStyle w:val="FootnoteReference"/>
          <w:szCs w:val="16"/>
        </w:rPr>
        <w:footnoteRef/>
      </w:r>
      <w:r w:rsidRPr="00D96063">
        <w:t xml:space="preserve"> The WAPCO is a joint venture between public and private sector companies from Benin, Ghana, Nigeria, and Togo.</w:t>
      </w:r>
    </w:p>
  </w:footnote>
  <w:footnote w:id="171">
    <w:p w14:paraId="0E8ACD9F" w14:textId="77777777" w:rsidR="00C15F2E" w:rsidRPr="00D96063" w:rsidRDefault="00C15F2E" w:rsidP="00D868BF">
      <w:pPr>
        <w:pStyle w:val="FootnoteText"/>
      </w:pPr>
      <w:r w:rsidRPr="00D96063">
        <w:rPr>
          <w:rStyle w:val="FootnoteReference"/>
          <w:szCs w:val="16"/>
        </w:rPr>
        <w:footnoteRef/>
      </w:r>
      <w:r w:rsidRPr="00D96063">
        <w:t xml:space="preserve"> IMF (2021), "IMF Executive Board Concludes 2021 Article IV Consultation with Ghana", 20 July. Viewed at: </w:t>
      </w:r>
      <w:hyperlink r:id="rId133" w:history="1">
        <w:r w:rsidRPr="00D96063">
          <w:rPr>
            <w:rStyle w:val="Hyperlink"/>
          </w:rPr>
          <w:t>https://www.imf.org/-/media/Files/Publications/CR/2021/English/1GHAEA2021001.ashx</w:t>
        </w:r>
      </w:hyperlink>
      <w:r w:rsidRPr="00D96063">
        <w:t>.</w:t>
      </w:r>
    </w:p>
  </w:footnote>
  <w:footnote w:id="172">
    <w:p w14:paraId="7DFF0B06" w14:textId="2AD9EF02" w:rsidR="00C15F2E" w:rsidRPr="00D96063" w:rsidRDefault="00C15F2E" w:rsidP="00D868BF">
      <w:pPr>
        <w:pStyle w:val="FootnoteText"/>
      </w:pPr>
      <w:r w:rsidRPr="00D96063">
        <w:rPr>
          <w:rStyle w:val="FootnoteReference"/>
          <w:szCs w:val="16"/>
        </w:rPr>
        <w:footnoteRef/>
      </w:r>
      <w:r w:rsidRPr="00D96063">
        <w:t xml:space="preserve"> Energy Commission Act, 1997 (Act 541). Viewed at: </w:t>
      </w:r>
      <w:hyperlink r:id="rId134" w:history="1">
        <w:r w:rsidRPr="00D96063">
          <w:rPr>
            <w:rStyle w:val="Hyperlink"/>
          </w:rPr>
          <w:t>http://extwprlegs1.fao.org/docs/pdf/gha93004.pdf</w:t>
        </w:r>
      </w:hyperlink>
      <w:r w:rsidRPr="00D96063">
        <w:t xml:space="preserve">; Public Utilities Regulatory Commission Act, 1997 (Act 538). Viewed at: </w:t>
      </w:r>
      <w:hyperlink r:id="rId135" w:history="1">
        <w:r w:rsidRPr="00D96063">
          <w:rPr>
            <w:rStyle w:val="Hyperlink"/>
          </w:rPr>
          <w:t>https://www.purc.com.gh/attachment/382265-20201119091155.pdf</w:t>
        </w:r>
      </w:hyperlink>
      <w:r w:rsidRPr="00D96063">
        <w:t xml:space="preserve">; </w:t>
      </w:r>
      <w:r w:rsidR="005C20E0">
        <w:t xml:space="preserve">and </w:t>
      </w:r>
      <w:r w:rsidRPr="00D96063">
        <w:t xml:space="preserve">Public Utilities Regulatory Commission (Amendment) Act, 2010 (Act 800). Viewed at: </w:t>
      </w:r>
      <w:hyperlink r:id="rId136" w:history="1">
        <w:r w:rsidRPr="00D96063">
          <w:rPr>
            <w:rStyle w:val="Hyperlink"/>
          </w:rPr>
          <w:t>https://www.purc.com.gh/attachment/950562-20201119091148.pdf</w:t>
        </w:r>
      </w:hyperlink>
      <w:r w:rsidRPr="00D96063">
        <w:rPr>
          <w:rStyle w:val="Hyperlink"/>
          <w:u w:val="none"/>
        </w:rPr>
        <w:t>.</w:t>
      </w:r>
    </w:p>
  </w:footnote>
  <w:footnote w:id="173">
    <w:p w14:paraId="3C56E336" w14:textId="77777777" w:rsidR="00C15F2E" w:rsidRPr="00D96063" w:rsidRDefault="00C15F2E" w:rsidP="00D868BF">
      <w:pPr>
        <w:pStyle w:val="FootnoteText"/>
        <w:rPr>
          <w:highlight w:val="yellow"/>
        </w:rPr>
      </w:pPr>
      <w:r w:rsidRPr="00D96063">
        <w:rPr>
          <w:rStyle w:val="FootnoteReference"/>
          <w:szCs w:val="16"/>
        </w:rPr>
        <w:footnoteRef/>
      </w:r>
      <w:r w:rsidRPr="00D96063">
        <w:t xml:space="preserve"> IMF Country Report No. 19/367, p. 21.</w:t>
      </w:r>
    </w:p>
  </w:footnote>
  <w:footnote w:id="174">
    <w:p w14:paraId="6C57562C" w14:textId="77777777" w:rsidR="00C15F2E" w:rsidRPr="00D96063" w:rsidRDefault="00C15F2E" w:rsidP="00D868BF">
      <w:pPr>
        <w:pStyle w:val="FootnoteText"/>
      </w:pPr>
      <w:r w:rsidRPr="00D96063">
        <w:rPr>
          <w:rStyle w:val="FootnoteReference"/>
          <w:szCs w:val="16"/>
        </w:rPr>
        <w:footnoteRef/>
      </w:r>
      <w:r w:rsidRPr="00D96063">
        <w:t xml:space="preserve"> IMF Country Report No. 19/367, p. 21.</w:t>
      </w:r>
    </w:p>
  </w:footnote>
  <w:footnote w:id="175">
    <w:p w14:paraId="6D91C1BB" w14:textId="77777777" w:rsidR="00C15F2E" w:rsidRPr="00D96063" w:rsidRDefault="00C15F2E" w:rsidP="00D868BF">
      <w:pPr>
        <w:pStyle w:val="FootnoteText"/>
      </w:pPr>
      <w:r w:rsidRPr="00D96063">
        <w:rPr>
          <w:rStyle w:val="FootnoteReference"/>
          <w:szCs w:val="16"/>
        </w:rPr>
        <w:footnoteRef/>
      </w:r>
      <w:r w:rsidRPr="00D96063">
        <w:t xml:space="preserve"> Energy Commission Act, 1997 (Act 541), Section 23, Article 4. Viewed at: </w:t>
      </w:r>
      <w:hyperlink r:id="rId137" w:history="1">
        <w:r w:rsidRPr="00D96063">
          <w:rPr>
            <w:rStyle w:val="Hyperlink"/>
          </w:rPr>
          <w:t>http://extwprlegs1.fao.org/docs/pdf/gha93004.pdf</w:t>
        </w:r>
      </w:hyperlink>
      <w:r w:rsidRPr="00D96063">
        <w:t>.</w:t>
      </w:r>
    </w:p>
  </w:footnote>
  <w:footnote w:id="176">
    <w:p w14:paraId="0BC20492" w14:textId="77777777" w:rsidR="00C15F2E" w:rsidRPr="00D96063" w:rsidRDefault="00C15F2E" w:rsidP="00D868BF">
      <w:pPr>
        <w:pStyle w:val="FootnoteText"/>
      </w:pPr>
      <w:r w:rsidRPr="00D96063">
        <w:rPr>
          <w:rStyle w:val="FootnoteReference"/>
          <w:szCs w:val="16"/>
        </w:rPr>
        <w:footnoteRef/>
      </w:r>
      <w:r w:rsidRPr="00D96063">
        <w:t xml:space="preserve"> Energy Commission, </w:t>
      </w:r>
      <w:r w:rsidRPr="00D96063">
        <w:rPr>
          <w:i/>
          <w:iCs/>
        </w:rPr>
        <w:t>Review of Requirement for Classification as a Bulk Customer of Electricity</w:t>
      </w:r>
      <w:r w:rsidRPr="00D96063">
        <w:t xml:space="preserve">. Viewed at: </w:t>
      </w:r>
      <w:hyperlink r:id="rId138" w:anchor=":~:text=%E2%80%9CA%20bulk%20customer%20in%20respect,%2Dhours%20(kWh).%E2%80%9 D" w:history="1">
        <w:r w:rsidRPr="00D96063">
          <w:rPr>
            <w:rStyle w:val="Hyperlink"/>
          </w:rPr>
          <w:t>http://energycom.gov.gh/public-notices/75-review-of-requirement-for-classification-as-a-bulk-customer-of-electricity#:~:text=%E2%80%9CA%20bulk%20customer%20in%20respect,%2Dhours%20(kWh).%E2%80%9 D</w:t>
        </w:r>
      </w:hyperlink>
      <w:r w:rsidRPr="00D96063">
        <w:t>.</w:t>
      </w:r>
    </w:p>
  </w:footnote>
  <w:footnote w:id="177">
    <w:p w14:paraId="2D35FC3A" w14:textId="72541245" w:rsidR="00C15F2E" w:rsidRPr="00D96063" w:rsidRDefault="00C15F2E" w:rsidP="00D868BF">
      <w:pPr>
        <w:pStyle w:val="FootnoteText"/>
      </w:pPr>
      <w:r w:rsidRPr="00D96063">
        <w:rPr>
          <w:rStyle w:val="FootnoteReference"/>
          <w:szCs w:val="16"/>
        </w:rPr>
        <w:footnoteRef/>
      </w:r>
      <w:r w:rsidRPr="00D96063">
        <w:t xml:space="preserve"> EC (2021), </w:t>
      </w:r>
      <w:r w:rsidRPr="00D96063">
        <w:rPr>
          <w:i/>
          <w:iCs/>
        </w:rPr>
        <w:t>National Energy Statistics, 2021 Edition</w:t>
      </w:r>
      <w:r w:rsidRPr="00D96063">
        <w:t xml:space="preserve">. Viewed at: </w:t>
      </w:r>
      <w:hyperlink r:id="rId139" w:history="1">
        <w:r w:rsidRPr="00D96063">
          <w:rPr>
            <w:rStyle w:val="Hyperlink"/>
          </w:rPr>
          <w:t>http://www.energycom.gov.gh/files/2021%20published%20Energy%20Statistics.pdf</w:t>
        </w:r>
      </w:hyperlink>
      <w:r w:rsidRPr="00D96063">
        <w:rPr>
          <w:rStyle w:val="Hyperlink"/>
          <w:color w:val="auto"/>
          <w:u w:val="none"/>
        </w:rPr>
        <w:t>.</w:t>
      </w:r>
      <w:r w:rsidRPr="00D96063">
        <w:t xml:space="preserve">  </w:t>
      </w:r>
    </w:p>
  </w:footnote>
  <w:footnote w:id="178">
    <w:p w14:paraId="0B1A16D7" w14:textId="2B5DB61C" w:rsidR="00C15F2E" w:rsidRPr="00D96063" w:rsidRDefault="00C15F2E" w:rsidP="00D868BF">
      <w:pPr>
        <w:pStyle w:val="FootnoteText"/>
      </w:pPr>
      <w:r w:rsidRPr="00D96063">
        <w:rPr>
          <w:rStyle w:val="FootnoteReference"/>
          <w:szCs w:val="16"/>
        </w:rPr>
        <w:footnoteRef/>
      </w:r>
      <w:r w:rsidRPr="00D96063">
        <w:t xml:space="preserve"> EC (2019), </w:t>
      </w:r>
      <w:r w:rsidRPr="00D96063">
        <w:rPr>
          <w:i/>
          <w:iCs/>
        </w:rPr>
        <w:t>Ghana Renewable Energy Master Plan</w:t>
      </w:r>
      <w:r w:rsidRPr="00D96063">
        <w:t xml:space="preserve">. Viewed at: </w:t>
      </w:r>
      <w:hyperlink r:id="rId140" w:history="1">
        <w:r w:rsidRPr="00D96063">
          <w:rPr>
            <w:rStyle w:val="Hyperlink"/>
          </w:rPr>
          <w:t>http://www.energycom.gov.gh/files/Renewable-Energy-Masterplan-February-2019.pdf</w:t>
        </w:r>
      </w:hyperlink>
      <w:r w:rsidRPr="00D96063">
        <w:rPr>
          <w:rStyle w:val="Hyperlink"/>
          <w:color w:val="0000FF"/>
          <w:u w:val="none"/>
        </w:rPr>
        <w:t>.</w:t>
      </w:r>
      <w:r w:rsidRPr="00D96063">
        <w:t xml:space="preserve"> </w:t>
      </w:r>
    </w:p>
  </w:footnote>
  <w:footnote w:id="179">
    <w:p w14:paraId="02EADA73" w14:textId="7C467A49" w:rsidR="00C15F2E" w:rsidRPr="00D96063" w:rsidRDefault="00C15F2E" w:rsidP="00D868BF">
      <w:pPr>
        <w:pStyle w:val="FootnoteText"/>
      </w:pPr>
      <w:r w:rsidRPr="00D96063">
        <w:rPr>
          <w:rStyle w:val="FootnoteReference"/>
        </w:rPr>
        <w:footnoteRef/>
      </w:r>
      <w:r w:rsidRPr="00D96063">
        <w:t xml:space="preserve"> EC, Local Content and Local Participation Regulations, 2017 (L.I. 2354). Viewed at: </w:t>
      </w:r>
      <w:hyperlink r:id="rId141" w:history="1">
        <w:r w:rsidRPr="00D96063">
          <w:rPr>
            <w:rStyle w:val="Hyperlink"/>
          </w:rPr>
          <w:t>http://www.energycom.gov.gh/files/Local%20Content%20and%20Local%20Participation%20Regulations,%202017%20(L.I.%202354).pdf</w:t>
        </w:r>
      </w:hyperlink>
      <w:r w:rsidRPr="00D96063">
        <w:rPr>
          <w:rStyle w:val="Hyperlink"/>
          <w:color w:val="auto"/>
          <w:u w:val="none"/>
        </w:rPr>
        <w:t>.</w:t>
      </w:r>
    </w:p>
  </w:footnote>
  <w:footnote w:id="180">
    <w:p w14:paraId="06CB24EE" w14:textId="77777777" w:rsidR="00C15F2E" w:rsidRPr="00D96063" w:rsidRDefault="00C15F2E" w:rsidP="00D868BF">
      <w:pPr>
        <w:pStyle w:val="FootnoteText"/>
      </w:pPr>
      <w:r w:rsidRPr="00D96063">
        <w:rPr>
          <w:rStyle w:val="FootnoteReference"/>
          <w:szCs w:val="16"/>
        </w:rPr>
        <w:footnoteRef/>
      </w:r>
      <w:r w:rsidRPr="00D96063">
        <w:t xml:space="preserve"> ECOWAS Regional Electricity Regulatory Authority (2013), </w:t>
      </w:r>
      <w:r w:rsidRPr="00D96063">
        <w:rPr>
          <w:i/>
          <w:iCs/>
        </w:rPr>
        <w:t>Directive C/DIR.1/06/13 on the Organization of the Regional Electricity Market</w:t>
      </w:r>
      <w:r w:rsidRPr="00D96063">
        <w:t xml:space="preserve">. Viewed at: </w:t>
      </w:r>
      <w:hyperlink r:id="rId142" w:history="1">
        <w:r w:rsidRPr="00D96063">
          <w:rPr>
            <w:rStyle w:val="Hyperlink"/>
          </w:rPr>
          <w:t>https://www.erera.arrec.org/wp-content/uploads/2016/08/Directive-on-the-Organisation-of-the-Regional-Electricity-Market-June-2013-ENG.pdf</w:t>
        </w:r>
      </w:hyperlink>
      <w:r w:rsidRPr="00D96063">
        <w:rPr>
          <w:rStyle w:val="Hyperlink"/>
          <w:color w:val="auto"/>
          <w:u w:val="none"/>
        </w:rPr>
        <w:t>.</w:t>
      </w:r>
    </w:p>
  </w:footnote>
  <w:footnote w:id="181">
    <w:p w14:paraId="3A5465F3" w14:textId="77777777" w:rsidR="00C15F2E" w:rsidRPr="00D96063" w:rsidRDefault="00C15F2E" w:rsidP="00D868BF">
      <w:pPr>
        <w:pStyle w:val="FootnoteText"/>
      </w:pPr>
      <w:r w:rsidRPr="00D96063">
        <w:rPr>
          <w:rStyle w:val="FootnoteReference"/>
          <w:szCs w:val="16"/>
        </w:rPr>
        <w:footnoteRef/>
      </w:r>
      <w:r w:rsidRPr="00D96063">
        <w:t xml:space="preserve"> EPC, </w:t>
      </w:r>
      <w:r w:rsidRPr="00D96063">
        <w:rPr>
          <w:i/>
          <w:iCs/>
        </w:rPr>
        <w:t>Who We Are</w:t>
      </w:r>
      <w:r w:rsidRPr="00D96063">
        <w:t xml:space="preserve">. Viewed at: </w:t>
      </w:r>
      <w:hyperlink r:id="rId143" w:history="1">
        <w:r w:rsidRPr="00D96063">
          <w:rPr>
            <w:rStyle w:val="Hyperlink"/>
          </w:rPr>
          <w:t>https://epcghana.com/profile/</w:t>
        </w:r>
      </w:hyperlink>
      <w:r w:rsidRPr="00D96063">
        <w:rPr>
          <w:rStyle w:val="Hyperlink"/>
          <w:color w:val="auto"/>
          <w:u w:val="none"/>
        </w:rPr>
        <w:t>.</w:t>
      </w:r>
      <w:r w:rsidRPr="00D96063">
        <w:t xml:space="preserve"> </w:t>
      </w:r>
    </w:p>
  </w:footnote>
  <w:footnote w:id="182">
    <w:p w14:paraId="52D8018B" w14:textId="77777777" w:rsidR="00C15F2E" w:rsidRPr="00D96063" w:rsidRDefault="00C15F2E" w:rsidP="00D868BF">
      <w:pPr>
        <w:pStyle w:val="FootnoteText"/>
      </w:pPr>
      <w:r w:rsidRPr="00D96063">
        <w:rPr>
          <w:rStyle w:val="FootnoteReference"/>
          <w:szCs w:val="16"/>
        </w:rPr>
        <w:footnoteRef/>
      </w:r>
      <w:r w:rsidRPr="00D96063">
        <w:t xml:space="preserve"> The Ghana Chamber of Mines, </w:t>
      </w:r>
      <w:r w:rsidRPr="00D96063">
        <w:rPr>
          <w:i/>
          <w:iCs/>
        </w:rPr>
        <w:t>2019 Mining Industry Statistics and Data</w:t>
      </w:r>
      <w:r w:rsidRPr="00D96063">
        <w:t xml:space="preserve">. Viewed </w:t>
      </w:r>
      <w:r w:rsidRPr="00D96063">
        <w:rPr>
          <w:rStyle w:val="Hyperlink"/>
          <w:color w:val="auto"/>
          <w:u w:val="none"/>
        </w:rPr>
        <w:t>at:</w:t>
      </w:r>
      <w:r w:rsidRPr="00D96063">
        <w:t xml:space="preserve"> </w:t>
      </w:r>
      <w:hyperlink r:id="rId144" w:history="1">
        <w:r w:rsidRPr="00D96063">
          <w:rPr>
            <w:rStyle w:val="Hyperlink"/>
          </w:rPr>
          <w:t>http://ghanachamberofmines.org/wp-content/uploads/2020/07/2019-Mining-Industry-Statistics-and-Data-for-Ghana.pdf</w:t>
        </w:r>
      </w:hyperlink>
      <w:r w:rsidRPr="00D96063">
        <w:rPr>
          <w:rStyle w:val="Hyperlink"/>
          <w:color w:val="auto"/>
          <w:u w:val="none"/>
        </w:rPr>
        <w:t>.</w:t>
      </w:r>
    </w:p>
  </w:footnote>
  <w:footnote w:id="183">
    <w:p w14:paraId="3C9BF017" w14:textId="1FED041D" w:rsidR="00C15F2E" w:rsidRPr="005C20E0" w:rsidRDefault="00C15F2E" w:rsidP="00D868BF">
      <w:pPr>
        <w:pStyle w:val="FootnoteText"/>
      </w:pPr>
      <w:r w:rsidRPr="00D96063">
        <w:rPr>
          <w:rStyle w:val="FootnoteReference"/>
          <w:szCs w:val="16"/>
        </w:rPr>
        <w:footnoteRef/>
      </w:r>
      <w:r w:rsidRPr="00D96063">
        <w:t xml:space="preserve"> MOTI and GEPA (2020), </w:t>
      </w:r>
      <w:r w:rsidRPr="00D96063">
        <w:rPr>
          <w:i/>
          <w:iCs/>
        </w:rPr>
        <w:t>National Export Development Strategy</w:t>
      </w:r>
      <w:r w:rsidRPr="00D96063">
        <w:t xml:space="preserve">. Viewed at: </w:t>
      </w:r>
      <w:hyperlink r:id="rId145" w:history="1">
        <w:r w:rsidRPr="00D96063">
          <w:rPr>
            <w:rStyle w:val="Hyperlink"/>
          </w:rPr>
          <w:t>https://www.tralac.org/documents/resources/by-country/ghana/4170-ghana-national-export-development-strategy-neds-overview-2020/file.html</w:t>
        </w:r>
      </w:hyperlink>
      <w:r w:rsidR="005C20E0">
        <w:rPr>
          <w:rStyle w:val="Hyperlink"/>
          <w:u w:val="none"/>
        </w:rPr>
        <w:t>.</w:t>
      </w:r>
    </w:p>
  </w:footnote>
  <w:footnote w:id="184">
    <w:p w14:paraId="4556851C" w14:textId="77777777" w:rsidR="00C15F2E" w:rsidRPr="00D96063" w:rsidRDefault="00C15F2E" w:rsidP="00D868BF">
      <w:pPr>
        <w:pStyle w:val="FootnoteText"/>
      </w:pPr>
      <w:r w:rsidRPr="00D96063">
        <w:rPr>
          <w:rStyle w:val="FootnoteReference"/>
          <w:szCs w:val="16"/>
        </w:rPr>
        <w:footnoteRef/>
      </w:r>
      <w:r w:rsidRPr="00D96063">
        <w:t xml:space="preserve"> Minerals Commission, </w:t>
      </w:r>
      <w:r w:rsidRPr="00D96063">
        <w:rPr>
          <w:i/>
          <w:iCs/>
        </w:rPr>
        <w:t>Monthly Production Statistics on Gold</w:t>
      </w:r>
      <w:r w:rsidRPr="00D96063">
        <w:t xml:space="preserve">. Viewed at: </w:t>
      </w:r>
      <w:hyperlink r:id="rId146" w:history="1">
        <w:r w:rsidRPr="00D96063">
          <w:rPr>
            <w:rStyle w:val="Hyperlink"/>
          </w:rPr>
          <w:t>https://www.mincom.gov.gh/industry-statistics/</w:t>
        </w:r>
      </w:hyperlink>
      <w:r w:rsidRPr="00D96063">
        <w:rPr>
          <w:rStyle w:val="Hyperlink"/>
          <w:color w:val="auto"/>
          <w:u w:val="none"/>
        </w:rPr>
        <w:t>.</w:t>
      </w:r>
    </w:p>
  </w:footnote>
  <w:footnote w:id="185">
    <w:p w14:paraId="233D6C73" w14:textId="77777777" w:rsidR="00C15F2E" w:rsidRPr="00D96063" w:rsidRDefault="00C15F2E" w:rsidP="00D868BF">
      <w:pPr>
        <w:pStyle w:val="FootnoteText"/>
      </w:pPr>
      <w:r w:rsidRPr="00D96063">
        <w:rPr>
          <w:rStyle w:val="FootnoteReference"/>
        </w:rPr>
        <w:footnoteRef/>
      </w:r>
      <w:r w:rsidRPr="00D96063">
        <w:t xml:space="preserve"> The standard corporate tax rate for mining operations is 35%; the rate may be reduced as per agreement with the Government, subject to ratification by Parliament (Income Tax Act, 2015 (Act 896), as amended).</w:t>
      </w:r>
    </w:p>
  </w:footnote>
  <w:footnote w:id="186">
    <w:p w14:paraId="06763320" w14:textId="77777777" w:rsidR="00C15F2E" w:rsidRPr="00D96063" w:rsidRDefault="00C15F2E" w:rsidP="00D868BF">
      <w:pPr>
        <w:pStyle w:val="FootnoteText"/>
      </w:pPr>
      <w:r w:rsidRPr="00D96063">
        <w:rPr>
          <w:rStyle w:val="FootnoteReference"/>
        </w:rPr>
        <w:footnoteRef/>
      </w:r>
      <w:r w:rsidRPr="00D96063">
        <w:t xml:space="preserve"> The World Bank supported Ghana to build an assay laboratory, managed by the PMMC, at Kotoka International Airport.</w:t>
      </w:r>
    </w:p>
  </w:footnote>
  <w:footnote w:id="187">
    <w:p w14:paraId="7F9400B4" w14:textId="77777777" w:rsidR="00C15F2E" w:rsidRPr="00D96063" w:rsidRDefault="00C15F2E" w:rsidP="00D868BF">
      <w:pPr>
        <w:pStyle w:val="FootnoteText"/>
      </w:pPr>
      <w:r w:rsidRPr="00D96063">
        <w:rPr>
          <w:rStyle w:val="FootnoteReference"/>
          <w:szCs w:val="16"/>
        </w:rPr>
        <w:footnoteRef/>
      </w:r>
      <w:r w:rsidRPr="00D96063">
        <w:t xml:space="preserve"> Ghana Cylinder Manufacturing Company (GCMC), GIHOC Distilleries (GIHOC), and VALCO. In addition, the State also has a 5% share in Ghana Cement (GHACEM).</w:t>
      </w:r>
    </w:p>
  </w:footnote>
  <w:footnote w:id="188">
    <w:p w14:paraId="6BEBEE6D" w14:textId="77777777" w:rsidR="00C15F2E" w:rsidRPr="00D96063" w:rsidRDefault="00C15F2E" w:rsidP="00D868BF">
      <w:pPr>
        <w:pStyle w:val="FootnoteText"/>
      </w:pPr>
      <w:r w:rsidRPr="00D96063">
        <w:rPr>
          <w:rStyle w:val="FootnoteReference"/>
          <w:szCs w:val="16"/>
        </w:rPr>
        <w:footnoteRef/>
      </w:r>
      <w:r w:rsidRPr="00D96063">
        <w:t xml:space="preserve"> Ministry of Finance (2020), "Government Launches GH</w:t>
      </w:r>
      <w:r w:rsidRPr="00D96063">
        <w:rPr>
          <w:rFonts w:ascii="Calibri" w:hAnsi="Calibri" w:cs="Calibri"/>
        </w:rPr>
        <w:t>ȼ</w:t>
      </w:r>
      <w:r w:rsidRPr="00D96063">
        <w:t xml:space="preserve">100 Billion CARES Programme", 20 November. Viewed at: </w:t>
      </w:r>
      <w:hyperlink r:id="rId147" w:history="1">
        <w:r w:rsidRPr="00D96063">
          <w:rPr>
            <w:rStyle w:val="Hyperlink"/>
          </w:rPr>
          <w:t>https://www.mofep.gov.gh/news-and-events/2020-11-20/government-launches-gh%C8%BC100-billion-cares-programme</w:t>
        </w:r>
      </w:hyperlink>
      <w:r w:rsidRPr="00D96063">
        <w:t xml:space="preserve">. </w:t>
      </w:r>
    </w:p>
  </w:footnote>
  <w:footnote w:id="189">
    <w:p w14:paraId="5526C14F" w14:textId="77777777" w:rsidR="00C15F2E" w:rsidRPr="00D96063" w:rsidRDefault="00C15F2E" w:rsidP="00D868BF">
      <w:pPr>
        <w:pStyle w:val="FootnoteText"/>
      </w:pPr>
      <w:r w:rsidRPr="00D96063">
        <w:rPr>
          <w:rStyle w:val="FootnoteReference"/>
          <w:szCs w:val="16"/>
        </w:rPr>
        <w:footnoteRef/>
      </w:r>
      <w:r w:rsidRPr="00D96063">
        <w:t xml:space="preserve"> MOTI, </w:t>
      </w:r>
      <w:r w:rsidRPr="00D96063">
        <w:rPr>
          <w:i/>
          <w:iCs/>
        </w:rPr>
        <w:t>Tax Regime and Investment</w:t>
      </w:r>
      <w:r w:rsidRPr="00D96063">
        <w:t xml:space="preserve">. Viewed at: </w:t>
      </w:r>
      <w:hyperlink r:id="rId148" w:history="1">
        <w:r w:rsidRPr="00D96063">
          <w:rPr>
            <w:rStyle w:val="Hyperlink"/>
            <w:color w:val="0000FF"/>
          </w:rPr>
          <w:t>https://moti.gov.gh/taxincentives.php</w:t>
        </w:r>
      </w:hyperlink>
      <w:r w:rsidRPr="00D96063">
        <w:rPr>
          <w:rFonts w:eastAsiaTheme="minorHAnsi" w:cstheme="minorBidi"/>
          <w:sz w:val="18"/>
          <w:szCs w:val="22"/>
          <w:lang w:eastAsia="en-US"/>
        </w:rPr>
        <w:t>.</w:t>
      </w:r>
    </w:p>
  </w:footnote>
  <w:footnote w:id="190">
    <w:p w14:paraId="4AD2DB53" w14:textId="77777777" w:rsidR="00C15F2E" w:rsidRPr="00D96063" w:rsidRDefault="00C15F2E" w:rsidP="00D868BF">
      <w:pPr>
        <w:pStyle w:val="FootnoteText"/>
      </w:pPr>
      <w:r w:rsidRPr="00D96063">
        <w:rPr>
          <w:rStyle w:val="FootnoteReference"/>
          <w:szCs w:val="16"/>
        </w:rPr>
        <w:footnoteRef/>
      </w:r>
      <w:r w:rsidRPr="00D96063">
        <w:t xml:space="preserve"> Information provided by authorities regarding the Ghana Pharmaceutical Sector Development Strategy (GPSDS).</w:t>
      </w:r>
    </w:p>
  </w:footnote>
  <w:footnote w:id="191">
    <w:p w14:paraId="1634E103" w14:textId="77777777" w:rsidR="00C15F2E" w:rsidRPr="00D96063" w:rsidRDefault="00C15F2E" w:rsidP="00D868BF">
      <w:pPr>
        <w:pStyle w:val="FootnoteText"/>
      </w:pPr>
      <w:r w:rsidRPr="00D96063">
        <w:rPr>
          <w:rStyle w:val="FootnoteReference"/>
          <w:szCs w:val="16"/>
        </w:rPr>
        <w:footnoteRef/>
      </w:r>
      <w:r w:rsidRPr="00D96063">
        <w:t xml:space="preserve"> Pharmaceutical Manufacturers Association of Ghana, </w:t>
      </w:r>
      <w:r w:rsidRPr="00D96063">
        <w:rPr>
          <w:i/>
          <w:iCs/>
        </w:rPr>
        <w:t>PMAG Members</w:t>
      </w:r>
      <w:r w:rsidRPr="00D96063">
        <w:t xml:space="preserve">. Viewed at: </w:t>
      </w:r>
      <w:hyperlink r:id="rId149" w:history="1">
        <w:r w:rsidRPr="00D96063">
          <w:rPr>
            <w:rStyle w:val="Hyperlink"/>
          </w:rPr>
          <w:t>http://www.pmaghana.org/members</w:t>
        </w:r>
      </w:hyperlink>
      <w:r w:rsidRPr="00D96063">
        <w:t xml:space="preserve">. </w:t>
      </w:r>
    </w:p>
  </w:footnote>
  <w:footnote w:id="192">
    <w:p w14:paraId="05A8EC1C" w14:textId="77777777" w:rsidR="00C15F2E" w:rsidRPr="00D96063" w:rsidRDefault="00C15F2E" w:rsidP="00D868BF">
      <w:pPr>
        <w:pStyle w:val="FootnoteText"/>
      </w:pPr>
      <w:r w:rsidRPr="00D96063">
        <w:rPr>
          <w:rStyle w:val="FootnoteReference"/>
          <w:szCs w:val="16"/>
        </w:rPr>
        <w:footnoteRef/>
      </w:r>
      <w:r w:rsidRPr="00D96063">
        <w:t xml:space="preserve"> UNIDO (2019), </w:t>
      </w:r>
      <w:r w:rsidRPr="00D96063">
        <w:rPr>
          <w:i/>
          <w:iCs/>
        </w:rPr>
        <w:t>Ghana: GMP Roadmap</w:t>
      </w:r>
      <w:r w:rsidRPr="00D96063">
        <w:t xml:space="preserve">. Viewed at: </w:t>
      </w:r>
      <w:hyperlink r:id="rId150" w:history="1">
        <w:r w:rsidRPr="00D96063">
          <w:rPr>
            <w:rStyle w:val="Hyperlink"/>
          </w:rPr>
          <w:t>https://open.unido.org/api/documents/16394925/download/Ghana%20GMP%20Roadmap_FINAL.pdf</w:t>
        </w:r>
      </w:hyperlink>
      <w:r w:rsidRPr="00D96063">
        <w:t>.</w:t>
      </w:r>
    </w:p>
  </w:footnote>
  <w:footnote w:id="193">
    <w:p w14:paraId="3C76B49B" w14:textId="3303DB9F" w:rsidR="00C15F2E" w:rsidRPr="00D96063" w:rsidRDefault="00C15F2E" w:rsidP="00D868BF">
      <w:pPr>
        <w:pStyle w:val="FootnoteText"/>
      </w:pPr>
      <w:r w:rsidRPr="00D96063">
        <w:rPr>
          <w:rStyle w:val="FootnoteReference"/>
        </w:rPr>
        <w:footnoteRef/>
      </w:r>
      <w:r w:rsidRPr="00D96063">
        <w:t xml:space="preserve"> E.I. 181, 2016. Viewed at: </w:t>
      </w:r>
      <w:hyperlink r:id="rId151" w:history="1">
        <w:r w:rsidR="005C20E0">
          <w:rPr>
            <w:rStyle w:val="Hyperlink"/>
          </w:rPr>
          <w:t>https://fdaghana.gov.gh/wp-content/uploads/2017/06/EXECUTIVE-INSTRUMENT-FOR-LIST-OF-MEDICINES.pdf</w:t>
        </w:r>
      </w:hyperlink>
      <w:r w:rsidR="005C20E0" w:rsidRPr="007A1409">
        <w:rPr>
          <w:rStyle w:val="Hyperlink"/>
          <w:color w:val="auto"/>
          <w:u w:val="none"/>
        </w:rPr>
        <w:t>.</w:t>
      </w:r>
    </w:p>
  </w:footnote>
  <w:footnote w:id="194">
    <w:p w14:paraId="30FB6E42" w14:textId="77777777" w:rsidR="00C15F2E" w:rsidRPr="00D96063" w:rsidRDefault="00C15F2E" w:rsidP="00D868BF">
      <w:pPr>
        <w:pStyle w:val="FootnoteText"/>
      </w:pPr>
      <w:r w:rsidRPr="00D96063">
        <w:rPr>
          <w:rStyle w:val="FootnoteReference"/>
          <w:szCs w:val="16"/>
        </w:rPr>
        <w:footnoteRef/>
      </w:r>
      <w:r w:rsidRPr="00D96063">
        <w:t xml:space="preserve"> Information provided by authorities (GPSDS).</w:t>
      </w:r>
    </w:p>
  </w:footnote>
  <w:footnote w:id="195">
    <w:p w14:paraId="38C1AC8C" w14:textId="77777777" w:rsidR="00C15F2E" w:rsidRPr="00D96063" w:rsidRDefault="00C15F2E" w:rsidP="00D868BF">
      <w:pPr>
        <w:pStyle w:val="FootnoteText"/>
      </w:pPr>
      <w:r w:rsidRPr="00D96063">
        <w:rPr>
          <w:rStyle w:val="FootnoteReference"/>
          <w:szCs w:val="16"/>
        </w:rPr>
        <w:footnoteRef/>
      </w:r>
      <w:r w:rsidRPr="00D96063">
        <w:t xml:space="preserve"> UNDP and the Access and Delivery Partnership, </w:t>
      </w:r>
      <w:r w:rsidRPr="00D96063">
        <w:rPr>
          <w:i/>
          <w:iCs/>
        </w:rPr>
        <w:t>How Local Production of Pharmaceuticals Can Be Promoted in Africa: The Case of Ghana</w:t>
      </w:r>
      <w:r w:rsidRPr="00D96063">
        <w:t xml:space="preserve">. Viewed at: </w:t>
      </w:r>
      <w:hyperlink r:id="rId152" w:history="1">
        <w:r w:rsidRPr="00D96063">
          <w:rPr>
            <w:rStyle w:val="Hyperlink"/>
          </w:rPr>
          <w:t>https://adphealth.org/upload/resource/Ghana_Local_Pharma_Production.pdf</w:t>
        </w:r>
      </w:hyperlink>
      <w:r w:rsidRPr="00D96063">
        <w:rPr>
          <w:rStyle w:val="Hyperlink"/>
          <w:color w:val="auto"/>
          <w:u w:val="none"/>
        </w:rPr>
        <w:t>.</w:t>
      </w:r>
      <w:r w:rsidRPr="00D96063">
        <w:t xml:space="preserve"> </w:t>
      </w:r>
    </w:p>
  </w:footnote>
  <w:footnote w:id="196">
    <w:p w14:paraId="31F79630" w14:textId="77777777" w:rsidR="00C03C75" w:rsidRPr="00D96063" w:rsidRDefault="00C03C75" w:rsidP="00C03C75">
      <w:pPr>
        <w:pStyle w:val="FootnoteText"/>
      </w:pPr>
      <w:r w:rsidRPr="00D96063">
        <w:rPr>
          <w:rStyle w:val="FootnoteReference"/>
          <w:szCs w:val="16"/>
        </w:rPr>
        <w:footnoteRef/>
      </w:r>
      <w:r w:rsidRPr="00D96063">
        <w:t xml:space="preserve"> Public Health Act, 2012 (Act 851). Viewed at: </w:t>
      </w:r>
      <w:hyperlink r:id="rId153" w:history="1">
        <w:r w:rsidRPr="00D96063">
          <w:rPr>
            <w:rStyle w:val="Hyperlink"/>
            <w:color w:val="0000FF"/>
          </w:rPr>
          <w:t>http://extwprlegs1.fao.org/docs/pdf/gha136559.pdf</w:t>
        </w:r>
      </w:hyperlink>
      <w:r w:rsidRPr="00D96063">
        <w:rPr>
          <w:rFonts w:eastAsiaTheme="minorHAnsi" w:cstheme="minorBidi"/>
          <w:sz w:val="18"/>
          <w:szCs w:val="22"/>
          <w:lang w:eastAsia="en-US"/>
        </w:rPr>
        <w:t>.</w:t>
      </w:r>
    </w:p>
  </w:footnote>
  <w:footnote w:id="197">
    <w:p w14:paraId="02498682" w14:textId="77777777" w:rsidR="00C03C75" w:rsidRPr="00D96063" w:rsidRDefault="00C03C75" w:rsidP="00C03C75">
      <w:pPr>
        <w:pStyle w:val="FootnoteText"/>
      </w:pPr>
      <w:r w:rsidRPr="00D96063">
        <w:rPr>
          <w:rStyle w:val="FootnoteReference"/>
          <w:szCs w:val="16"/>
        </w:rPr>
        <w:footnoteRef/>
      </w:r>
      <w:r w:rsidRPr="00D96063">
        <w:t xml:space="preserve"> Food and Drugs Authority (2018), </w:t>
      </w:r>
      <w:r w:rsidRPr="00D96063">
        <w:rPr>
          <w:i/>
          <w:iCs/>
        </w:rPr>
        <w:t>Guidelines for Importation of Drugs</w:t>
      </w:r>
      <w:r w:rsidRPr="00D96063">
        <w:t xml:space="preserve">. Viewed at: </w:t>
      </w:r>
      <w:hyperlink r:id="rId154" w:history="1">
        <w:r w:rsidRPr="00D96063">
          <w:rPr>
            <w:rStyle w:val="Hyperlink"/>
            <w:color w:val="0000FF"/>
          </w:rPr>
          <w:t>https://fdaghana.gov.gh/img/organisation/GUIDELINES%20FOR%20IMPORTATION%20OF%20DRUGS.pdf</w:t>
        </w:r>
      </w:hyperlink>
      <w:r w:rsidRPr="00D96063">
        <w:rPr>
          <w:rStyle w:val="Hyperlink"/>
          <w:color w:val="auto"/>
          <w:u w:val="none"/>
        </w:rPr>
        <w:t>.</w:t>
      </w:r>
    </w:p>
  </w:footnote>
  <w:footnote w:id="198">
    <w:p w14:paraId="59B9DF40" w14:textId="77777777" w:rsidR="00C03C75" w:rsidRPr="00D96063" w:rsidRDefault="00C03C75" w:rsidP="00C03C75">
      <w:pPr>
        <w:pStyle w:val="FootnoteText"/>
      </w:pPr>
      <w:r w:rsidRPr="00D96063">
        <w:rPr>
          <w:rStyle w:val="FootnoteReference"/>
          <w:szCs w:val="16"/>
        </w:rPr>
        <w:footnoteRef/>
      </w:r>
      <w:r w:rsidRPr="00D96063">
        <w:t xml:space="preserve"> UNIDO, </w:t>
      </w:r>
      <w:r w:rsidRPr="00D96063">
        <w:rPr>
          <w:i/>
          <w:iCs/>
        </w:rPr>
        <w:t>Pharmaceutical Industry in Sub-Saharan Africa</w:t>
      </w:r>
      <w:r w:rsidRPr="00D96063">
        <w:t xml:space="preserve">. Viewed at: </w:t>
      </w:r>
      <w:hyperlink r:id="rId155" w:history="1">
        <w:r w:rsidRPr="00D96063">
          <w:rPr>
            <w:rStyle w:val="Hyperlink"/>
          </w:rPr>
          <w:t>https://www.unido.org/sites/default/files/files/2019-10/PHARMACEUTICAL_INDUSTRY_IN_SUB-SAHARAN_AFRICA_Guide_Book.pdf</w:t>
        </w:r>
      </w:hyperlink>
      <w:r w:rsidRPr="00D96063">
        <w:rPr>
          <w:rStyle w:val="Hyperlink"/>
          <w:color w:val="auto"/>
          <w:u w:val="none"/>
        </w:rPr>
        <w:t>.</w:t>
      </w:r>
    </w:p>
  </w:footnote>
  <w:footnote w:id="199">
    <w:p w14:paraId="5D7F9888" w14:textId="77777777" w:rsidR="00C15F2E" w:rsidRPr="00D96063" w:rsidRDefault="00C15F2E" w:rsidP="00D868BF">
      <w:pPr>
        <w:pStyle w:val="FootnoteText"/>
      </w:pPr>
      <w:r w:rsidRPr="00D96063">
        <w:rPr>
          <w:rStyle w:val="FootnoteReference"/>
          <w:szCs w:val="16"/>
        </w:rPr>
        <w:footnoteRef/>
      </w:r>
      <w:r w:rsidRPr="00D96063">
        <w:t xml:space="preserve"> UNIDO (2019), </w:t>
      </w:r>
      <w:r w:rsidRPr="00D96063">
        <w:rPr>
          <w:i/>
          <w:iCs/>
        </w:rPr>
        <w:t>Ghana: GMP Roadmap</w:t>
      </w:r>
      <w:r w:rsidRPr="00D96063">
        <w:t xml:space="preserve">. Viewed at: </w:t>
      </w:r>
      <w:hyperlink r:id="rId156" w:history="1">
        <w:r w:rsidRPr="00D96063">
          <w:rPr>
            <w:rStyle w:val="Hyperlink"/>
          </w:rPr>
          <w:t>https://hub.unido.org/sites/default/files/publications/Ghana%20GMP%20Roadmap_FINAL_2.pdf</w:t>
        </w:r>
      </w:hyperlink>
      <w:r w:rsidRPr="007A1409">
        <w:rPr>
          <w:rStyle w:val="Hyperlink"/>
          <w:color w:val="auto"/>
          <w:u w:val="none"/>
        </w:rPr>
        <w:t>.</w:t>
      </w:r>
      <w:r w:rsidRPr="00D96063">
        <w:t xml:space="preserve"> </w:t>
      </w:r>
    </w:p>
  </w:footnote>
  <w:footnote w:id="200">
    <w:p w14:paraId="030B8F92" w14:textId="77777777" w:rsidR="00C15F2E" w:rsidRPr="00D96063" w:rsidRDefault="00C15F2E" w:rsidP="00D868BF">
      <w:pPr>
        <w:pStyle w:val="FootnoteText"/>
      </w:pPr>
      <w:r w:rsidRPr="00D96063">
        <w:rPr>
          <w:rStyle w:val="FootnoteReference"/>
          <w:szCs w:val="16"/>
        </w:rPr>
        <w:footnoteRef/>
      </w:r>
      <w:r w:rsidRPr="00D96063">
        <w:t xml:space="preserve"> Food and Drugs Authority (2013), </w:t>
      </w:r>
      <w:r w:rsidRPr="00D96063">
        <w:rPr>
          <w:i/>
          <w:iCs/>
        </w:rPr>
        <w:t>Guidelines for the Registration of Parallel Imported Drugs or Herbal Medicinal Products</w:t>
      </w:r>
      <w:r w:rsidRPr="00D96063">
        <w:t xml:space="preserve">. Viewed at: </w:t>
      </w:r>
      <w:hyperlink r:id="rId157" w:history="1">
        <w:r w:rsidRPr="00D96063">
          <w:rPr>
            <w:rStyle w:val="Hyperlink"/>
          </w:rPr>
          <w:t>https://fdaghana.gov.gh/images/stories/pdfs/downloads/drugs%20guidelines/DER/2017/GUIDELINES%20FOR%20PARALLEL%20IMPORTATION%20%20%20%20OF%20MEDICINAL%20%20%20PRODUCTS.pdf</w:t>
        </w:r>
      </w:hyperlink>
      <w:r w:rsidRPr="00D96063">
        <w:t xml:space="preserve">. </w:t>
      </w:r>
    </w:p>
  </w:footnote>
  <w:footnote w:id="201">
    <w:p w14:paraId="6D8F98AC" w14:textId="77777777" w:rsidR="00C15F2E" w:rsidRPr="00D96063" w:rsidRDefault="00C15F2E" w:rsidP="00D868BF">
      <w:pPr>
        <w:pStyle w:val="FootnoteText"/>
      </w:pPr>
      <w:r w:rsidRPr="00D96063">
        <w:rPr>
          <w:rStyle w:val="FootnoteReference"/>
          <w:szCs w:val="16"/>
        </w:rPr>
        <w:footnoteRef/>
      </w:r>
      <w:r w:rsidRPr="00D96063">
        <w:t xml:space="preserve"> African Vaccine Manufacturing Initiative (2017), </w:t>
      </w:r>
      <w:r w:rsidRPr="00D96063">
        <w:rPr>
          <w:i/>
          <w:iCs/>
        </w:rPr>
        <w:t>VMPA Study: Vaccine Manufacturing and Procurement in Africa</w:t>
      </w:r>
      <w:r w:rsidRPr="00D96063">
        <w:t xml:space="preserve">. Viewed at: </w:t>
      </w:r>
      <w:hyperlink r:id="rId158" w:history="1">
        <w:r w:rsidRPr="00D96063">
          <w:rPr>
            <w:rStyle w:val="Hyperlink"/>
          </w:rPr>
          <w:t>https://www.avmi-africa.org/wp-content/uploads/2017/09/VMPA-Study-e-book.pdf</w:t>
        </w:r>
      </w:hyperlink>
      <w:r w:rsidRPr="00D96063">
        <w:rPr>
          <w:rStyle w:val="Hyperlink"/>
          <w:u w:val="none"/>
        </w:rPr>
        <w:t>.</w:t>
      </w:r>
    </w:p>
  </w:footnote>
  <w:footnote w:id="202">
    <w:p w14:paraId="38E0E703" w14:textId="77777777" w:rsidR="00C15F2E" w:rsidRPr="00D96063" w:rsidRDefault="00C15F2E" w:rsidP="00D868BF">
      <w:pPr>
        <w:pStyle w:val="FootnoteText"/>
      </w:pPr>
      <w:r w:rsidRPr="00D96063">
        <w:rPr>
          <w:rStyle w:val="FootnoteReference"/>
          <w:szCs w:val="16"/>
        </w:rPr>
        <w:footnoteRef/>
      </w:r>
      <w:r w:rsidRPr="00D96063">
        <w:t xml:space="preserve"> Dontoh, E. (2021), "Ghana Drugmakers Approach AstraZeneca on Vaccine Production", </w:t>
      </w:r>
      <w:r w:rsidRPr="00D96063">
        <w:rPr>
          <w:i/>
          <w:iCs/>
        </w:rPr>
        <w:t>Bloomberg</w:t>
      </w:r>
      <w:r w:rsidRPr="00D96063">
        <w:t xml:space="preserve">, 26 April. Viewed at: </w:t>
      </w:r>
      <w:hyperlink r:id="rId159" w:history="1">
        <w:r w:rsidRPr="00D96063">
          <w:rPr>
            <w:rStyle w:val="Hyperlink"/>
          </w:rPr>
          <w:t>https://www.bloomberg.com/news/articles/2021-04-26/ghana-drugmakers-approach-astrazeneca-about-local-vaccine-making</w:t>
        </w:r>
      </w:hyperlink>
      <w:r w:rsidRPr="00D96063">
        <w:rPr>
          <w:rStyle w:val="Hyperlink"/>
          <w:u w:val="none"/>
        </w:rPr>
        <w:t>.</w:t>
      </w:r>
    </w:p>
  </w:footnote>
  <w:footnote w:id="203">
    <w:p w14:paraId="270B377B" w14:textId="77777777" w:rsidR="00C15F2E" w:rsidRPr="00D96063" w:rsidRDefault="00C15F2E" w:rsidP="00D868BF">
      <w:pPr>
        <w:pStyle w:val="FootnoteText"/>
      </w:pPr>
      <w:r w:rsidRPr="00D96063">
        <w:rPr>
          <w:rStyle w:val="FootnoteReference"/>
          <w:szCs w:val="16"/>
        </w:rPr>
        <w:footnoteRef/>
      </w:r>
      <w:r w:rsidRPr="00D96063">
        <w:t xml:space="preserve"> Communications Bureau (2021), "Ghana to Be Removed from EU Money Laundering List; Selected as Manufacturing Hub for COVID</w:t>
      </w:r>
      <w:r w:rsidRPr="00D96063">
        <w:noBreakHyphen/>
        <w:t xml:space="preserve">19 Vaccines in Africa", 21 May. Viewed at: </w:t>
      </w:r>
      <w:hyperlink r:id="rId160" w:history="1">
        <w:r w:rsidRPr="00D96063">
          <w:rPr>
            <w:rStyle w:val="Hyperlink"/>
          </w:rPr>
          <w:t>https://presidency.gov.gh/index.php/briefing-room/press-releases/1915-ghana-to-be-removed-from-eu-money-laundering-list-selected-as-manufacturing-hub-for-covid-19-vaccines-in-africa</w:t>
        </w:r>
      </w:hyperlink>
      <w:r w:rsidRPr="00D96063">
        <w:rPr>
          <w:rStyle w:val="Hyperlink"/>
          <w:color w:val="auto"/>
          <w:u w:val="none"/>
        </w:rPr>
        <w:t>.</w:t>
      </w:r>
    </w:p>
  </w:footnote>
  <w:footnote w:id="204">
    <w:p w14:paraId="745C37E8" w14:textId="77777777" w:rsidR="00C15F2E" w:rsidRPr="00D96063" w:rsidRDefault="00C15F2E" w:rsidP="00D868BF">
      <w:pPr>
        <w:pStyle w:val="FootnoteText"/>
      </w:pPr>
      <w:r w:rsidRPr="00D96063">
        <w:rPr>
          <w:rStyle w:val="FootnoteReference"/>
          <w:szCs w:val="16"/>
        </w:rPr>
        <w:footnoteRef/>
      </w:r>
      <w:r w:rsidRPr="00D96063">
        <w:t xml:space="preserve"> United States International Trade Administration, </w:t>
      </w:r>
      <w:r w:rsidRPr="00D96063">
        <w:rPr>
          <w:i/>
          <w:iCs/>
        </w:rPr>
        <w:t>Ghana – Country Commercial Guide</w:t>
      </w:r>
      <w:r w:rsidRPr="00D96063">
        <w:t xml:space="preserve">. Viewed at: </w:t>
      </w:r>
      <w:hyperlink r:id="rId161" w:history="1">
        <w:r w:rsidRPr="00D96063">
          <w:rPr>
            <w:rStyle w:val="Hyperlink"/>
          </w:rPr>
          <w:t>https://www.trade.gov/country-commercial-guides/ghana-automotive-sector</w:t>
        </w:r>
      </w:hyperlink>
      <w:r w:rsidRPr="00D96063">
        <w:t xml:space="preserve">. </w:t>
      </w:r>
    </w:p>
  </w:footnote>
  <w:footnote w:id="205">
    <w:p w14:paraId="10D9B166" w14:textId="77777777" w:rsidR="00C15F2E" w:rsidRPr="00D96063" w:rsidRDefault="00C15F2E" w:rsidP="00D868BF">
      <w:pPr>
        <w:pStyle w:val="FootnoteText"/>
      </w:pPr>
      <w:r w:rsidRPr="00D96063">
        <w:rPr>
          <w:rStyle w:val="FootnoteReference"/>
          <w:szCs w:val="16"/>
        </w:rPr>
        <w:footnoteRef/>
      </w:r>
      <w:r w:rsidRPr="00D96063">
        <w:t xml:space="preserve"> MOTI, </w:t>
      </w:r>
      <w:r w:rsidRPr="00D96063">
        <w:rPr>
          <w:i/>
          <w:iCs/>
        </w:rPr>
        <w:t>The Ghana Automotive Development Policy</w:t>
      </w:r>
      <w:r w:rsidRPr="00D96063">
        <w:t xml:space="preserve">. Viewed at: </w:t>
      </w:r>
      <w:hyperlink r:id="rId162" w:history="1">
        <w:r w:rsidRPr="00D96063">
          <w:rPr>
            <w:rStyle w:val="Hyperlink"/>
            <w:color w:val="0000FF"/>
          </w:rPr>
          <w:t>https://moti.gov.gh/docs/AUTO_Brochure_NEW.pdf</w:t>
        </w:r>
      </w:hyperlink>
      <w:r w:rsidRPr="00D96063">
        <w:rPr>
          <w:rStyle w:val="Hyperlink"/>
          <w:color w:val="0000FF"/>
          <w:u w:val="none"/>
        </w:rPr>
        <w:t>.</w:t>
      </w:r>
      <w:r w:rsidRPr="00D96063">
        <w:rPr>
          <w:rFonts w:eastAsiaTheme="minorHAnsi" w:cstheme="minorBidi"/>
          <w:sz w:val="18"/>
          <w:szCs w:val="22"/>
          <w:lang w:eastAsia="en-US"/>
        </w:rPr>
        <w:t xml:space="preserve"> </w:t>
      </w:r>
    </w:p>
  </w:footnote>
  <w:footnote w:id="206">
    <w:p w14:paraId="0A77621C" w14:textId="77777777" w:rsidR="00C15F2E" w:rsidRPr="00D96063" w:rsidRDefault="00C15F2E" w:rsidP="00D868BF">
      <w:pPr>
        <w:pStyle w:val="FootnoteText"/>
      </w:pPr>
      <w:r w:rsidRPr="00D96063">
        <w:rPr>
          <w:rStyle w:val="FootnoteReference"/>
          <w:szCs w:val="16"/>
        </w:rPr>
        <w:footnoteRef/>
      </w:r>
      <w:r w:rsidRPr="00D96063">
        <w:t xml:space="preserve"> MOTI (2019), </w:t>
      </w:r>
      <w:r w:rsidRPr="00D96063">
        <w:rPr>
          <w:i/>
          <w:iCs/>
        </w:rPr>
        <w:t>Information Brief for Prospective Vehicle Assemblers under the Ghana Automotive Development Policy (GADP)</w:t>
      </w:r>
      <w:r w:rsidRPr="00D96063">
        <w:t xml:space="preserve">. Viewed at: </w:t>
      </w:r>
      <w:hyperlink r:id="rId163" w:history="1">
        <w:r w:rsidRPr="00D96063">
          <w:rPr>
            <w:rStyle w:val="Hyperlink"/>
          </w:rPr>
          <w:t>https://www.moti.gov.gh/docs/Information_Brief_to_OEMs.pdf</w:t>
        </w:r>
      </w:hyperlink>
      <w:r w:rsidRPr="00D96063">
        <w:rPr>
          <w:rStyle w:val="Hyperlink"/>
          <w:color w:val="auto"/>
          <w:u w:val="none"/>
        </w:rPr>
        <w:t>.</w:t>
      </w:r>
      <w:r w:rsidRPr="00D96063">
        <w:t xml:space="preserve"> </w:t>
      </w:r>
    </w:p>
  </w:footnote>
  <w:footnote w:id="207">
    <w:p w14:paraId="20FB8DA9" w14:textId="77777777" w:rsidR="00C15F2E" w:rsidRPr="00D96063" w:rsidRDefault="00C15F2E" w:rsidP="00D868BF">
      <w:pPr>
        <w:pStyle w:val="FootnoteText"/>
      </w:pPr>
      <w:r w:rsidRPr="00D96063">
        <w:rPr>
          <w:rStyle w:val="FootnoteReference"/>
          <w:szCs w:val="16"/>
        </w:rPr>
        <w:footnoteRef/>
      </w:r>
      <w:r w:rsidRPr="00D96063">
        <w:t xml:space="preserve"> Information provided by authorities regarding the final compact for Ghana CARES. </w:t>
      </w:r>
    </w:p>
  </w:footnote>
  <w:footnote w:id="208">
    <w:p w14:paraId="6D765CCA" w14:textId="77777777" w:rsidR="00C15F2E" w:rsidRPr="00D96063" w:rsidRDefault="00C15F2E" w:rsidP="00D868BF">
      <w:pPr>
        <w:pStyle w:val="FootnoteText"/>
      </w:pPr>
      <w:r w:rsidRPr="00D96063">
        <w:rPr>
          <w:rStyle w:val="FootnoteReference"/>
        </w:rPr>
        <w:footnoteRef/>
      </w:r>
      <w:r w:rsidRPr="00D96063">
        <w:t xml:space="preserve"> </w:t>
      </w:r>
      <w:r w:rsidRPr="00D96063">
        <w:rPr>
          <w:szCs w:val="16"/>
        </w:rPr>
        <w:t xml:space="preserve">WTO documents GATS/SC/35, 15 April 1994; GATS/SC/35/Suppl.1, 11 April 1997; and GATS/SC/35/Suppl.2, 26 February 1998. </w:t>
      </w:r>
    </w:p>
  </w:footnote>
  <w:footnote w:id="209">
    <w:p w14:paraId="70D2ADC3" w14:textId="77777777" w:rsidR="00C15F2E" w:rsidRPr="00D96063" w:rsidRDefault="00C15F2E" w:rsidP="00D868BF">
      <w:pPr>
        <w:pStyle w:val="FootnoteText"/>
      </w:pPr>
      <w:r w:rsidRPr="00D96063">
        <w:rPr>
          <w:rStyle w:val="FootnoteReference"/>
        </w:rPr>
        <w:footnoteRef/>
      </w:r>
      <w:r w:rsidRPr="00D96063">
        <w:t xml:space="preserve"> WTO and World Bank, I-TIP Database. Viewed a: </w:t>
      </w:r>
      <w:hyperlink r:id="rId164" w:history="1">
        <w:r w:rsidRPr="00D96063">
          <w:rPr>
            <w:rStyle w:val="Hyperlink"/>
          </w:rPr>
          <w:t>http://i-tip.wto.org/services/GATS_Detail.aspx/?id=18831&amp;sector_path=00000</w:t>
        </w:r>
      </w:hyperlink>
      <w:r w:rsidRPr="00D96063">
        <w:t>.</w:t>
      </w:r>
    </w:p>
  </w:footnote>
  <w:footnote w:id="210">
    <w:p w14:paraId="5D60FFC2" w14:textId="77777777" w:rsidR="00C15F2E" w:rsidRPr="00D96063" w:rsidRDefault="00C15F2E" w:rsidP="00D868BF">
      <w:pPr>
        <w:pStyle w:val="FootnoteText"/>
      </w:pPr>
      <w:r w:rsidRPr="00D96063">
        <w:rPr>
          <w:rStyle w:val="FootnoteReference"/>
          <w:szCs w:val="16"/>
        </w:rPr>
        <w:footnoteRef/>
      </w:r>
      <w:r w:rsidRPr="00D96063">
        <w:t xml:space="preserve"> Ghana Ports and Harbours Authority (2018), </w:t>
      </w:r>
      <w:r w:rsidRPr="00D96063">
        <w:rPr>
          <w:i/>
          <w:iCs/>
        </w:rPr>
        <w:t>Ghana Ports Handbook 2018-19</w:t>
      </w:r>
      <w:r w:rsidRPr="00D96063">
        <w:t xml:space="preserve">. </w:t>
      </w:r>
      <w:r w:rsidRPr="00D96063">
        <w:rPr>
          <w:lang w:eastAsia="fr-CH"/>
        </w:rPr>
        <w:t xml:space="preserve">Examples include expansions in </w:t>
      </w:r>
      <w:r w:rsidRPr="00D96063">
        <w:rPr>
          <w:snapToGrid w:val="0"/>
          <w:lang w:eastAsia="fr-CH"/>
        </w:rPr>
        <w:t>mass urban transport, a</w:t>
      </w:r>
      <w:r w:rsidRPr="00D96063">
        <w:rPr>
          <w:lang w:eastAsia="fr-CH"/>
        </w:rPr>
        <w:t xml:space="preserve"> USD 94 million Pokuase road interchange development project, a railway interconnectivity project between Ghana and Burkina Faso, and airport development to create a West African hub and gateway.  </w:t>
      </w:r>
    </w:p>
  </w:footnote>
  <w:footnote w:id="211">
    <w:p w14:paraId="6D40A14C" w14:textId="77777777" w:rsidR="00C15F2E" w:rsidRPr="00D96063" w:rsidRDefault="00C15F2E" w:rsidP="00D868BF">
      <w:pPr>
        <w:pStyle w:val="FootnoteText"/>
      </w:pPr>
      <w:r w:rsidRPr="00D96063">
        <w:rPr>
          <w:rStyle w:val="FootnoteReference"/>
          <w:szCs w:val="16"/>
        </w:rPr>
        <w:footnoteRef/>
      </w:r>
      <w:r w:rsidRPr="00D96063">
        <w:t xml:space="preserve"> Railways Act, 2008. Viewed at: </w:t>
      </w:r>
      <w:hyperlink r:id="rId165" w:history="1">
        <w:r w:rsidRPr="00D96063">
          <w:rPr>
            <w:rStyle w:val="Hyperlink"/>
          </w:rPr>
          <w:t>https://www.bcp.gov.gh/acc/registry/docs/Railways%20Act,%202008%20.pdf</w:t>
        </w:r>
      </w:hyperlink>
      <w:r w:rsidRPr="00D96063">
        <w:rPr>
          <w:rStyle w:val="Hyperlink"/>
          <w:u w:val="none"/>
        </w:rPr>
        <w:t>.</w:t>
      </w:r>
    </w:p>
  </w:footnote>
  <w:footnote w:id="212">
    <w:p w14:paraId="6378C90F" w14:textId="77777777" w:rsidR="00C15F2E" w:rsidRPr="00D96063" w:rsidRDefault="00C15F2E" w:rsidP="00D868BF">
      <w:pPr>
        <w:pStyle w:val="FootnoteText"/>
      </w:pPr>
      <w:r w:rsidRPr="00D96063">
        <w:rPr>
          <w:rStyle w:val="FootnoteReference"/>
          <w:szCs w:val="16"/>
        </w:rPr>
        <w:footnoteRef/>
      </w:r>
      <w:r w:rsidRPr="00D96063">
        <w:t xml:space="preserve"> Ghana Railway Development Authority. Viewed at: </w:t>
      </w:r>
      <w:hyperlink r:id="rId166" w:history="1">
        <w:r w:rsidRPr="00D96063">
          <w:rPr>
            <w:rStyle w:val="Hyperlink"/>
          </w:rPr>
          <w:t>http://www.grda.gov.gh/</w:t>
        </w:r>
      </w:hyperlink>
      <w:r w:rsidRPr="00D96063">
        <w:rPr>
          <w:rStyle w:val="Hyperlink"/>
          <w:color w:val="auto"/>
          <w:u w:val="none"/>
        </w:rPr>
        <w:t>.</w:t>
      </w:r>
    </w:p>
  </w:footnote>
  <w:footnote w:id="213">
    <w:p w14:paraId="2BC62662" w14:textId="77777777" w:rsidR="00C15F2E" w:rsidRPr="00D96063" w:rsidRDefault="00C15F2E" w:rsidP="00D868BF">
      <w:pPr>
        <w:pStyle w:val="FootnoteText"/>
      </w:pPr>
      <w:r w:rsidRPr="00D96063">
        <w:rPr>
          <w:rStyle w:val="FootnoteReference"/>
          <w:szCs w:val="16"/>
        </w:rPr>
        <w:footnoteRef/>
      </w:r>
      <w:r w:rsidRPr="004C2148">
        <w:rPr>
          <w:lang w:val="da-DK"/>
        </w:rPr>
        <w:t xml:space="preserve"> Akwetteh, L.N., et al. </w:t>
      </w:r>
      <w:r w:rsidRPr="00D96063">
        <w:t xml:space="preserve">(2021), "The Current Railway Development and Its Influencing Factors in Ghana", </w:t>
      </w:r>
      <w:r w:rsidRPr="00D96063">
        <w:rPr>
          <w:i/>
          <w:iCs/>
        </w:rPr>
        <w:t>Open Journal of Social Sciences</w:t>
      </w:r>
      <w:r w:rsidRPr="00D96063">
        <w:t xml:space="preserve">, Vol. 9, pp. 228-244. Viewed at: </w:t>
      </w:r>
      <w:hyperlink r:id="rId167" w:history="1">
        <w:r w:rsidRPr="00D96063">
          <w:rPr>
            <w:rStyle w:val="Hyperlink"/>
          </w:rPr>
          <w:t>https://www.scirp.org/pdf/jss_2021031914260090.pdf</w:t>
        </w:r>
      </w:hyperlink>
      <w:r w:rsidRPr="00D96063">
        <w:rPr>
          <w:rStyle w:val="Hyperlink"/>
          <w:u w:val="none"/>
        </w:rPr>
        <w:t>.</w:t>
      </w:r>
    </w:p>
  </w:footnote>
  <w:footnote w:id="214">
    <w:p w14:paraId="6BBB4096" w14:textId="77777777" w:rsidR="00C15F2E" w:rsidRPr="00D96063" w:rsidRDefault="00C15F2E" w:rsidP="00D868BF">
      <w:pPr>
        <w:pStyle w:val="FootnoteText"/>
      </w:pPr>
      <w:r w:rsidRPr="00D96063">
        <w:rPr>
          <w:rStyle w:val="FootnoteReference"/>
        </w:rPr>
        <w:footnoteRef/>
      </w:r>
      <w:r w:rsidRPr="00D96063">
        <w:t xml:space="preserve"> SOAAG, </w:t>
      </w:r>
      <w:r w:rsidRPr="00D96063">
        <w:rPr>
          <w:i/>
          <w:iCs/>
        </w:rPr>
        <w:t>Membership</w:t>
      </w:r>
      <w:r w:rsidRPr="00D96063">
        <w:t xml:space="preserve">. Viewed at: </w:t>
      </w:r>
      <w:hyperlink r:id="rId168" w:history="1">
        <w:r w:rsidRPr="00D96063">
          <w:rPr>
            <w:rStyle w:val="Hyperlink"/>
          </w:rPr>
          <w:t>https://soaag.org/membership</w:t>
        </w:r>
      </w:hyperlink>
      <w:r w:rsidRPr="00D96063">
        <w:t>.</w:t>
      </w:r>
    </w:p>
  </w:footnote>
  <w:footnote w:id="215">
    <w:p w14:paraId="09A9A32C" w14:textId="77777777" w:rsidR="00C15F2E" w:rsidRPr="00D96063" w:rsidRDefault="00C15F2E" w:rsidP="00D868BF">
      <w:pPr>
        <w:pStyle w:val="FootnoteText"/>
      </w:pPr>
      <w:r w:rsidRPr="00D96063">
        <w:rPr>
          <w:rStyle w:val="FootnoteReference"/>
          <w:szCs w:val="16"/>
        </w:rPr>
        <w:footnoteRef/>
      </w:r>
      <w:r w:rsidRPr="00D96063">
        <w:t xml:space="preserve"> WTO and World Bank, I-TIP Database. </w:t>
      </w:r>
    </w:p>
  </w:footnote>
  <w:footnote w:id="216">
    <w:p w14:paraId="4BE57905" w14:textId="77777777" w:rsidR="00C15F2E" w:rsidRPr="00D96063" w:rsidRDefault="00C15F2E" w:rsidP="00D868BF">
      <w:pPr>
        <w:pStyle w:val="FootnoteText"/>
      </w:pPr>
      <w:r w:rsidRPr="00D96063">
        <w:rPr>
          <w:rStyle w:val="FootnoteReference"/>
          <w:szCs w:val="16"/>
        </w:rPr>
        <w:footnoteRef/>
      </w:r>
      <w:r w:rsidRPr="00D96063">
        <w:t xml:space="preserve"> Ghana Shippers' Authority. Viewed at: </w:t>
      </w:r>
      <w:hyperlink r:id="rId169" w:history="1">
        <w:r w:rsidRPr="00D96063">
          <w:rPr>
            <w:rStyle w:val="Hyperlink"/>
          </w:rPr>
          <w:t>http://shippers.org.gh/</w:t>
        </w:r>
      </w:hyperlink>
      <w:r w:rsidRPr="00D96063">
        <w:t>.</w:t>
      </w:r>
    </w:p>
  </w:footnote>
  <w:footnote w:id="217">
    <w:p w14:paraId="3D608AD6" w14:textId="77777777" w:rsidR="00C15F2E" w:rsidRPr="00D96063" w:rsidRDefault="00C15F2E" w:rsidP="00D868BF">
      <w:pPr>
        <w:pStyle w:val="FootnoteText"/>
      </w:pPr>
      <w:r w:rsidRPr="00D96063">
        <w:rPr>
          <w:rStyle w:val="FootnoteReference"/>
          <w:szCs w:val="16"/>
        </w:rPr>
        <w:footnoteRef/>
      </w:r>
      <w:r w:rsidRPr="00D96063">
        <w:t xml:space="preserve"> Ghana Shippers' Authority Regulations, 2012 (L.I. 2190). Viewed at: </w:t>
      </w:r>
      <w:hyperlink r:id="rId170" w:history="1">
        <w:r w:rsidRPr="00D96063">
          <w:rPr>
            <w:rStyle w:val="Hyperlink"/>
          </w:rPr>
          <w:t>https://www.bcp.gov.gh/acc/registry/docs/GHANA%20SHIPPERS%27%20AUTHORITY%20REGULATIONS,%202012%20(L.I.%202190).pdf</w:t>
        </w:r>
      </w:hyperlink>
      <w:r w:rsidRPr="00D96063">
        <w:t>.</w:t>
      </w:r>
    </w:p>
  </w:footnote>
  <w:footnote w:id="218">
    <w:p w14:paraId="6DE5F43F" w14:textId="77777777" w:rsidR="00952BFE" w:rsidRPr="00D96063" w:rsidRDefault="00952BFE" w:rsidP="00952BFE">
      <w:pPr>
        <w:pStyle w:val="FootnoteText"/>
      </w:pPr>
      <w:r w:rsidRPr="00D96063">
        <w:rPr>
          <w:rStyle w:val="FootnoteReference"/>
          <w:szCs w:val="16"/>
        </w:rPr>
        <w:footnoteRef/>
      </w:r>
      <w:r w:rsidRPr="00D96063">
        <w:t xml:space="preserve"> Ghana Shippers' Authority, </w:t>
      </w:r>
      <w:r w:rsidRPr="00D96063">
        <w:rPr>
          <w:i/>
          <w:iCs/>
        </w:rPr>
        <w:t>Cargo Clearance Tariff Guidelines</w:t>
      </w:r>
      <w:r w:rsidRPr="00D96063">
        <w:t xml:space="preserve">. Viewed at: </w:t>
      </w:r>
      <w:hyperlink r:id="rId171" w:history="1">
        <w:r w:rsidRPr="00D96063">
          <w:rPr>
            <w:rStyle w:val="Hyperlink"/>
          </w:rPr>
          <w:t>https://shippers.org.gh/index.php/cargo-clearance-tariff-guidelines/</w:t>
        </w:r>
      </w:hyperlink>
      <w:r w:rsidRPr="00D96063">
        <w:t>.</w:t>
      </w:r>
    </w:p>
  </w:footnote>
  <w:footnote w:id="219">
    <w:p w14:paraId="44C74A8A" w14:textId="34C3B2A7" w:rsidR="00C15F2E" w:rsidRPr="00D96063" w:rsidRDefault="00C15F2E" w:rsidP="00D868BF">
      <w:pPr>
        <w:pStyle w:val="FootnoteText"/>
      </w:pPr>
      <w:r w:rsidRPr="00D96063">
        <w:rPr>
          <w:rStyle w:val="FootnoteReference"/>
          <w:szCs w:val="16"/>
        </w:rPr>
        <w:footnoteRef/>
      </w:r>
      <w:r w:rsidRPr="00D96063">
        <w:t xml:space="preserve"> MPS, </w:t>
      </w:r>
      <w:r w:rsidR="005C20E0">
        <w:t>Terminal Capacity. V</w:t>
      </w:r>
      <w:r w:rsidRPr="00D96063">
        <w:t xml:space="preserve">iewed at: </w:t>
      </w:r>
      <w:hyperlink r:id="rId172" w:history="1">
        <w:r w:rsidRPr="00D96063">
          <w:rPr>
            <w:rStyle w:val="Hyperlink"/>
          </w:rPr>
          <w:t>https://mps-gh.com/terminal-capacity/</w:t>
        </w:r>
      </w:hyperlink>
      <w:r w:rsidR="005C20E0" w:rsidRPr="00D02D58">
        <w:t>.</w:t>
      </w:r>
    </w:p>
  </w:footnote>
  <w:footnote w:id="220">
    <w:p w14:paraId="730FA035" w14:textId="77777777" w:rsidR="00053B83" w:rsidRPr="00D96063" w:rsidRDefault="00053B83" w:rsidP="00053B83">
      <w:pPr>
        <w:pStyle w:val="FootnoteText"/>
      </w:pPr>
      <w:r w:rsidRPr="00D96063">
        <w:rPr>
          <w:rStyle w:val="FootnoteReference"/>
        </w:rPr>
        <w:footnoteRef/>
      </w:r>
      <w:r w:rsidRPr="00D96063">
        <w:t xml:space="preserve"> This project is a Build, Operate and Transfer (BOT) concession agreement between GPHA and Meridian Port Services (MPS).</w:t>
      </w:r>
    </w:p>
  </w:footnote>
  <w:footnote w:id="221">
    <w:p w14:paraId="2C837609" w14:textId="77777777" w:rsidR="00C15F2E" w:rsidRPr="00D96063" w:rsidRDefault="00C15F2E" w:rsidP="00D868BF">
      <w:pPr>
        <w:pStyle w:val="FootnoteText"/>
      </w:pPr>
      <w:r w:rsidRPr="00D96063">
        <w:rPr>
          <w:rStyle w:val="FootnoteReference"/>
        </w:rPr>
        <w:footnoteRef/>
      </w:r>
      <w:r w:rsidRPr="00D96063">
        <w:t xml:space="preserve"> ITU (2021), </w:t>
      </w:r>
      <w:r w:rsidRPr="00D96063">
        <w:rPr>
          <w:i/>
          <w:iCs/>
        </w:rPr>
        <w:t>Measuring Digital Development: ICT Price Trends 2020</w:t>
      </w:r>
      <w:r w:rsidRPr="00D96063">
        <w:t xml:space="preserve">. Viewed at: </w:t>
      </w:r>
      <w:hyperlink r:id="rId173" w:history="1">
        <w:r w:rsidRPr="00D96063">
          <w:rPr>
            <w:rStyle w:val="Hyperlink"/>
          </w:rPr>
          <w:t>https://www.itu.int/en/ITU-D/Statistics/Documents/publications/prices2020/ITU_ICTPriceTrends_2020.pdf</w:t>
        </w:r>
      </w:hyperlink>
      <w:r w:rsidRPr="00D96063">
        <w:t>.</w:t>
      </w:r>
    </w:p>
  </w:footnote>
  <w:footnote w:id="222">
    <w:p w14:paraId="4A54124F" w14:textId="77777777" w:rsidR="00C15F2E" w:rsidRPr="00D96063" w:rsidRDefault="00C15F2E" w:rsidP="00D868BF">
      <w:pPr>
        <w:pStyle w:val="FootnoteText"/>
      </w:pPr>
      <w:r w:rsidRPr="00D96063">
        <w:rPr>
          <w:rStyle w:val="FootnoteReference"/>
        </w:rPr>
        <w:footnoteRef/>
      </w:r>
      <w:r w:rsidRPr="00D96063">
        <w:t xml:space="preserve"> Ministry of Communications and Digitalisation. Viewed at: </w:t>
      </w:r>
      <w:hyperlink r:id="rId174" w:history="1">
        <w:r w:rsidRPr="00D96063">
          <w:rPr>
            <w:rStyle w:val="Hyperlink"/>
          </w:rPr>
          <w:t>http://www.moc.gov.gh</w:t>
        </w:r>
      </w:hyperlink>
      <w:r w:rsidRPr="00D96063">
        <w:t>.</w:t>
      </w:r>
    </w:p>
  </w:footnote>
  <w:footnote w:id="223">
    <w:p w14:paraId="164F2EC7" w14:textId="77777777" w:rsidR="00C15F2E" w:rsidRPr="00D96063" w:rsidRDefault="00C15F2E" w:rsidP="00D868BF">
      <w:pPr>
        <w:pStyle w:val="FootnoteText"/>
      </w:pPr>
      <w:r w:rsidRPr="00D96063">
        <w:rPr>
          <w:rStyle w:val="FootnoteReference"/>
        </w:rPr>
        <w:footnoteRef/>
      </w:r>
      <w:r w:rsidRPr="00D96063">
        <w:t xml:space="preserve"> OECD, Peer Review Report on the Exchange of Information on Request: Ghana 2018 (Second Round), Key Conclusions. Viewed at: </w:t>
      </w:r>
      <w:hyperlink r:id="rId175" w:history="1">
        <w:r w:rsidRPr="00D96063">
          <w:rPr>
            <w:rStyle w:val="Hyperlink"/>
          </w:rPr>
          <w:t>https://www.oecd.org/tax/transparency/global-forum-on-transparency-and-exchange-of-information-for-tax-purposes-ghana-2018-second-round-9789264291119-en.htm</w:t>
        </w:r>
      </w:hyperlink>
      <w:r w:rsidRPr="00D96063">
        <w:t>.</w:t>
      </w:r>
    </w:p>
  </w:footnote>
  <w:footnote w:id="224">
    <w:p w14:paraId="76C2461B" w14:textId="77777777" w:rsidR="00C15F2E" w:rsidRPr="00D96063" w:rsidRDefault="00C15F2E" w:rsidP="00D868BF">
      <w:pPr>
        <w:pStyle w:val="FootnoteText"/>
        <w:rPr>
          <w:vertAlign w:val="superscript"/>
        </w:rPr>
      </w:pPr>
      <w:r w:rsidRPr="00D96063">
        <w:rPr>
          <w:rStyle w:val="FootnoteReference"/>
        </w:rPr>
        <w:footnoteRef/>
      </w:r>
      <w:r w:rsidRPr="00D96063">
        <w:t xml:space="preserve"> OECD (2021), </w:t>
      </w:r>
      <w:r w:rsidRPr="00D96063">
        <w:rPr>
          <w:i/>
          <w:iCs/>
        </w:rPr>
        <w:t>Tax Transparency in Africa 2021: Africa Initiative Progress Report</w:t>
      </w:r>
      <w:r w:rsidRPr="00D96063">
        <w:t xml:space="preserve">. Viewed at: </w:t>
      </w:r>
      <w:hyperlink r:id="rId176" w:history="1">
        <w:r w:rsidRPr="00D96063">
          <w:rPr>
            <w:rStyle w:val="Hyperlink"/>
          </w:rPr>
          <w:t>https://www.oecd.org/tax/transparency/documents/Tax-Transparency-in-Africa-2021.pdf</w:t>
        </w:r>
      </w:hyperlink>
      <w:r w:rsidRPr="00D96063">
        <w:t>. See also: OECD (2020), Tax Transparency and Exchange of Information in Times of COVID</w:t>
      </w:r>
      <w:r w:rsidRPr="00D96063">
        <w:noBreakHyphen/>
        <w:t xml:space="preserve">19. Viewed at:  </w:t>
      </w:r>
      <w:hyperlink r:id="rId177" w:history="1">
        <w:r w:rsidRPr="00D96063">
          <w:rPr>
            <w:rStyle w:val="Hyperlink"/>
          </w:rPr>
          <w:t>https://www.oecd.org/tax/transparency/documents/global-forum-annual-report-2020.pdf</w:t>
        </w:r>
      </w:hyperlink>
      <w:r w:rsidRPr="00D96063">
        <w:rPr>
          <w:rStyle w:val="Hyperlink"/>
          <w:u w:val="none"/>
        </w:rPr>
        <w:t>.</w:t>
      </w:r>
    </w:p>
  </w:footnote>
  <w:footnote w:id="225">
    <w:p w14:paraId="16087465" w14:textId="77777777" w:rsidR="00C15F2E" w:rsidRPr="00D96063" w:rsidRDefault="00C15F2E" w:rsidP="00D868BF">
      <w:pPr>
        <w:pStyle w:val="FootnoteText"/>
      </w:pPr>
      <w:r w:rsidRPr="00D96063">
        <w:rPr>
          <w:rStyle w:val="FootnoteReference"/>
        </w:rPr>
        <w:footnoteRef/>
      </w:r>
      <w:r w:rsidRPr="00D96063">
        <w:t xml:space="preserve"> Commission Delegated Regulation (EU) 2020/855. Viewed at: </w:t>
      </w:r>
      <w:hyperlink r:id="rId178" w:history="1">
        <w:r w:rsidRPr="00D96063">
          <w:rPr>
            <w:rStyle w:val="Hyperlink"/>
          </w:rPr>
          <w:t>https://eur-lex.europa.eu/legal-content/EN/TXT/PDF/?uri=CELEX:32020R0855&amp;from=EN</w:t>
        </w:r>
      </w:hyperlink>
      <w:r w:rsidRPr="00D96063">
        <w:t xml:space="preserve">. </w:t>
      </w:r>
      <w:hyperlink r:id="rId179" w:history="1"/>
    </w:p>
  </w:footnote>
  <w:footnote w:id="226">
    <w:p w14:paraId="5D660076" w14:textId="77777777" w:rsidR="00C15F2E" w:rsidRPr="00D96063" w:rsidRDefault="00C15F2E" w:rsidP="00D868BF">
      <w:pPr>
        <w:pStyle w:val="FootnoteText"/>
      </w:pPr>
      <w:r w:rsidRPr="00D96063">
        <w:rPr>
          <w:rStyle w:val="FootnoteReference"/>
        </w:rPr>
        <w:footnoteRef/>
      </w:r>
      <w:r w:rsidRPr="00D96063">
        <w:t xml:space="preserve"> GAFI, </w:t>
      </w:r>
      <w:r w:rsidRPr="00D96063">
        <w:rPr>
          <w:i/>
          <w:iCs/>
        </w:rPr>
        <w:t>Jurisdictions under Increased Monitoring – February 2021</w:t>
      </w:r>
      <w:r w:rsidRPr="00D96063">
        <w:t xml:space="preserve">. Viewed at: </w:t>
      </w:r>
      <w:hyperlink r:id="rId180" w:history="1">
        <w:r w:rsidRPr="00D96063">
          <w:rPr>
            <w:rStyle w:val="Hyperlink"/>
          </w:rPr>
          <w:t>https://www.fatf-gafi.org/fr/pays/a-c/barbade/documents/increased-monitoring-february-2021.html</w:t>
        </w:r>
      </w:hyperlink>
      <w:r w:rsidRPr="00D96063">
        <w:t>.</w:t>
      </w:r>
    </w:p>
  </w:footnote>
  <w:footnote w:id="227">
    <w:p w14:paraId="2D2C8A6E" w14:textId="77777777" w:rsidR="00C15F2E" w:rsidRPr="00D96063" w:rsidRDefault="00C15F2E" w:rsidP="00D868BF">
      <w:pPr>
        <w:pStyle w:val="FootnoteText"/>
      </w:pPr>
      <w:r w:rsidRPr="00D96063">
        <w:rPr>
          <w:rStyle w:val="FootnoteReference"/>
        </w:rPr>
        <w:footnoteRef/>
      </w:r>
      <w:r w:rsidRPr="00D96063">
        <w:t xml:space="preserve"> PwC (2019), </w:t>
      </w:r>
      <w:r w:rsidRPr="00D96063">
        <w:rPr>
          <w:i/>
          <w:iCs/>
        </w:rPr>
        <w:t>Banking Reforms So Far: Topmost Issues on the Minds of Bank CEOs</w:t>
      </w:r>
      <w:r w:rsidRPr="00D96063">
        <w:t xml:space="preserve">. Viewed at: </w:t>
      </w:r>
      <w:hyperlink r:id="rId181" w:history="1">
        <w:r w:rsidRPr="00D96063">
          <w:rPr>
            <w:rStyle w:val="Hyperlink"/>
          </w:rPr>
          <w:t>https://www.pwc.com/gh/en/assets/pdf/ghana-banking-survey-2019.pdf</w:t>
        </w:r>
      </w:hyperlink>
      <w:r w:rsidRPr="00D96063">
        <w:t>.</w:t>
      </w:r>
    </w:p>
  </w:footnote>
  <w:footnote w:id="228">
    <w:p w14:paraId="20C77674" w14:textId="77777777" w:rsidR="00C15F2E" w:rsidRPr="00D96063" w:rsidRDefault="00C15F2E" w:rsidP="00D868BF">
      <w:pPr>
        <w:pStyle w:val="FootnoteText"/>
      </w:pPr>
      <w:r w:rsidRPr="00D96063">
        <w:rPr>
          <w:rStyle w:val="FootnoteReference"/>
        </w:rPr>
        <w:footnoteRef/>
      </w:r>
      <w:r w:rsidRPr="00D96063">
        <w:t xml:space="preserve"> Banks and Specialized Deposit-Taking Institutions Act, 2016 (Act 930). Viewed at: </w:t>
      </w:r>
      <w:hyperlink r:id="rId182" w:history="1">
        <w:r w:rsidRPr="00D96063">
          <w:rPr>
            <w:rStyle w:val="Hyperlink"/>
          </w:rPr>
          <w:t>https://www.bog.gov.gh/wp-content/uploads/2019/09/BANKS-AND-SPECIALISED-DEPOSIT-ACT-2016.pdf</w:t>
        </w:r>
      </w:hyperlink>
      <w:r w:rsidRPr="00D96063">
        <w:t>.</w:t>
      </w:r>
    </w:p>
  </w:footnote>
  <w:footnote w:id="229">
    <w:p w14:paraId="1F18077A" w14:textId="77777777" w:rsidR="00C15F2E" w:rsidRPr="00D96063" w:rsidRDefault="00C15F2E" w:rsidP="00D868BF">
      <w:pPr>
        <w:pStyle w:val="FootnoteText"/>
      </w:pPr>
      <w:r w:rsidRPr="00D96063">
        <w:rPr>
          <w:rStyle w:val="FootnoteReference"/>
        </w:rPr>
        <w:footnoteRef/>
      </w:r>
      <w:r w:rsidRPr="00D96063">
        <w:t xml:space="preserve"> BoG (2019), </w:t>
      </w:r>
      <w:r w:rsidRPr="00D96063">
        <w:rPr>
          <w:i/>
          <w:iCs/>
        </w:rPr>
        <w:t>Sustainable Banking Principles and Sector Guidance Notes</w:t>
      </w:r>
      <w:r w:rsidRPr="00D96063">
        <w:t xml:space="preserve">. Viewed at: </w:t>
      </w:r>
      <w:hyperlink r:id="rId183" w:history="1">
        <w:r w:rsidRPr="00D96063">
          <w:rPr>
            <w:rStyle w:val="Hyperlink"/>
          </w:rPr>
          <w:t>https://www.bog.gov.gh/wp-content/uploads/2019/12/Ghana-Sustainable-Banking-Principles-and-Guidelines-Book-1.pdf</w:t>
        </w:r>
      </w:hyperlink>
      <w:r w:rsidRPr="00D96063">
        <w:t xml:space="preserve">; and BoG (2018), </w:t>
      </w:r>
      <w:r w:rsidRPr="00D96063">
        <w:rPr>
          <w:i/>
          <w:iCs/>
        </w:rPr>
        <w:t>Cyber &amp; Information Security Directive</w:t>
      </w:r>
      <w:r w:rsidRPr="00D96063">
        <w:t xml:space="preserve">. Viewed at: </w:t>
      </w:r>
      <w:hyperlink r:id="rId184" w:history="1">
        <w:r w:rsidRPr="00D96063">
          <w:rPr>
            <w:rStyle w:val="Hyperlink"/>
          </w:rPr>
          <w:t>https://www.bog.gov.gh/wp-content/uploads/2019/09/CYBER-AND-INFORMATION-SECURITY-DIRECTIVE.pdf</w:t>
        </w:r>
      </w:hyperlink>
      <w:r w:rsidRPr="00D96063">
        <w:t>.</w:t>
      </w:r>
    </w:p>
  </w:footnote>
  <w:footnote w:id="230">
    <w:p w14:paraId="77E383CC" w14:textId="77777777" w:rsidR="00C15F2E" w:rsidRPr="00D96063" w:rsidRDefault="00C15F2E" w:rsidP="00D868BF">
      <w:pPr>
        <w:pStyle w:val="FootnoteText"/>
      </w:pPr>
      <w:r w:rsidRPr="00D96063">
        <w:rPr>
          <w:rStyle w:val="FootnoteReference"/>
        </w:rPr>
        <w:footnoteRef/>
      </w:r>
      <w:r w:rsidRPr="00D96063">
        <w:t xml:space="preserve"> BoG, </w:t>
      </w:r>
      <w:r w:rsidRPr="00D96063">
        <w:rPr>
          <w:i/>
          <w:iCs/>
        </w:rPr>
        <w:t>Notice to the Public and Operators of Forex Bureau</w:t>
      </w:r>
      <w:r w:rsidRPr="00D96063">
        <w:t xml:space="preserve">, No. BG/GOV/SEC/2003/2. Viewed at: </w:t>
      </w:r>
      <w:hyperlink r:id="rId185" w:history="1">
        <w:r w:rsidRPr="00D96063">
          <w:rPr>
            <w:rStyle w:val="Hyperlink"/>
          </w:rPr>
          <w:t>https://www.bog.gov.gh/wp-content/uploads/2019/08/revised-forex-bureau-regulations.pdf</w:t>
        </w:r>
      </w:hyperlink>
      <w:r w:rsidRPr="00D96063">
        <w:rPr>
          <w:rStyle w:val="Hyperlink"/>
        </w:rPr>
        <w:t>.</w:t>
      </w:r>
    </w:p>
  </w:footnote>
  <w:footnote w:id="231">
    <w:p w14:paraId="6E4416F4" w14:textId="77777777" w:rsidR="00C15F2E" w:rsidRPr="00D96063" w:rsidRDefault="00C15F2E" w:rsidP="00D868BF">
      <w:pPr>
        <w:pStyle w:val="FootnoteText"/>
      </w:pPr>
      <w:r w:rsidRPr="00D96063">
        <w:rPr>
          <w:rStyle w:val="FootnoteReference"/>
        </w:rPr>
        <w:footnoteRef/>
      </w:r>
      <w:r w:rsidRPr="00D96063">
        <w:t xml:space="preserve"> BoG (2019), </w:t>
      </w:r>
      <w:r w:rsidRPr="00D96063">
        <w:rPr>
          <w:i/>
          <w:iCs/>
          <w:szCs w:val="16"/>
        </w:rPr>
        <w:t>Fit and Proper Persons Directive</w:t>
      </w:r>
      <w:r w:rsidRPr="00D96063">
        <w:rPr>
          <w:szCs w:val="16"/>
        </w:rPr>
        <w:t>. Viewed at</w:t>
      </w:r>
      <w:r w:rsidRPr="007A1409">
        <w:rPr>
          <w:szCs w:val="16"/>
        </w:rPr>
        <w:t>:</w:t>
      </w:r>
      <w:r w:rsidRPr="00D96063">
        <w:rPr>
          <w:sz w:val="18"/>
        </w:rPr>
        <w:t xml:space="preserve"> </w:t>
      </w:r>
      <w:hyperlink r:id="rId186" w:history="1">
        <w:r w:rsidRPr="00D96063">
          <w:rPr>
            <w:rStyle w:val="Hyperlink"/>
          </w:rPr>
          <w:t>https://www.bog.gov.gh/wp-content/uploads/2019/09/FIT-AND-PROPER-PERSONS-DIRECTIVE-2019.pdf</w:t>
        </w:r>
      </w:hyperlink>
      <w:r w:rsidRPr="00D96063">
        <w:rPr>
          <w:rStyle w:val="Hyperlink"/>
          <w:u w:val="none"/>
        </w:rPr>
        <w:t>.</w:t>
      </w:r>
    </w:p>
  </w:footnote>
  <w:footnote w:id="232">
    <w:p w14:paraId="45317392" w14:textId="77777777" w:rsidR="00C15F2E" w:rsidRPr="00D96063" w:rsidRDefault="00C15F2E" w:rsidP="00D868BF">
      <w:pPr>
        <w:pStyle w:val="FootnoteText"/>
      </w:pPr>
      <w:r w:rsidRPr="00D96063">
        <w:rPr>
          <w:rStyle w:val="FootnoteReference"/>
        </w:rPr>
        <w:footnoteRef/>
      </w:r>
      <w:r w:rsidRPr="00D96063">
        <w:t xml:space="preserve"> Insurance Act, 2006 (Act 724). Viewed at: </w:t>
      </w:r>
      <w:hyperlink r:id="rId187" w:history="1">
        <w:r w:rsidRPr="00D96063">
          <w:rPr>
            <w:rStyle w:val="Hyperlink"/>
          </w:rPr>
          <w:t>https://nicgh.org/wp-content/uploads/2016/07/Insurance_Act_724_2006_CV_toC.pdf</w:t>
        </w:r>
      </w:hyperlink>
      <w:r w:rsidRPr="00D96063">
        <w:rPr>
          <w:rStyle w:val="Hyperlink"/>
          <w:u w:val="none"/>
        </w:rPr>
        <w:t>.</w:t>
      </w:r>
      <w:r w:rsidRPr="00D96063">
        <w:t xml:space="preserve"> </w:t>
      </w:r>
    </w:p>
  </w:footnote>
  <w:footnote w:id="233">
    <w:p w14:paraId="152B754B" w14:textId="77777777" w:rsidR="00C15F2E" w:rsidRPr="00D96063" w:rsidRDefault="00C15F2E" w:rsidP="00D868BF">
      <w:pPr>
        <w:pStyle w:val="FootnoteText"/>
      </w:pPr>
      <w:r w:rsidRPr="00D96063">
        <w:rPr>
          <w:rStyle w:val="FootnoteReference"/>
        </w:rPr>
        <w:footnoteRef/>
      </w:r>
      <w:r w:rsidRPr="00D96063">
        <w:t xml:space="preserve"> National Insurance Commission, </w:t>
      </w:r>
      <w:r w:rsidRPr="00D96063">
        <w:rPr>
          <w:i/>
          <w:iCs/>
        </w:rPr>
        <w:t>Increasing Insurance Penetration in Ghana: The Challenges and Strategies</w:t>
      </w:r>
      <w:r w:rsidRPr="00D96063">
        <w:t xml:space="preserve">. Viewed at: </w:t>
      </w:r>
      <w:hyperlink r:id="rId188" w:history="1">
        <w:r w:rsidRPr="00D96063">
          <w:rPr>
            <w:rStyle w:val="Hyperlink"/>
          </w:rPr>
          <w:t>https://nicgh.org/wp-content/uploads/2019/11/Insurance-Penetration-strategies-112019.pdf</w:t>
        </w:r>
      </w:hyperlink>
      <w:r w:rsidRPr="00D96063">
        <w:t>.</w:t>
      </w:r>
    </w:p>
  </w:footnote>
  <w:footnote w:id="234">
    <w:p w14:paraId="3F3F7C23" w14:textId="77777777" w:rsidR="00C15F2E" w:rsidRPr="00D96063" w:rsidRDefault="00C15F2E" w:rsidP="00D868BF">
      <w:pPr>
        <w:pStyle w:val="FootnoteText"/>
      </w:pPr>
      <w:r w:rsidRPr="00D96063">
        <w:rPr>
          <w:rStyle w:val="FootnoteReference"/>
        </w:rPr>
        <w:footnoteRef/>
      </w:r>
      <w:r w:rsidRPr="00D96063">
        <w:t xml:space="preserve"> </w:t>
      </w:r>
      <w:r w:rsidRPr="00D96063">
        <w:rPr>
          <w:snapToGrid w:val="0"/>
        </w:rPr>
        <w:t xml:space="preserve">Securities Industry Law, 1993, and Securities and Exchange Regulations, 2007 (L.I. 728). Viewed at: </w:t>
      </w:r>
      <w:hyperlink r:id="rId189" w:history="1">
        <w:r w:rsidRPr="00D96063">
          <w:rPr>
            <w:rStyle w:val="Hyperlink"/>
            <w:snapToGrid w:val="0"/>
          </w:rPr>
          <w:t>https://sec.gov.gh</w:t>
        </w:r>
      </w:hyperlink>
      <w:r w:rsidRPr="00D96063">
        <w:rPr>
          <w:rStyle w:val="Hyperlink"/>
          <w:snapToGrid w:val="0"/>
          <w:u w:val="none"/>
        </w:rPr>
        <w:t>.</w:t>
      </w:r>
    </w:p>
  </w:footnote>
  <w:footnote w:id="235">
    <w:p w14:paraId="018A25E8" w14:textId="6119A27C" w:rsidR="00C15F2E" w:rsidRPr="00D96063" w:rsidRDefault="00C15F2E" w:rsidP="00D868BF">
      <w:pPr>
        <w:pStyle w:val="FootnoteText"/>
      </w:pPr>
      <w:r w:rsidRPr="00D96063">
        <w:rPr>
          <w:rStyle w:val="FootnoteReference"/>
        </w:rPr>
        <w:footnoteRef/>
      </w:r>
      <w:r w:rsidRPr="00D96063">
        <w:t xml:space="preserve"> Securities Industry (Licensing) Guidelines, 2020 (SEC/GUI/005/10/2020). Viewed at</w:t>
      </w:r>
      <w:r w:rsidR="00D96063">
        <w:t>:</w:t>
      </w:r>
      <w:r w:rsidRPr="00D96063">
        <w:t xml:space="preserve"> </w:t>
      </w:r>
      <w:hyperlink r:id="rId190" w:history="1">
        <w:r w:rsidRPr="00D96063">
          <w:rPr>
            <w:rStyle w:val="Hyperlink"/>
          </w:rPr>
          <w:t>sec.gov.gh</w:t>
        </w:r>
      </w:hyperlink>
      <w:r w:rsidRPr="00D96063">
        <w:t>.</w:t>
      </w:r>
    </w:p>
  </w:footnote>
  <w:footnote w:id="236">
    <w:p w14:paraId="2BDCEAEE" w14:textId="52A984A9" w:rsidR="00C15F2E" w:rsidRPr="00D96063" w:rsidRDefault="00C15F2E" w:rsidP="00D868BF">
      <w:pPr>
        <w:pStyle w:val="FootnoteText"/>
      </w:pPr>
      <w:r w:rsidRPr="00D96063">
        <w:rPr>
          <w:rStyle w:val="FootnoteReference"/>
        </w:rPr>
        <w:footnoteRef/>
      </w:r>
      <w:r w:rsidRPr="00D96063">
        <w:t xml:space="preserve"> Registrar</w:t>
      </w:r>
      <w:r w:rsidR="00DF07C6">
        <w:t xml:space="preserve"> </w:t>
      </w:r>
      <w:r w:rsidRPr="00D96063">
        <w:t xml:space="preserve">General's Department, </w:t>
      </w:r>
      <w:r w:rsidRPr="00D96063">
        <w:rPr>
          <w:i/>
          <w:iCs/>
        </w:rPr>
        <w:t>Registration of Professional Body</w:t>
      </w:r>
      <w:r w:rsidRPr="00D96063">
        <w:t xml:space="preserve">. Viewed at: </w:t>
      </w:r>
      <w:hyperlink r:id="rId191" w:history="1">
        <w:r w:rsidRPr="00D96063">
          <w:rPr>
            <w:rStyle w:val="Hyperlink"/>
          </w:rPr>
          <w:t>https://rgd.gov.gh/professional%20Body.html</w:t>
        </w:r>
      </w:hyperlink>
      <w:r w:rsidRPr="007A1409">
        <w:rPr>
          <w:rStyle w:val="Hyperlink"/>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9D52" w14:textId="77777777" w:rsidR="004F6A77" w:rsidRPr="004F6A77" w:rsidRDefault="004F6A77" w:rsidP="004F6A77">
    <w:pPr>
      <w:pStyle w:val="Header"/>
      <w:pBdr>
        <w:bottom w:val="single" w:sz="4" w:space="1" w:color="auto"/>
      </w:pBdr>
      <w:tabs>
        <w:tab w:val="clear" w:pos="4513"/>
        <w:tab w:val="clear" w:pos="9027"/>
      </w:tabs>
      <w:jc w:val="center"/>
    </w:pPr>
    <w:r w:rsidRPr="004F6A77">
      <w:t>WT/TPR/S/427 • Ghana</w:t>
    </w:r>
  </w:p>
  <w:p w14:paraId="55FD4127" w14:textId="77777777" w:rsidR="004F6A77" w:rsidRPr="004F6A77" w:rsidRDefault="004F6A77" w:rsidP="004F6A77">
    <w:pPr>
      <w:pStyle w:val="Header"/>
      <w:pBdr>
        <w:bottom w:val="single" w:sz="4" w:space="1" w:color="auto"/>
      </w:pBdr>
      <w:tabs>
        <w:tab w:val="clear" w:pos="4513"/>
        <w:tab w:val="clear" w:pos="9027"/>
      </w:tabs>
      <w:jc w:val="center"/>
    </w:pPr>
  </w:p>
  <w:p w14:paraId="079FAE8A" w14:textId="3C3846B4" w:rsidR="004F6A77" w:rsidRPr="004F6A77" w:rsidRDefault="004F6A77" w:rsidP="004F6A77">
    <w:pPr>
      <w:pStyle w:val="Header"/>
      <w:pBdr>
        <w:bottom w:val="single" w:sz="4" w:space="1" w:color="auto"/>
      </w:pBdr>
      <w:tabs>
        <w:tab w:val="clear" w:pos="4513"/>
        <w:tab w:val="clear" w:pos="9027"/>
      </w:tabs>
      <w:jc w:val="center"/>
    </w:pPr>
    <w:r w:rsidRPr="004F6A77">
      <w:t xml:space="preserve">- </w:t>
    </w:r>
    <w:r w:rsidRPr="004F6A77">
      <w:fldChar w:fldCharType="begin"/>
    </w:r>
    <w:r w:rsidRPr="004F6A77">
      <w:instrText xml:space="preserve"> PAGE </w:instrText>
    </w:r>
    <w:r w:rsidRPr="004F6A77">
      <w:fldChar w:fldCharType="separate"/>
    </w:r>
    <w:r w:rsidRPr="004F6A77">
      <w:rPr>
        <w:noProof/>
      </w:rPr>
      <w:t>6</w:t>
    </w:r>
    <w:r w:rsidRPr="004F6A77">
      <w:fldChar w:fldCharType="end"/>
    </w:r>
    <w:r w:rsidRPr="004F6A77">
      <w:t xml:space="preserve"> -</w:t>
    </w:r>
  </w:p>
  <w:p w14:paraId="5A03D710" w14:textId="499F8435" w:rsidR="00C15F2E" w:rsidRPr="004F6A77" w:rsidRDefault="00C15F2E" w:rsidP="004F6A77">
    <w:pPr>
      <w:pStyle w:val="Header"/>
      <w:tabs>
        <w:tab w:val="clear" w:pos="4513"/>
        <w:tab w:val="clear" w:pos="9027"/>
      </w:tabs>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2F58" w:rsidRPr="00182B84" w14:paraId="70B7CBF1" w14:textId="77777777" w:rsidTr="008F2512">
      <w:trPr>
        <w:trHeight w:val="240"/>
        <w:jc w:val="center"/>
      </w:trPr>
      <w:tc>
        <w:tcPr>
          <w:tcW w:w="3794" w:type="dxa"/>
          <w:shd w:val="clear" w:color="auto" w:fill="FFFFFF"/>
          <w:tcMar>
            <w:left w:w="108" w:type="dxa"/>
            <w:right w:w="108" w:type="dxa"/>
          </w:tcMar>
          <w:vAlign w:val="center"/>
        </w:tcPr>
        <w:p w14:paraId="66F04197" w14:textId="77777777" w:rsidR="00352F58" w:rsidRPr="00182B84" w:rsidRDefault="00352F58" w:rsidP="00425DC5">
          <w:pPr>
            <w:rPr>
              <w:noProof/>
              <w:lang w:eastAsia="en-GB"/>
            </w:rPr>
          </w:pPr>
        </w:p>
      </w:tc>
      <w:tc>
        <w:tcPr>
          <w:tcW w:w="5448" w:type="dxa"/>
          <w:gridSpan w:val="2"/>
          <w:shd w:val="clear" w:color="auto" w:fill="FFFFFF"/>
          <w:tcMar>
            <w:left w:w="108" w:type="dxa"/>
            <w:right w:w="108" w:type="dxa"/>
          </w:tcMar>
          <w:vAlign w:val="center"/>
        </w:tcPr>
        <w:p w14:paraId="2A1131FF" w14:textId="77777777" w:rsidR="00352F58" w:rsidRPr="00182B84" w:rsidRDefault="00352F58" w:rsidP="00425DC5">
          <w:pPr>
            <w:jc w:val="right"/>
            <w:rPr>
              <w:b/>
              <w:color w:val="FF0000"/>
              <w:szCs w:val="16"/>
            </w:rPr>
          </w:pPr>
        </w:p>
      </w:tc>
    </w:tr>
    <w:tr w:rsidR="00352F58" w:rsidRPr="00182B84" w14:paraId="6E988F88" w14:textId="77777777" w:rsidTr="008F2512">
      <w:trPr>
        <w:trHeight w:val="213"/>
        <w:jc w:val="center"/>
      </w:trPr>
      <w:tc>
        <w:tcPr>
          <w:tcW w:w="3794" w:type="dxa"/>
          <w:vMerge w:val="restart"/>
          <w:shd w:val="clear" w:color="auto" w:fill="FFFFFF"/>
          <w:tcMar>
            <w:left w:w="0" w:type="dxa"/>
            <w:right w:w="0" w:type="dxa"/>
          </w:tcMar>
        </w:tcPr>
        <w:p w14:paraId="5617C141" w14:textId="77777777" w:rsidR="00352F58" w:rsidRPr="00182B84" w:rsidRDefault="00352F58" w:rsidP="00425DC5">
          <w:pPr>
            <w:jc w:val="left"/>
          </w:pPr>
          <w:r w:rsidRPr="00182B84">
            <w:rPr>
              <w:noProof/>
              <w:lang w:val="en-US"/>
            </w:rPr>
            <w:drawing>
              <wp:inline distT="0" distB="0" distL="0" distR="0" wp14:anchorId="6872729B" wp14:editId="09A38199">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5DB93F" w14:textId="77777777" w:rsidR="00352F58" w:rsidRPr="00182B84" w:rsidRDefault="00352F58" w:rsidP="00425DC5">
          <w:pPr>
            <w:jc w:val="right"/>
            <w:rPr>
              <w:b/>
              <w:szCs w:val="16"/>
            </w:rPr>
          </w:pPr>
        </w:p>
      </w:tc>
    </w:tr>
    <w:tr w:rsidR="00352F58" w:rsidRPr="00182B84" w14:paraId="592804F6" w14:textId="77777777" w:rsidTr="008F2512">
      <w:trPr>
        <w:trHeight w:val="868"/>
        <w:jc w:val="center"/>
      </w:trPr>
      <w:tc>
        <w:tcPr>
          <w:tcW w:w="3794" w:type="dxa"/>
          <w:vMerge/>
          <w:shd w:val="clear" w:color="auto" w:fill="FFFFFF"/>
          <w:tcMar>
            <w:left w:w="108" w:type="dxa"/>
            <w:right w:w="108" w:type="dxa"/>
          </w:tcMar>
        </w:tcPr>
        <w:p w14:paraId="6DC758F4" w14:textId="77777777" w:rsidR="00352F58" w:rsidRPr="00182B84" w:rsidRDefault="00352F58" w:rsidP="00425DC5">
          <w:pPr>
            <w:jc w:val="left"/>
            <w:rPr>
              <w:noProof/>
              <w:lang w:eastAsia="en-GB"/>
            </w:rPr>
          </w:pPr>
        </w:p>
      </w:tc>
      <w:tc>
        <w:tcPr>
          <w:tcW w:w="5448" w:type="dxa"/>
          <w:gridSpan w:val="2"/>
          <w:shd w:val="clear" w:color="auto" w:fill="FFFFFF"/>
          <w:tcMar>
            <w:left w:w="108" w:type="dxa"/>
            <w:right w:w="108" w:type="dxa"/>
          </w:tcMar>
        </w:tcPr>
        <w:p w14:paraId="13AC6EEC" w14:textId="77777777" w:rsidR="00352F58" w:rsidRPr="00182B84" w:rsidRDefault="00352F58" w:rsidP="00425DC5">
          <w:pPr>
            <w:jc w:val="right"/>
            <w:rPr>
              <w:b/>
              <w:szCs w:val="16"/>
            </w:rPr>
          </w:pPr>
          <w:r w:rsidRPr="00182B84">
            <w:rPr>
              <w:b/>
              <w:szCs w:val="16"/>
            </w:rPr>
            <w:t>Symbol</w:t>
          </w:r>
        </w:p>
      </w:tc>
    </w:tr>
    <w:tr w:rsidR="00352F58" w:rsidRPr="00182B84" w14:paraId="702829A5" w14:textId="77777777" w:rsidTr="008F2512">
      <w:trPr>
        <w:trHeight w:val="240"/>
        <w:jc w:val="center"/>
      </w:trPr>
      <w:tc>
        <w:tcPr>
          <w:tcW w:w="3794" w:type="dxa"/>
          <w:vMerge/>
          <w:shd w:val="clear" w:color="auto" w:fill="FFFFFF"/>
          <w:tcMar>
            <w:left w:w="108" w:type="dxa"/>
            <w:right w:w="108" w:type="dxa"/>
          </w:tcMar>
          <w:vAlign w:val="center"/>
        </w:tcPr>
        <w:p w14:paraId="6F53382B" w14:textId="77777777" w:rsidR="00352F58" w:rsidRPr="00182B84" w:rsidRDefault="00352F58" w:rsidP="00425DC5"/>
      </w:tc>
      <w:tc>
        <w:tcPr>
          <w:tcW w:w="5448" w:type="dxa"/>
          <w:gridSpan w:val="2"/>
          <w:shd w:val="clear" w:color="auto" w:fill="FFFFFF"/>
          <w:tcMar>
            <w:left w:w="108" w:type="dxa"/>
            <w:right w:w="108" w:type="dxa"/>
          </w:tcMar>
          <w:vAlign w:val="center"/>
        </w:tcPr>
        <w:p w14:paraId="669EAB8D" w14:textId="77777777" w:rsidR="00352F58" w:rsidRPr="00182B84" w:rsidRDefault="00352F58" w:rsidP="00425DC5">
          <w:pPr>
            <w:jc w:val="right"/>
            <w:rPr>
              <w:szCs w:val="16"/>
            </w:rPr>
          </w:pPr>
          <w:r w:rsidRPr="00182B84">
            <w:rPr>
              <w:szCs w:val="16"/>
            </w:rPr>
            <w:t>Date</w:t>
          </w:r>
        </w:p>
      </w:tc>
    </w:tr>
    <w:tr w:rsidR="00352F58" w:rsidRPr="00182B84" w14:paraId="448927D4" w14:textId="77777777" w:rsidTr="008F251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D28E95" w14:textId="77777777" w:rsidR="00352F58" w:rsidRPr="00182B84" w:rsidRDefault="00352F58" w:rsidP="00425DC5">
          <w:pPr>
            <w:jc w:val="left"/>
            <w:rPr>
              <w:b/>
            </w:rPr>
          </w:pPr>
          <w:r w:rsidRPr="00182B84">
            <w:rPr>
              <w:color w:val="FF0000"/>
              <w:szCs w:val="16"/>
            </w:rPr>
            <w:t>(00-0000)</w:t>
          </w:r>
        </w:p>
      </w:tc>
      <w:tc>
        <w:tcPr>
          <w:tcW w:w="3325" w:type="dxa"/>
          <w:tcBorders>
            <w:bottom w:val="single" w:sz="4" w:space="0" w:color="auto"/>
          </w:tcBorders>
          <w:tcMar>
            <w:top w:w="0" w:type="dxa"/>
            <w:left w:w="108" w:type="dxa"/>
            <w:bottom w:w="57" w:type="dxa"/>
            <w:right w:w="108" w:type="dxa"/>
          </w:tcMar>
          <w:vAlign w:val="bottom"/>
        </w:tcPr>
        <w:p w14:paraId="5BB4DCD8" w14:textId="77777777" w:rsidR="00352F58" w:rsidRPr="00182B84" w:rsidRDefault="00352F58"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352F58" w:rsidRPr="00182B84" w14:paraId="0D5862AD" w14:textId="77777777" w:rsidTr="008F251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C9D64B" w14:textId="77777777" w:rsidR="00352F58" w:rsidRPr="00182B84" w:rsidRDefault="00352F58" w:rsidP="00425DC5">
          <w:pPr>
            <w:jc w:val="left"/>
            <w:rPr>
              <w:sz w:val="14"/>
              <w:szCs w:val="16"/>
            </w:rPr>
          </w:pPr>
          <w:r w:rsidRPr="00182B84">
            <w:rPr>
              <w:b/>
            </w:rPr>
            <w:t xml:space="preserve"> </w:t>
          </w:r>
        </w:p>
      </w:tc>
      <w:tc>
        <w:tcPr>
          <w:tcW w:w="3325" w:type="dxa"/>
          <w:tcBorders>
            <w:top w:val="single" w:sz="4" w:space="0" w:color="auto"/>
          </w:tcBorders>
          <w:tcMar>
            <w:top w:w="113" w:type="dxa"/>
            <w:left w:w="108" w:type="dxa"/>
            <w:bottom w:w="57" w:type="dxa"/>
            <w:right w:w="108" w:type="dxa"/>
          </w:tcMar>
          <w:vAlign w:val="center"/>
        </w:tcPr>
        <w:p w14:paraId="462ED2C3" w14:textId="77777777" w:rsidR="00352F58" w:rsidRPr="00182B84" w:rsidRDefault="00352F58" w:rsidP="00425DC5">
          <w:pPr>
            <w:jc w:val="right"/>
            <w:rPr>
              <w:bCs/>
              <w:szCs w:val="18"/>
            </w:rPr>
          </w:pPr>
        </w:p>
      </w:tc>
    </w:tr>
  </w:tbl>
  <w:p w14:paraId="12CE468A" w14:textId="77777777" w:rsidR="00352F58" w:rsidRDefault="00352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60B0" w14:textId="77777777" w:rsidR="004F6A77" w:rsidRPr="004F6A77" w:rsidRDefault="004F6A77" w:rsidP="004F6A77">
    <w:pPr>
      <w:pStyle w:val="Header"/>
      <w:pBdr>
        <w:bottom w:val="single" w:sz="4" w:space="1" w:color="auto"/>
      </w:pBdr>
      <w:tabs>
        <w:tab w:val="clear" w:pos="4513"/>
        <w:tab w:val="clear" w:pos="9027"/>
      </w:tabs>
      <w:jc w:val="center"/>
    </w:pPr>
    <w:r w:rsidRPr="004F6A77">
      <w:t>WT/TPR/S/427 • Ghana</w:t>
    </w:r>
  </w:p>
  <w:p w14:paraId="03B4C969" w14:textId="77777777" w:rsidR="004F6A77" w:rsidRPr="004F6A77" w:rsidRDefault="004F6A77" w:rsidP="004F6A77">
    <w:pPr>
      <w:pStyle w:val="Header"/>
      <w:pBdr>
        <w:bottom w:val="single" w:sz="4" w:space="1" w:color="auto"/>
      </w:pBdr>
      <w:tabs>
        <w:tab w:val="clear" w:pos="4513"/>
        <w:tab w:val="clear" w:pos="9027"/>
      </w:tabs>
      <w:jc w:val="center"/>
    </w:pPr>
  </w:p>
  <w:p w14:paraId="2A709320" w14:textId="7072EB2B" w:rsidR="004F6A77" w:rsidRPr="004F6A77" w:rsidRDefault="004F6A77" w:rsidP="004F6A77">
    <w:pPr>
      <w:pStyle w:val="Header"/>
      <w:pBdr>
        <w:bottom w:val="single" w:sz="4" w:space="1" w:color="auto"/>
      </w:pBdr>
      <w:tabs>
        <w:tab w:val="clear" w:pos="4513"/>
        <w:tab w:val="clear" w:pos="9027"/>
      </w:tabs>
      <w:jc w:val="center"/>
    </w:pPr>
    <w:r w:rsidRPr="004F6A77">
      <w:t xml:space="preserve">- </w:t>
    </w:r>
    <w:r w:rsidRPr="004F6A77">
      <w:fldChar w:fldCharType="begin"/>
    </w:r>
    <w:r w:rsidRPr="004F6A77">
      <w:instrText xml:space="preserve"> PAGE </w:instrText>
    </w:r>
    <w:r w:rsidRPr="004F6A77">
      <w:fldChar w:fldCharType="separate"/>
    </w:r>
    <w:r w:rsidRPr="004F6A77">
      <w:rPr>
        <w:noProof/>
      </w:rPr>
      <w:t>7</w:t>
    </w:r>
    <w:r w:rsidRPr="004F6A77">
      <w:fldChar w:fldCharType="end"/>
    </w:r>
    <w:r w:rsidRPr="004F6A77">
      <w:t xml:space="preserve"> -</w:t>
    </w:r>
  </w:p>
  <w:p w14:paraId="1B4724E3" w14:textId="57170D93" w:rsidR="00C15F2E" w:rsidRPr="004F6A77" w:rsidRDefault="00C15F2E" w:rsidP="004F6A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5F2E" w:rsidRPr="00182B84" w14:paraId="68408905" w14:textId="77777777" w:rsidTr="008F2512">
      <w:trPr>
        <w:trHeight w:val="240"/>
        <w:jc w:val="center"/>
      </w:trPr>
      <w:tc>
        <w:tcPr>
          <w:tcW w:w="3794" w:type="dxa"/>
          <w:shd w:val="clear" w:color="auto" w:fill="FFFFFF"/>
          <w:tcMar>
            <w:left w:w="108" w:type="dxa"/>
            <w:right w:w="108" w:type="dxa"/>
          </w:tcMar>
          <w:vAlign w:val="center"/>
        </w:tcPr>
        <w:p w14:paraId="2B7541DA" w14:textId="77777777" w:rsidR="00C15F2E" w:rsidRPr="00182B84" w:rsidRDefault="00C15F2E" w:rsidP="00425DC5">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14:paraId="4C6C0D21" w14:textId="77777777" w:rsidR="00C15F2E" w:rsidRPr="00182B84" w:rsidRDefault="00C15F2E" w:rsidP="00425DC5">
          <w:pPr>
            <w:jc w:val="right"/>
            <w:rPr>
              <w:b/>
              <w:color w:val="FF0000"/>
              <w:szCs w:val="16"/>
            </w:rPr>
          </w:pPr>
          <w:r>
            <w:rPr>
              <w:b/>
              <w:color w:val="FF0000"/>
              <w:szCs w:val="16"/>
            </w:rPr>
            <w:t>RESTRICTED</w:t>
          </w:r>
        </w:p>
      </w:tc>
    </w:tr>
    <w:bookmarkEnd w:id="2"/>
    <w:tr w:rsidR="00C15F2E" w:rsidRPr="00182B84" w14:paraId="6AA2FF18" w14:textId="77777777" w:rsidTr="008F2512">
      <w:trPr>
        <w:trHeight w:val="213"/>
        <w:jc w:val="center"/>
      </w:trPr>
      <w:tc>
        <w:tcPr>
          <w:tcW w:w="3794" w:type="dxa"/>
          <w:vMerge w:val="restart"/>
          <w:shd w:val="clear" w:color="auto" w:fill="FFFFFF"/>
          <w:tcMar>
            <w:left w:w="0" w:type="dxa"/>
            <w:right w:w="0" w:type="dxa"/>
          </w:tcMar>
        </w:tcPr>
        <w:p w14:paraId="0ED58373" w14:textId="77777777" w:rsidR="00C15F2E" w:rsidRPr="00182B84" w:rsidRDefault="00C15F2E" w:rsidP="00425DC5">
          <w:pPr>
            <w:jc w:val="left"/>
          </w:pPr>
          <w:r w:rsidRPr="00182B84">
            <w:rPr>
              <w:noProof/>
              <w:lang w:val="en-US"/>
            </w:rPr>
            <w:drawing>
              <wp:inline distT="0" distB="0" distL="0" distR="0" wp14:anchorId="5ED7FF66" wp14:editId="1F6DD63B">
                <wp:extent cx="2398395" cy="716280"/>
                <wp:effectExtent l="0" t="0" r="1905" b="762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208535" w14:textId="77777777" w:rsidR="00C15F2E" w:rsidRPr="00182B84" w:rsidRDefault="00C15F2E" w:rsidP="00425DC5">
          <w:pPr>
            <w:jc w:val="right"/>
            <w:rPr>
              <w:b/>
              <w:szCs w:val="16"/>
            </w:rPr>
          </w:pPr>
        </w:p>
      </w:tc>
    </w:tr>
    <w:tr w:rsidR="00C15F2E" w:rsidRPr="00182B84" w14:paraId="24BA499A" w14:textId="77777777" w:rsidTr="008F2512">
      <w:trPr>
        <w:trHeight w:val="868"/>
        <w:jc w:val="center"/>
      </w:trPr>
      <w:tc>
        <w:tcPr>
          <w:tcW w:w="3794" w:type="dxa"/>
          <w:vMerge/>
          <w:shd w:val="clear" w:color="auto" w:fill="FFFFFF"/>
          <w:tcMar>
            <w:left w:w="108" w:type="dxa"/>
            <w:right w:w="108" w:type="dxa"/>
          </w:tcMar>
        </w:tcPr>
        <w:p w14:paraId="0A212871" w14:textId="77777777" w:rsidR="00C15F2E" w:rsidRPr="00182B84" w:rsidRDefault="00C15F2E" w:rsidP="00425DC5">
          <w:pPr>
            <w:jc w:val="left"/>
            <w:rPr>
              <w:noProof/>
              <w:lang w:eastAsia="en-GB"/>
            </w:rPr>
          </w:pPr>
        </w:p>
      </w:tc>
      <w:tc>
        <w:tcPr>
          <w:tcW w:w="5448" w:type="dxa"/>
          <w:gridSpan w:val="2"/>
          <w:shd w:val="clear" w:color="auto" w:fill="FFFFFF"/>
          <w:tcMar>
            <w:left w:w="108" w:type="dxa"/>
            <w:right w:w="108" w:type="dxa"/>
          </w:tcMar>
        </w:tcPr>
        <w:p w14:paraId="35194008" w14:textId="77777777" w:rsidR="00C15F2E" w:rsidRPr="00182B84" w:rsidRDefault="00C15F2E" w:rsidP="00425DC5">
          <w:pPr>
            <w:jc w:val="right"/>
            <w:rPr>
              <w:b/>
              <w:szCs w:val="16"/>
            </w:rPr>
          </w:pPr>
          <w:bookmarkStart w:id="3" w:name="bmkSymbols"/>
          <w:r>
            <w:rPr>
              <w:b/>
              <w:szCs w:val="16"/>
            </w:rPr>
            <w:t>WT/TPR/S/</w:t>
          </w:r>
          <w:bookmarkEnd w:id="3"/>
          <w:r>
            <w:rPr>
              <w:b/>
              <w:szCs w:val="16"/>
            </w:rPr>
            <w:t>427</w:t>
          </w:r>
        </w:p>
      </w:tc>
    </w:tr>
    <w:tr w:rsidR="00C15F2E" w:rsidRPr="00182B84" w14:paraId="44ADCAD1" w14:textId="77777777" w:rsidTr="008F2512">
      <w:trPr>
        <w:trHeight w:val="240"/>
        <w:jc w:val="center"/>
      </w:trPr>
      <w:tc>
        <w:tcPr>
          <w:tcW w:w="3794" w:type="dxa"/>
          <w:vMerge/>
          <w:shd w:val="clear" w:color="auto" w:fill="FFFFFF"/>
          <w:tcMar>
            <w:left w:w="108" w:type="dxa"/>
            <w:right w:w="108" w:type="dxa"/>
          </w:tcMar>
          <w:vAlign w:val="center"/>
        </w:tcPr>
        <w:p w14:paraId="19A6527E" w14:textId="77777777" w:rsidR="00C15F2E" w:rsidRPr="00182B84" w:rsidRDefault="00C15F2E" w:rsidP="00425DC5"/>
      </w:tc>
      <w:tc>
        <w:tcPr>
          <w:tcW w:w="5448" w:type="dxa"/>
          <w:gridSpan w:val="2"/>
          <w:shd w:val="clear" w:color="auto" w:fill="FFFFFF"/>
          <w:tcMar>
            <w:left w:w="108" w:type="dxa"/>
            <w:right w:w="108" w:type="dxa"/>
          </w:tcMar>
          <w:vAlign w:val="center"/>
        </w:tcPr>
        <w:p w14:paraId="1CB7726F" w14:textId="77777777" w:rsidR="00C15F2E" w:rsidRPr="00182B84" w:rsidRDefault="00C15F2E" w:rsidP="00425DC5">
          <w:pPr>
            <w:jc w:val="right"/>
            <w:rPr>
              <w:szCs w:val="16"/>
            </w:rPr>
          </w:pPr>
          <w:r>
            <w:rPr>
              <w:szCs w:val="16"/>
            </w:rPr>
            <w:t>17 May 2022</w:t>
          </w:r>
        </w:p>
      </w:tc>
    </w:tr>
    <w:tr w:rsidR="00C15F2E" w:rsidRPr="00182B84" w14:paraId="0233306A" w14:textId="77777777" w:rsidTr="008F251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4A7A22" w14:textId="2432407A" w:rsidR="00C15F2E" w:rsidRPr="00182B84" w:rsidRDefault="00C15F2E" w:rsidP="00425DC5">
          <w:pPr>
            <w:jc w:val="left"/>
            <w:rPr>
              <w:b/>
            </w:rPr>
          </w:pPr>
          <w:bookmarkStart w:id="4" w:name="bmkSerial" w:colFirst="0" w:colLast="0"/>
          <w:r w:rsidRPr="00182B84">
            <w:rPr>
              <w:color w:val="FF0000"/>
              <w:szCs w:val="16"/>
            </w:rPr>
            <w:t>(</w:t>
          </w:r>
          <w:r w:rsidR="00DA47B4">
            <w:rPr>
              <w:color w:val="FF0000"/>
              <w:szCs w:val="16"/>
            </w:rPr>
            <w:t>22</w:t>
          </w:r>
          <w:r w:rsidRPr="00182B84">
            <w:rPr>
              <w:color w:val="FF0000"/>
              <w:szCs w:val="16"/>
            </w:rPr>
            <w:t>-</w:t>
          </w:r>
          <w:r w:rsidR="00DA47B4">
            <w:rPr>
              <w:color w:val="FF0000"/>
              <w:szCs w:val="16"/>
            </w:rPr>
            <w:t>3768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63C4BC1" w14:textId="77777777" w:rsidR="00C15F2E" w:rsidRPr="00182B84" w:rsidRDefault="00C15F2E" w:rsidP="00425DC5">
          <w:pPr>
            <w:jc w:val="right"/>
            <w:rPr>
              <w:szCs w:val="16"/>
            </w:rPr>
          </w:pPr>
          <w:bookmarkStart w:id="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5"/>
        </w:p>
      </w:tc>
    </w:tr>
    <w:tr w:rsidR="00C15F2E" w:rsidRPr="00182B84" w14:paraId="29532ADC" w14:textId="77777777" w:rsidTr="008F251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D50B62" w14:textId="77777777" w:rsidR="00C15F2E" w:rsidRPr="00182B84" w:rsidRDefault="00C15F2E" w:rsidP="00425DC5">
          <w:pPr>
            <w:jc w:val="left"/>
            <w:rPr>
              <w:sz w:val="14"/>
              <w:szCs w:val="16"/>
            </w:rPr>
          </w:pPr>
          <w:bookmarkStart w:id="6" w:name="bmkCommittee"/>
          <w:bookmarkEnd w:id="4"/>
          <w:r>
            <w:rPr>
              <w:b/>
            </w:rPr>
            <w:t>Trade Policy Review Body</w:t>
          </w:r>
          <w:bookmarkEnd w:id="6"/>
        </w:p>
      </w:tc>
      <w:tc>
        <w:tcPr>
          <w:tcW w:w="3325" w:type="dxa"/>
          <w:tcBorders>
            <w:top w:val="single" w:sz="4" w:space="0" w:color="auto"/>
          </w:tcBorders>
          <w:tcMar>
            <w:top w:w="113" w:type="dxa"/>
            <w:left w:w="108" w:type="dxa"/>
            <w:bottom w:w="57" w:type="dxa"/>
            <w:right w:w="108" w:type="dxa"/>
          </w:tcMar>
          <w:vAlign w:val="center"/>
        </w:tcPr>
        <w:p w14:paraId="08225CEA" w14:textId="77777777" w:rsidR="00C15F2E" w:rsidRPr="00182B84" w:rsidRDefault="00C15F2E" w:rsidP="00425DC5">
          <w:pPr>
            <w:jc w:val="right"/>
            <w:rPr>
              <w:bCs/>
              <w:szCs w:val="18"/>
            </w:rPr>
          </w:pPr>
        </w:p>
      </w:tc>
    </w:tr>
  </w:tbl>
  <w:p w14:paraId="76A006ED" w14:textId="77777777" w:rsidR="00C15F2E" w:rsidRDefault="00C15F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5F2E" w:rsidRPr="00182B84" w14:paraId="2AD08A27" w14:textId="77777777" w:rsidTr="008F2512">
      <w:trPr>
        <w:trHeight w:val="240"/>
        <w:jc w:val="center"/>
      </w:trPr>
      <w:tc>
        <w:tcPr>
          <w:tcW w:w="3794" w:type="dxa"/>
          <w:shd w:val="clear" w:color="auto" w:fill="FFFFFF"/>
          <w:tcMar>
            <w:left w:w="108" w:type="dxa"/>
            <w:right w:w="108" w:type="dxa"/>
          </w:tcMar>
          <w:vAlign w:val="center"/>
        </w:tcPr>
        <w:p w14:paraId="266A665A" w14:textId="77777777" w:rsidR="00C15F2E" w:rsidRPr="00182B84" w:rsidRDefault="00C15F2E" w:rsidP="00425DC5">
          <w:pPr>
            <w:rPr>
              <w:noProof/>
              <w:lang w:eastAsia="en-GB"/>
            </w:rPr>
          </w:pPr>
        </w:p>
      </w:tc>
      <w:tc>
        <w:tcPr>
          <w:tcW w:w="5448" w:type="dxa"/>
          <w:gridSpan w:val="2"/>
          <w:shd w:val="clear" w:color="auto" w:fill="FFFFFF"/>
          <w:tcMar>
            <w:left w:w="108" w:type="dxa"/>
            <w:right w:w="108" w:type="dxa"/>
          </w:tcMar>
          <w:vAlign w:val="center"/>
        </w:tcPr>
        <w:p w14:paraId="5AE553E6" w14:textId="77777777" w:rsidR="00C15F2E" w:rsidRPr="00182B84" w:rsidRDefault="00C15F2E" w:rsidP="00425DC5">
          <w:pPr>
            <w:jc w:val="right"/>
            <w:rPr>
              <w:b/>
              <w:color w:val="FF0000"/>
              <w:szCs w:val="16"/>
            </w:rPr>
          </w:pPr>
        </w:p>
      </w:tc>
    </w:tr>
    <w:tr w:rsidR="00C15F2E" w:rsidRPr="00182B84" w14:paraId="0F33BDA2" w14:textId="77777777" w:rsidTr="008F2512">
      <w:trPr>
        <w:trHeight w:val="213"/>
        <w:jc w:val="center"/>
      </w:trPr>
      <w:tc>
        <w:tcPr>
          <w:tcW w:w="3794" w:type="dxa"/>
          <w:vMerge w:val="restart"/>
          <w:shd w:val="clear" w:color="auto" w:fill="FFFFFF"/>
          <w:tcMar>
            <w:left w:w="0" w:type="dxa"/>
            <w:right w:w="0" w:type="dxa"/>
          </w:tcMar>
        </w:tcPr>
        <w:p w14:paraId="1D50CDB7" w14:textId="77777777" w:rsidR="00C15F2E" w:rsidRPr="00182B84" w:rsidRDefault="00C15F2E" w:rsidP="00425DC5">
          <w:pPr>
            <w:jc w:val="left"/>
          </w:pPr>
          <w:r w:rsidRPr="00182B84">
            <w:rPr>
              <w:noProof/>
              <w:lang w:val="en-US"/>
            </w:rPr>
            <w:drawing>
              <wp:inline distT="0" distB="0" distL="0" distR="0" wp14:anchorId="53C057AB" wp14:editId="14F02AD8">
                <wp:extent cx="2398395" cy="716280"/>
                <wp:effectExtent l="0" t="0" r="1905" b="7620"/>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F0AD43" w14:textId="77777777" w:rsidR="00C15F2E" w:rsidRPr="00182B84" w:rsidRDefault="00C15F2E" w:rsidP="00425DC5">
          <w:pPr>
            <w:jc w:val="right"/>
            <w:rPr>
              <w:b/>
              <w:szCs w:val="16"/>
            </w:rPr>
          </w:pPr>
        </w:p>
      </w:tc>
    </w:tr>
    <w:tr w:rsidR="00C15F2E" w:rsidRPr="00182B84" w14:paraId="36AFBEB7" w14:textId="77777777" w:rsidTr="008F2512">
      <w:trPr>
        <w:trHeight w:val="868"/>
        <w:jc w:val="center"/>
      </w:trPr>
      <w:tc>
        <w:tcPr>
          <w:tcW w:w="3794" w:type="dxa"/>
          <w:vMerge/>
          <w:shd w:val="clear" w:color="auto" w:fill="FFFFFF"/>
          <w:tcMar>
            <w:left w:w="108" w:type="dxa"/>
            <w:right w:w="108" w:type="dxa"/>
          </w:tcMar>
        </w:tcPr>
        <w:p w14:paraId="4EFE9E9B" w14:textId="77777777" w:rsidR="00C15F2E" w:rsidRPr="00182B84" w:rsidRDefault="00C15F2E" w:rsidP="00425DC5">
          <w:pPr>
            <w:jc w:val="left"/>
            <w:rPr>
              <w:noProof/>
              <w:lang w:eastAsia="en-GB"/>
            </w:rPr>
          </w:pPr>
        </w:p>
      </w:tc>
      <w:tc>
        <w:tcPr>
          <w:tcW w:w="5448" w:type="dxa"/>
          <w:gridSpan w:val="2"/>
          <w:shd w:val="clear" w:color="auto" w:fill="FFFFFF"/>
          <w:tcMar>
            <w:left w:w="108" w:type="dxa"/>
            <w:right w:w="108" w:type="dxa"/>
          </w:tcMar>
        </w:tcPr>
        <w:p w14:paraId="19178756" w14:textId="77777777" w:rsidR="00C15F2E" w:rsidRPr="00182B84" w:rsidRDefault="00C15F2E" w:rsidP="00425DC5">
          <w:pPr>
            <w:jc w:val="right"/>
            <w:rPr>
              <w:b/>
              <w:szCs w:val="16"/>
            </w:rPr>
          </w:pPr>
          <w:r w:rsidRPr="00182B84">
            <w:rPr>
              <w:b/>
              <w:szCs w:val="16"/>
            </w:rPr>
            <w:t>Symbol</w:t>
          </w:r>
        </w:p>
      </w:tc>
    </w:tr>
    <w:tr w:rsidR="00C15F2E" w:rsidRPr="00182B84" w14:paraId="04F862AB" w14:textId="77777777" w:rsidTr="008F2512">
      <w:trPr>
        <w:trHeight w:val="240"/>
        <w:jc w:val="center"/>
      </w:trPr>
      <w:tc>
        <w:tcPr>
          <w:tcW w:w="3794" w:type="dxa"/>
          <w:vMerge/>
          <w:shd w:val="clear" w:color="auto" w:fill="FFFFFF"/>
          <w:tcMar>
            <w:left w:w="108" w:type="dxa"/>
            <w:right w:w="108" w:type="dxa"/>
          </w:tcMar>
          <w:vAlign w:val="center"/>
        </w:tcPr>
        <w:p w14:paraId="0F344F78" w14:textId="77777777" w:rsidR="00C15F2E" w:rsidRPr="00182B84" w:rsidRDefault="00C15F2E" w:rsidP="00425DC5"/>
      </w:tc>
      <w:tc>
        <w:tcPr>
          <w:tcW w:w="5448" w:type="dxa"/>
          <w:gridSpan w:val="2"/>
          <w:shd w:val="clear" w:color="auto" w:fill="FFFFFF"/>
          <w:tcMar>
            <w:left w:w="108" w:type="dxa"/>
            <w:right w:w="108" w:type="dxa"/>
          </w:tcMar>
          <w:vAlign w:val="center"/>
        </w:tcPr>
        <w:p w14:paraId="64D97207" w14:textId="77777777" w:rsidR="00C15F2E" w:rsidRPr="00182B84" w:rsidRDefault="00C15F2E" w:rsidP="00425DC5">
          <w:pPr>
            <w:jc w:val="right"/>
            <w:rPr>
              <w:szCs w:val="16"/>
            </w:rPr>
          </w:pPr>
          <w:r w:rsidRPr="00182B84">
            <w:rPr>
              <w:szCs w:val="16"/>
            </w:rPr>
            <w:t>Date</w:t>
          </w:r>
        </w:p>
      </w:tc>
    </w:tr>
    <w:tr w:rsidR="00C15F2E" w:rsidRPr="00182B84" w14:paraId="6B55CEFD" w14:textId="77777777" w:rsidTr="008F251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EDF1B8" w14:textId="77777777" w:rsidR="00C15F2E" w:rsidRPr="00182B84" w:rsidRDefault="00C15F2E" w:rsidP="00425DC5">
          <w:pPr>
            <w:jc w:val="left"/>
            <w:rPr>
              <w:b/>
            </w:rPr>
          </w:pPr>
          <w:r w:rsidRPr="00182B84">
            <w:rPr>
              <w:color w:val="FF0000"/>
              <w:szCs w:val="16"/>
            </w:rPr>
            <w:t>(00-0000)</w:t>
          </w:r>
        </w:p>
      </w:tc>
      <w:tc>
        <w:tcPr>
          <w:tcW w:w="3325" w:type="dxa"/>
          <w:tcBorders>
            <w:bottom w:val="single" w:sz="4" w:space="0" w:color="auto"/>
          </w:tcBorders>
          <w:tcMar>
            <w:top w:w="0" w:type="dxa"/>
            <w:left w:w="108" w:type="dxa"/>
            <w:bottom w:w="57" w:type="dxa"/>
            <w:right w:w="108" w:type="dxa"/>
          </w:tcMar>
          <w:vAlign w:val="bottom"/>
        </w:tcPr>
        <w:p w14:paraId="0E5EF125" w14:textId="77777777" w:rsidR="00C15F2E" w:rsidRPr="00182B84" w:rsidRDefault="00C15F2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C15F2E" w:rsidRPr="00182B84" w14:paraId="14168761" w14:textId="77777777" w:rsidTr="008F251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F2A2BD" w14:textId="77777777" w:rsidR="00C15F2E" w:rsidRPr="00182B84" w:rsidRDefault="00C15F2E" w:rsidP="00425DC5">
          <w:pPr>
            <w:jc w:val="left"/>
            <w:rPr>
              <w:sz w:val="14"/>
              <w:szCs w:val="16"/>
            </w:rPr>
          </w:pPr>
          <w:r w:rsidRPr="00182B84">
            <w:rPr>
              <w:b/>
            </w:rPr>
            <w:t xml:space="preserve"> </w:t>
          </w:r>
        </w:p>
      </w:tc>
      <w:tc>
        <w:tcPr>
          <w:tcW w:w="3325" w:type="dxa"/>
          <w:tcBorders>
            <w:top w:val="single" w:sz="4" w:space="0" w:color="auto"/>
          </w:tcBorders>
          <w:tcMar>
            <w:top w:w="113" w:type="dxa"/>
            <w:left w:w="108" w:type="dxa"/>
            <w:bottom w:w="57" w:type="dxa"/>
            <w:right w:w="108" w:type="dxa"/>
          </w:tcMar>
          <w:vAlign w:val="center"/>
        </w:tcPr>
        <w:p w14:paraId="585A1CFA" w14:textId="77777777" w:rsidR="00C15F2E" w:rsidRPr="00182B84" w:rsidRDefault="00C15F2E" w:rsidP="00425DC5">
          <w:pPr>
            <w:jc w:val="right"/>
            <w:rPr>
              <w:bCs/>
              <w:szCs w:val="18"/>
            </w:rPr>
          </w:pPr>
        </w:p>
      </w:tc>
    </w:tr>
  </w:tbl>
  <w:p w14:paraId="3F543E93" w14:textId="77777777" w:rsidR="00C15F2E" w:rsidRDefault="00C15F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5F2E" w:rsidRPr="00182B84" w14:paraId="5CDF4671" w14:textId="77777777" w:rsidTr="008F2512">
      <w:trPr>
        <w:trHeight w:val="240"/>
        <w:jc w:val="center"/>
      </w:trPr>
      <w:tc>
        <w:tcPr>
          <w:tcW w:w="3794" w:type="dxa"/>
          <w:shd w:val="clear" w:color="auto" w:fill="FFFFFF"/>
          <w:tcMar>
            <w:left w:w="108" w:type="dxa"/>
            <w:right w:w="108" w:type="dxa"/>
          </w:tcMar>
          <w:vAlign w:val="center"/>
        </w:tcPr>
        <w:p w14:paraId="390661A4" w14:textId="77777777" w:rsidR="00C15F2E" w:rsidRPr="00182B84" w:rsidRDefault="00C15F2E" w:rsidP="00425DC5">
          <w:pPr>
            <w:rPr>
              <w:noProof/>
              <w:lang w:eastAsia="en-GB"/>
            </w:rPr>
          </w:pPr>
        </w:p>
      </w:tc>
      <w:tc>
        <w:tcPr>
          <w:tcW w:w="5448" w:type="dxa"/>
          <w:gridSpan w:val="2"/>
          <w:shd w:val="clear" w:color="auto" w:fill="FFFFFF"/>
          <w:tcMar>
            <w:left w:w="108" w:type="dxa"/>
            <w:right w:w="108" w:type="dxa"/>
          </w:tcMar>
          <w:vAlign w:val="center"/>
        </w:tcPr>
        <w:p w14:paraId="44DC9224" w14:textId="77777777" w:rsidR="00C15F2E" w:rsidRPr="00182B84" w:rsidRDefault="00C15F2E" w:rsidP="00425DC5">
          <w:pPr>
            <w:jc w:val="right"/>
            <w:rPr>
              <w:b/>
              <w:color w:val="FF0000"/>
              <w:szCs w:val="16"/>
            </w:rPr>
          </w:pPr>
        </w:p>
      </w:tc>
    </w:tr>
    <w:tr w:rsidR="00C15F2E" w:rsidRPr="00182B84" w14:paraId="485BE980" w14:textId="77777777" w:rsidTr="008F2512">
      <w:trPr>
        <w:trHeight w:val="213"/>
        <w:jc w:val="center"/>
      </w:trPr>
      <w:tc>
        <w:tcPr>
          <w:tcW w:w="3794" w:type="dxa"/>
          <w:vMerge w:val="restart"/>
          <w:shd w:val="clear" w:color="auto" w:fill="FFFFFF"/>
          <w:tcMar>
            <w:left w:w="0" w:type="dxa"/>
            <w:right w:w="0" w:type="dxa"/>
          </w:tcMar>
        </w:tcPr>
        <w:p w14:paraId="7C9E554F" w14:textId="77777777" w:rsidR="00C15F2E" w:rsidRPr="00182B84" w:rsidRDefault="00C15F2E" w:rsidP="00425DC5">
          <w:pPr>
            <w:jc w:val="left"/>
          </w:pPr>
          <w:r w:rsidRPr="00182B84">
            <w:rPr>
              <w:noProof/>
              <w:lang w:val="en-US"/>
            </w:rPr>
            <w:drawing>
              <wp:inline distT="0" distB="0" distL="0" distR="0" wp14:anchorId="5CA84D46" wp14:editId="3FA96819">
                <wp:extent cx="2398395" cy="716280"/>
                <wp:effectExtent l="0" t="0" r="1905"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3BA5FE" w14:textId="77777777" w:rsidR="00C15F2E" w:rsidRPr="00182B84" w:rsidRDefault="00C15F2E" w:rsidP="00425DC5">
          <w:pPr>
            <w:jc w:val="right"/>
            <w:rPr>
              <w:b/>
              <w:szCs w:val="16"/>
            </w:rPr>
          </w:pPr>
        </w:p>
      </w:tc>
    </w:tr>
    <w:tr w:rsidR="00C15F2E" w:rsidRPr="00182B84" w14:paraId="714A5218" w14:textId="77777777" w:rsidTr="008F2512">
      <w:trPr>
        <w:trHeight w:val="868"/>
        <w:jc w:val="center"/>
      </w:trPr>
      <w:tc>
        <w:tcPr>
          <w:tcW w:w="3794" w:type="dxa"/>
          <w:vMerge/>
          <w:shd w:val="clear" w:color="auto" w:fill="FFFFFF"/>
          <w:tcMar>
            <w:left w:w="108" w:type="dxa"/>
            <w:right w:w="108" w:type="dxa"/>
          </w:tcMar>
        </w:tcPr>
        <w:p w14:paraId="0919A061" w14:textId="77777777" w:rsidR="00C15F2E" w:rsidRPr="00182B84" w:rsidRDefault="00C15F2E" w:rsidP="00425DC5">
          <w:pPr>
            <w:jc w:val="left"/>
            <w:rPr>
              <w:noProof/>
              <w:lang w:eastAsia="en-GB"/>
            </w:rPr>
          </w:pPr>
        </w:p>
      </w:tc>
      <w:tc>
        <w:tcPr>
          <w:tcW w:w="5448" w:type="dxa"/>
          <w:gridSpan w:val="2"/>
          <w:shd w:val="clear" w:color="auto" w:fill="FFFFFF"/>
          <w:tcMar>
            <w:left w:w="108" w:type="dxa"/>
            <w:right w:w="108" w:type="dxa"/>
          </w:tcMar>
        </w:tcPr>
        <w:p w14:paraId="372A6AA7" w14:textId="77777777" w:rsidR="00C15F2E" w:rsidRPr="00182B84" w:rsidRDefault="00C15F2E" w:rsidP="00425DC5">
          <w:pPr>
            <w:jc w:val="right"/>
            <w:rPr>
              <w:b/>
              <w:szCs w:val="16"/>
            </w:rPr>
          </w:pPr>
          <w:r w:rsidRPr="00182B84">
            <w:rPr>
              <w:b/>
              <w:szCs w:val="16"/>
            </w:rPr>
            <w:t>Symbol</w:t>
          </w:r>
        </w:p>
      </w:tc>
    </w:tr>
    <w:tr w:rsidR="00C15F2E" w:rsidRPr="00182B84" w14:paraId="2076FB9B" w14:textId="77777777" w:rsidTr="008F2512">
      <w:trPr>
        <w:trHeight w:val="240"/>
        <w:jc w:val="center"/>
      </w:trPr>
      <w:tc>
        <w:tcPr>
          <w:tcW w:w="3794" w:type="dxa"/>
          <w:vMerge/>
          <w:shd w:val="clear" w:color="auto" w:fill="FFFFFF"/>
          <w:tcMar>
            <w:left w:w="108" w:type="dxa"/>
            <w:right w:w="108" w:type="dxa"/>
          </w:tcMar>
          <w:vAlign w:val="center"/>
        </w:tcPr>
        <w:p w14:paraId="4B3C6338" w14:textId="77777777" w:rsidR="00C15F2E" w:rsidRPr="00182B84" w:rsidRDefault="00C15F2E" w:rsidP="00425DC5"/>
      </w:tc>
      <w:tc>
        <w:tcPr>
          <w:tcW w:w="5448" w:type="dxa"/>
          <w:gridSpan w:val="2"/>
          <w:shd w:val="clear" w:color="auto" w:fill="FFFFFF"/>
          <w:tcMar>
            <w:left w:w="108" w:type="dxa"/>
            <w:right w:w="108" w:type="dxa"/>
          </w:tcMar>
          <w:vAlign w:val="center"/>
        </w:tcPr>
        <w:p w14:paraId="66B748F6" w14:textId="77777777" w:rsidR="00C15F2E" w:rsidRPr="00182B84" w:rsidRDefault="00C15F2E" w:rsidP="00425DC5">
          <w:pPr>
            <w:jc w:val="right"/>
            <w:rPr>
              <w:szCs w:val="16"/>
            </w:rPr>
          </w:pPr>
          <w:bookmarkStart w:id="35" w:name="bmkDate"/>
          <w:r w:rsidRPr="00182B84">
            <w:rPr>
              <w:szCs w:val="16"/>
            </w:rPr>
            <w:t>Date</w:t>
          </w:r>
          <w:bookmarkEnd w:id="35"/>
        </w:p>
      </w:tc>
    </w:tr>
    <w:tr w:rsidR="00C15F2E" w:rsidRPr="00182B84" w14:paraId="2D8ABC7C" w14:textId="77777777" w:rsidTr="008F251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9F34EA" w14:textId="77777777" w:rsidR="00C15F2E" w:rsidRPr="00182B84" w:rsidRDefault="00C15F2E" w:rsidP="00425DC5">
          <w:pPr>
            <w:jc w:val="left"/>
            <w:rPr>
              <w:b/>
            </w:rPr>
          </w:pPr>
          <w:r w:rsidRPr="00182B84">
            <w:rPr>
              <w:color w:val="FF0000"/>
              <w:szCs w:val="16"/>
            </w:rPr>
            <w:t>(00-0000)</w:t>
          </w:r>
        </w:p>
      </w:tc>
      <w:tc>
        <w:tcPr>
          <w:tcW w:w="3325" w:type="dxa"/>
          <w:tcBorders>
            <w:bottom w:val="single" w:sz="4" w:space="0" w:color="auto"/>
          </w:tcBorders>
          <w:tcMar>
            <w:top w:w="0" w:type="dxa"/>
            <w:left w:w="108" w:type="dxa"/>
            <w:bottom w:w="57" w:type="dxa"/>
            <w:right w:w="108" w:type="dxa"/>
          </w:tcMar>
          <w:vAlign w:val="bottom"/>
        </w:tcPr>
        <w:p w14:paraId="69BDB30C" w14:textId="77777777" w:rsidR="00C15F2E" w:rsidRPr="00182B84" w:rsidRDefault="00C15F2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C15F2E" w:rsidRPr="00182B84" w14:paraId="570B5EF6" w14:textId="77777777" w:rsidTr="008F251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6DB4D1" w14:textId="77777777" w:rsidR="00C15F2E" w:rsidRPr="00182B84" w:rsidRDefault="00C15F2E" w:rsidP="00425DC5">
          <w:pPr>
            <w:jc w:val="left"/>
            <w:rPr>
              <w:sz w:val="14"/>
              <w:szCs w:val="16"/>
            </w:rPr>
          </w:pPr>
          <w:r w:rsidRPr="00182B84">
            <w:rPr>
              <w:b/>
            </w:rPr>
            <w:t xml:space="preserve"> </w:t>
          </w:r>
        </w:p>
      </w:tc>
      <w:tc>
        <w:tcPr>
          <w:tcW w:w="3325" w:type="dxa"/>
          <w:tcBorders>
            <w:top w:val="single" w:sz="4" w:space="0" w:color="auto"/>
          </w:tcBorders>
          <w:tcMar>
            <w:top w:w="113" w:type="dxa"/>
            <w:left w:w="108" w:type="dxa"/>
            <w:bottom w:w="57" w:type="dxa"/>
            <w:right w:w="108" w:type="dxa"/>
          </w:tcMar>
          <w:vAlign w:val="center"/>
        </w:tcPr>
        <w:p w14:paraId="11BE929D" w14:textId="77777777" w:rsidR="00C15F2E" w:rsidRPr="00182B84" w:rsidRDefault="00C15F2E" w:rsidP="00425DC5">
          <w:pPr>
            <w:jc w:val="right"/>
            <w:rPr>
              <w:bCs/>
              <w:szCs w:val="18"/>
            </w:rPr>
          </w:pPr>
        </w:p>
      </w:tc>
    </w:tr>
  </w:tbl>
  <w:p w14:paraId="6A46D99B" w14:textId="77777777" w:rsidR="00C15F2E" w:rsidRDefault="00C15F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5F2E" w:rsidRPr="00182B84" w14:paraId="1B0883BD" w14:textId="77777777" w:rsidTr="008F2512">
      <w:trPr>
        <w:trHeight w:val="240"/>
        <w:jc w:val="center"/>
      </w:trPr>
      <w:tc>
        <w:tcPr>
          <w:tcW w:w="3794" w:type="dxa"/>
          <w:shd w:val="clear" w:color="auto" w:fill="FFFFFF"/>
          <w:tcMar>
            <w:left w:w="108" w:type="dxa"/>
            <w:right w:w="108" w:type="dxa"/>
          </w:tcMar>
          <w:vAlign w:val="center"/>
        </w:tcPr>
        <w:p w14:paraId="43C012D8" w14:textId="77777777" w:rsidR="00C15F2E" w:rsidRPr="00182B84" w:rsidRDefault="00C15F2E" w:rsidP="00425DC5">
          <w:pPr>
            <w:rPr>
              <w:noProof/>
              <w:lang w:eastAsia="en-GB"/>
            </w:rPr>
          </w:pPr>
        </w:p>
      </w:tc>
      <w:tc>
        <w:tcPr>
          <w:tcW w:w="5448" w:type="dxa"/>
          <w:gridSpan w:val="2"/>
          <w:shd w:val="clear" w:color="auto" w:fill="FFFFFF"/>
          <w:tcMar>
            <w:left w:w="108" w:type="dxa"/>
            <w:right w:w="108" w:type="dxa"/>
          </w:tcMar>
          <w:vAlign w:val="center"/>
        </w:tcPr>
        <w:p w14:paraId="3A9FAEFA" w14:textId="77777777" w:rsidR="00C15F2E" w:rsidRPr="00182B84" w:rsidRDefault="00C15F2E" w:rsidP="00425DC5">
          <w:pPr>
            <w:jc w:val="right"/>
            <w:rPr>
              <w:b/>
              <w:color w:val="FF0000"/>
              <w:szCs w:val="16"/>
            </w:rPr>
          </w:pPr>
        </w:p>
      </w:tc>
    </w:tr>
    <w:tr w:rsidR="00C15F2E" w:rsidRPr="00182B84" w14:paraId="6F36ACFE" w14:textId="77777777" w:rsidTr="008F2512">
      <w:trPr>
        <w:trHeight w:val="213"/>
        <w:jc w:val="center"/>
      </w:trPr>
      <w:tc>
        <w:tcPr>
          <w:tcW w:w="3794" w:type="dxa"/>
          <w:vMerge w:val="restart"/>
          <w:shd w:val="clear" w:color="auto" w:fill="FFFFFF"/>
          <w:tcMar>
            <w:left w:w="0" w:type="dxa"/>
            <w:right w:w="0" w:type="dxa"/>
          </w:tcMar>
        </w:tcPr>
        <w:p w14:paraId="30B2B81D" w14:textId="77777777" w:rsidR="00C15F2E" w:rsidRPr="00182B84" w:rsidRDefault="00C15F2E" w:rsidP="00425DC5">
          <w:pPr>
            <w:jc w:val="left"/>
          </w:pPr>
          <w:r w:rsidRPr="00182B84">
            <w:rPr>
              <w:noProof/>
              <w:lang w:val="en-US"/>
            </w:rPr>
            <w:drawing>
              <wp:inline distT="0" distB="0" distL="0" distR="0" wp14:anchorId="610B4F9C" wp14:editId="09FA0D49">
                <wp:extent cx="2398395" cy="716280"/>
                <wp:effectExtent l="0" t="0" r="1905" b="7620"/>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4DEAD4" w14:textId="77777777" w:rsidR="00C15F2E" w:rsidRPr="00182B84" w:rsidRDefault="00C15F2E" w:rsidP="00425DC5">
          <w:pPr>
            <w:jc w:val="right"/>
            <w:rPr>
              <w:b/>
              <w:szCs w:val="16"/>
            </w:rPr>
          </w:pPr>
        </w:p>
      </w:tc>
    </w:tr>
    <w:tr w:rsidR="00C15F2E" w:rsidRPr="00182B84" w14:paraId="1EB538BA" w14:textId="77777777" w:rsidTr="008F2512">
      <w:trPr>
        <w:trHeight w:val="868"/>
        <w:jc w:val="center"/>
      </w:trPr>
      <w:tc>
        <w:tcPr>
          <w:tcW w:w="3794" w:type="dxa"/>
          <w:vMerge/>
          <w:shd w:val="clear" w:color="auto" w:fill="FFFFFF"/>
          <w:tcMar>
            <w:left w:w="108" w:type="dxa"/>
            <w:right w:w="108" w:type="dxa"/>
          </w:tcMar>
        </w:tcPr>
        <w:p w14:paraId="1F976E48" w14:textId="77777777" w:rsidR="00C15F2E" w:rsidRPr="00182B84" w:rsidRDefault="00C15F2E" w:rsidP="00425DC5">
          <w:pPr>
            <w:jc w:val="left"/>
            <w:rPr>
              <w:noProof/>
              <w:lang w:eastAsia="en-GB"/>
            </w:rPr>
          </w:pPr>
        </w:p>
      </w:tc>
      <w:tc>
        <w:tcPr>
          <w:tcW w:w="5448" w:type="dxa"/>
          <w:gridSpan w:val="2"/>
          <w:shd w:val="clear" w:color="auto" w:fill="FFFFFF"/>
          <w:tcMar>
            <w:left w:w="108" w:type="dxa"/>
            <w:right w:w="108" w:type="dxa"/>
          </w:tcMar>
        </w:tcPr>
        <w:p w14:paraId="0F6E8A1D" w14:textId="77777777" w:rsidR="00C15F2E" w:rsidRPr="00182B84" w:rsidRDefault="00C15F2E" w:rsidP="00425DC5">
          <w:pPr>
            <w:jc w:val="right"/>
            <w:rPr>
              <w:b/>
              <w:szCs w:val="16"/>
            </w:rPr>
          </w:pPr>
          <w:r w:rsidRPr="00182B84">
            <w:rPr>
              <w:b/>
              <w:szCs w:val="16"/>
            </w:rPr>
            <w:t>Symbol</w:t>
          </w:r>
        </w:p>
      </w:tc>
    </w:tr>
    <w:tr w:rsidR="00C15F2E" w:rsidRPr="00182B84" w14:paraId="63C346A7" w14:textId="77777777" w:rsidTr="008F2512">
      <w:trPr>
        <w:trHeight w:val="240"/>
        <w:jc w:val="center"/>
      </w:trPr>
      <w:tc>
        <w:tcPr>
          <w:tcW w:w="3794" w:type="dxa"/>
          <w:vMerge/>
          <w:shd w:val="clear" w:color="auto" w:fill="FFFFFF"/>
          <w:tcMar>
            <w:left w:w="108" w:type="dxa"/>
            <w:right w:w="108" w:type="dxa"/>
          </w:tcMar>
          <w:vAlign w:val="center"/>
        </w:tcPr>
        <w:p w14:paraId="294E0845" w14:textId="77777777" w:rsidR="00C15F2E" w:rsidRPr="00182B84" w:rsidRDefault="00C15F2E" w:rsidP="00425DC5"/>
      </w:tc>
      <w:tc>
        <w:tcPr>
          <w:tcW w:w="5448" w:type="dxa"/>
          <w:gridSpan w:val="2"/>
          <w:shd w:val="clear" w:color="auto" w:fill="FFFFFF"/>
          <w:tcMar>
            <w:left w:w="108" w:type="dxa"/>
            <w:right w:w="108" w:type="dxa"/>
          </w:tcMar>
          <w:vAlign w:val="center"/>
        </w:tcPr>
        <w:p w14:paraId="31A00A98" w14:textId="77777777" w:rsidR="00C15F2E" w:rsidRPr="00182B84" w:rsidRDefault="00C15F2E" w:rsidP="00425DC5">
          <w:pPr>
            <w:jc w:val="right"/>
            <w:rPr>
              <w:szCs w:val="16"/>
            </w:rPr>
          </w:pPr>
          <w:r w:rsidRPr="00182B84">
            <w:rPr>
              <w:szCs w:val="16"/>
            </w:rPr>
            <w:t>Date</w:t>
          </w:r>
        </w:p>
      </w:tc>
    </w:tr>
    <w:tr w:rsidR="00C15F2E" w:rsidRPr="00182B84" w14:paraId="6D0D4CA0" w14:textId="77777777" w:rsidTr="008F251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7A61EA" w14:textId="77777777" w:rsidR="00C15F2E" w:rsidRPr="00182B84" w:rsidRDefault="00C15F2E" w:rsidP="00425DC5">
          <w:pPr>
            <w:jc w:val="left"/>
            <w:rPr>
              <w:b/>
            </w:rPr>
          </w:pPr>
          <w:r w:rsidRPr="00182B84">
            <w:rPr>
              <w:color w:val="FF0000"/>
              <w:szCs w:val="16"/>
            </w:rPr>
            <w:t>(00-0000)</w:t>
          </w:r>
        </w:p>
      </w:tc>
      <w:tc>
        <w:tcPr>
          <w:tcW w:w="3325" w:type="dxa"/>
          <w:tcBorders>
            <w:bottom w:val="single" w:sz="4" w:space="0" w:color="auto"/>
          </w:tcBorders>
          <w:tcMar>
            <w:top w:w="0" w:type="dxa"/>
            <w:left w:w="108" w:type="dxa"/>
            <w:bottom w:w="57" w:type="dxa"/>
            <w:right w:w="108" w:type="dxa"/>
          </w:tcMar>
          <w:vAlign w:val="bottom"/>
        </w:tcPr>
        <w:p w14:paraId="530B2167" w14:textId="77777777" w:rsidR="00C15F2E" w:rsidRPr="00182B84" w:rsidRDefault="00C15F2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C15F2E" w:rsidRPr="00182B84" w14:paraId="6F12ABFE" w14:textId="77777777" w:rsidTr="008F251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4178A8" w14:textId="77777777" w:rsidR="00C15F2E" w:rsidRPr="00182B84" w:rsidRDefault="00C15F2E" w:rsidP="00425DC5">
          <w:pPr>
            <w:jc w:val="left"/>
            <w:rPr>
              <w:sz w:val="14"/>
              <w:szCs w:val="16"/>
            </w:rPr>
          </w:pPr>
          <w:r w:rsidRPr="00182B84">
            <w:rPr>
              <w:b/>
            </w:rPr>
            <w:t xml:space="preserve"> </w:t>
          </w:r>
        </w:p>
      </w:tc>
      <w:tc>
        <w:tcPr>
          <w:tcW w:w="3325" w:type="dxa"/>
          <w:tcBorders>
            <w:top w:val="single" w:sz="4" w:space="0" w:color="auto"/>
          </w:tcBorders>
          <w:tcMar>
            <w:top w:w="113" w:type="dxa"/>
            <w:left w:w="108" w:type="dxa"/>
            <w:bottom w:w="57" w:type="dxa"/>
            <w:right w:w="108" w:type="dxa"/>
          </w:tcMar>
          <w:vAlign w:val="center"/>
        </w:tcPr>
        <w:p w14:paraId="14BE997A" w14:textId="77777777" w:rsidR="00C15F2E" w:rsidRPr="00182B84" w:rsidRDefault="00C15F2E" w:rsidP="00425DC5">
          <w:pPr>
            <w:jc w:val="right"/>
            <w:rPr>
              <w:bCs/>
              <w:szCs w:val="18"/>
            </w:rPr>
          </w:pPr>
        </w:p>
      </w:tc>
    </w:tr>
  </w:tbl>
  <w:p w14:paraId="3A5D24D6" w14:textId="77777777" w:rsidR="00C15F2E" w:rsidRDefault="00C15F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5F2E" w:rsidRPr="00182B84" w14:paraId="5CC19B1D" w14:textId="77777777" w:rsidTr="008F2512">
      <w:trPr>
        <w:trHeight w:val="240"/>
        <w:jc w:val="center"/>
      </w:trPr>
      <w:tc>
        <w:tcPr>
          <w:tcW w:w="3794" w:type="dxa"/>
          <w:shd w:val="clear" w:color="auto" w:fill="FFFFFF"/>
          <w:tcMar>
            <w:left w:w="108" w:type="dxa"/>
            <w:right w:w="108" w:type="dxa"/>
          </w:tcMar>
          <w:vAlign w:val="center"/>
        </w:tcPr>
        <w:p w14:paraId="3F5DB266" w14:textId="77777777" w:rsidR="00C15F2E" w:rsidRPr="00182B84" w:rsidRDefault="00C15F2E" w:rsidP="00425DC5">
          <w:pPr>
            <w:rPr>
              <w:noProof/>
              <w:lang w:eastAsia="en-GB"/>
            </w:rPr>
          </w:pPr>
        </w:p>
      </w:tc>
      <w:tc>
        <w:tcPr>
          <w:tcW w:w="5448" w:type="dxa"/>
          <w:gridSpan w:val="2"/>
          <w:shd w:val="clear" w:color="auto" w:fill="FFFFFF"/>
          <w:tcMar>
            <w:left w:w="108" w:type="dxa"/>
            <w:right w:w="108" w:type="dxa"/>
          </w:tcMar>
          <w:vAlign w:val="center"/>
        </w:tcPr>
        <w:p w14:paraId="0891CF12" w14:textId="77777777" w:rsidR="00C15F2E" w:rsidRPr="00182B84" w:rsidRDefault="00C15F2E" w:rsidP="00425DC5">
          <w:pPr>
            <w:jc w:val="right"/>
            <w:rPr>
              <w:b/>
              <w:color w:val="FF0000"/>
              <w:szCs w:val="16"/>
            </w:rPr>
          </w:pPr>
        </w:p>
      </w:tc>
    </w:tr>
    <w:tr w:rsidR="00C15F2E" w:rsidRPr="00182B84" w14:paraId="10251E5C" w14:textId="77777777" w:rsidTr="008F2512">
      <w:trPr>
        <w:trHeight w:val="213"/>
        <w:jc w:val="center"/>
      </w:trPr>
      <w:tc>
        <w:tcPr>
          <w:tcW w:w="3794" w:type="dxa"/>
          <w:vMerge w:val="restart"/>
          <w:shd w:val="clear" w:color="auto" w:fill="FFFFFF"/>
          <w:tcMar>
            <w:left w:w="0" w:type="dxa"/>
            <w:right w:w="0" w:type="dxa"/>
          </w:tcMar>
        </w:tcPr>
        <w:p w14:paraId="0A687C82" w14:textId="77777777" w:rsidR="00C15F2E" w:rsidRPr="00182B84" w:rsidRDefault="00C15F2E" w:rsidP="00425DC5">
          <w:pPr>
            <w:jc w:val="left"/>
          </w:pPr>
          <w:r w:rsidRPr="00182B84">
            <w:rPr>
              <w:noProof/>
              <w:lang w:val="en-US"/>
            </w:rPr>
            <w:drawing>
              <wp:inline distT="0" distB="0" distL="0" distR="0" wp14:anchorId="58DC556D" wp14:editId="17C62160">
                <wp:extent cx="2398395" cy="716280"/>
                <wp:effectExtent l="0" t="0" r="1905" b="7620"/>
                <wp:docPr id="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7D39F3" w14:textId="77777777" w:rsidR="00C15F2E" w:rsidRPr="00182B84" w:rsidRDefault="00C15F2E" w:rsidP="00425DC5">
          <w:pPr>
            <w:jc w:val="right"/>
            <w:rPr>
              <w:b/>
              <w:szCs w:val="16"/>
            </w:rPr>
          </w:pPr>
        </w:p>
      </w:tc>
    </w:tr>
    <w:tr w:rsidR="00C15F2E" w:rsidRPr="00182B84" w14:paraId="2C673E1D" w14:textId="77777777" w:rsidTr="008F2512">
      <w:trPr>
        <w:trHeight w:val="868"/>
        <w:jc w:val="center"/>
      </w:trPr>
      <w:tc>
        <w:tcPr>
          <w:tcW w:w="3794" w:type="dxa"/>
          <w:vMerge/>
          <w:shd w:val="clear" w:color="auto" w:fill="FFFFFF"/>
          <w:tcMar>
            <w:left w:w="108" w:type="dxa"/>
            <w:right w:w="108" w:type="dxa"/>
          </w:tcMar>
        </w:tcPr>
        <w:p w14:paraId="7B0A654B" w14:textId="77777777" w:rsidR="00C15F2E" w:rsidRPr="00182B84" w:rsidRDefault="00C15F2E" w:rsidP="00425DC5">
          <w:pPr>
            <w:jc w:val="left"/>
            <w:rPr>
              <w:noProof/>
              <w:lang w:eastAsia="en-GB"/>
            </w:rPr>
          </w:pPr>
        </w:p>
      </w:tc>
      <w:tc>
        <w:tcPr>
          <w:tcW w:w="5448" w:type="dxa"/>
          <w:gridSpan w:val="2"/>
          <w:shd w:val="clear" w:color="auto" w:fill="FFFFFF"/>
          <w:tcMar>
            <w:left w:w="108" w:type="dxa"/>
            <w:right w:w="108" w:type="dxa"/>
          </w:tcMar>
        </w:tcPr>
        <w:p w14:paraId="58DCDF16" w14:textId="77777777" w:rsidR="00C15F2E" w:rsidRPr="00182B84" w:rsidRDefault="00C15F2E" w:rsidP="00425DC5">
          <w:pPr>
            <w:jc w:val="right"/>
            <w:rPr>
              <w:b/>
              <w:szCs w:val="16"/>
            </w:rPr>
          </w:pPr>
          <w:r w:rsidRPr="00182B84">
            <w:rPr>
              <w:b/>
              <w:szCs w:val="16"/>
            </w:rPr>
            <w:t>Symbol</w:t>
          </w:r>
        </w:p>
      </w:tc>
    </w:tr>
    <w:tr w:rsidR="00C15F2E" w:rsidRPr="00182B84" w14:paraId="184F6959" w14:textId="77777777" w:rsidTr="008F2512">
      <w:trPr>
        <w:trHeight w:val="240"/>
        <w:jc w:val="center"/>
      </w:trPr>
      <w:tc>
        <w:tcPr>
          <w:tcW w:w="3794" w:type="dxa"/>
          <w:vMerge/>
          <w:shd w:val="clear" w:color="auto" w:fill="FFFFFF"/>
          <w:tcMar>
            <w:left w:w="108" w:type="dxa"/>
            <w:right w:w="108" w:type="dxa"/>
          </w:tcMar>
          <w:vAlign w:val="center"/>
        </w:tcPr>
        <w:p w14:paraId="0FC6A053" w14:textId="77777777" w:rsidR="00C15F2E" w:rsidRPr="00182B84" w:rsidRDefault="00C15F2E" w:rsidP="00425DC5"/>
      </w:tc>
      <w:tc>
        <w:tcPr>
          <w:tcW w:w="5448" w:type="dxa"/>
          <w:gridSpan w:val="2"/>
          <w:shd w:val="clear" w:color="auto" w:fill="FFFFFF"/>
          <w:tcMar>
            <w:left w:w="108" w:type="dxa"/>
            <w:right w:w="108" w:type="dxa"/>
          </w:tcMar>
          <w:vAlign w:val="center"/>
        </w:tcPr>
        <w:p w14:paraId="5201560F" w14:textId="77777777" w:rsidR="00C15F2E" w:rsidRPr="00182B84" w:rsidRDefault="00C15F2E" w:rsidP="00425DC5">
          <w:pPr>
            <w:jc w:val="right"/>
            <w:rPr>
              <w:szCs w:val="16"/>
            </w:rPr>
          </w:pPr>
          <w:r w:rsidRPr="00182B84">
            <w:rPr>
              <w:szCs w:val="16"/>
            </w:rPr>
            <w:t>Date</w:t>
          </w:r>
        </w:p>
      </w:tc>
    </w:tr>
    <w:tr w:rsidR="00C15F2E" w:rsidRPr="00182B84" w14:paraId="50C140E9" w14:textId="77777777" w:rsidTr="008F251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894463" w14:textId="77777777" w:rsidR="00C15F2E" w:rsidRPr="00182B84" w:rsidRDefault="00C15F2E" w:rsidP="00425DC5">
          <w:pPr>
            <w:jc w:val="left"/>
            <w:rPr>
              <w:b/>
            </w:rPr>
          </w:pPr>
          <w:r w:rsidRPr="00182B84">
            <w:rPr>
              <w:color w:val="FF0000"/>
              <w:szCs w:val="16"/>
            </w:rPr>
            <w:t>(00-0000)</w:t>
          </w:r>
        </w:p>
      </w:tc>
      <w:tc>
        <w:tcPr>
          <w:tcW w:w="3325" w:type="dxa"/>
          <w:tcBorders>
            <w:bottom w:val="single" w:sz="4" w:space="0" w:color="auto"/>
          </w:tcBorders>
          <w:tcMar>
            <w:top w:w="0" w:type="dxa"/>
            <w:left w:w="108" w:type="dxa"/>
            <w:bottom w:w="57" w:type="dxa"/>
            <w:right w:w="108" w:type="dxa"/>
          </w:tcMar>
          <w:vAlign w:val="bottom"/>
        </w:tcPr>
        <w:p w14:paraId="621167A0" w14:textId="77777777" w:rsidR="00C15F2E" w:rsidRPr="00182B84" w:rsidRDefault="00C15F2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C15F2E" w:rsidRPr="00182B84" w14:paraId="327993B3" w14:textId="77777777" w:rsidTr="008F251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E4180B" w14:textId="77777777" w:rsidR="00C15F2E" w:rsidRPr="00182B84" w:rsidRDefault="00C15F2E" w:rsidP="00425DC5">
          <w:pPr>
            <w:jc w:val="left"/>
            <w:rPr>
              <w:sz w:val="14"/>
              <w:szCs w:val="16"/>
            </w:rPr>
          </w:pPr>
          <w:r w:rsidRPr="00182B84">
            <w:rPr>
              <w:b/>
            </w:rPr>
            <w:t xml:space="preserve"> </w:t>
          </w:r>
        </w:p>
      </w:tc>
      <w:tc>
        <w:tcPr>
          <w:tcW w:w="3325" w:type="dxa"/>
          <w:tcBorders>
            <w:top w:val="single" w:sz="4" w:space="0" w:color="auto"/>
          </w:tcBorders>
          <w:tcMar>
            <w:top w:w="113" w:type="dxa"/>
            <w:left w:w="108" w:type="dxa"/>
            <w:bottom w:w="57" w:type="dxa"/>
            <w:right w:w="108" w:type="dxa"/>
          </w:tcMar>
          <w:vAlign w:val="center"/>
        </w:tcPr>
        <w:p w14:paraId="697B18F6" w14:textId="77777777" w:rsidR="00C15F2E" w:rsidRPr="00182B84" w:rsidRDefault="00C15F2E" w:rsidP="00425DC5">
          <w:pPr>
            <w:jc w:val="right"/>
            <w:rPr>
              <w:bCs/>
              <w:szCs w:val="18"/>
            </w:rPr>
          </w:pPr>
        </w:p>
      </w:tc>
    </w:tr>
  </w:tbl>
  <w:p w14:paraId="7D23F6F1" w14:textId="77777777" w:rsidR="00C15F2E" w:rsidRDefault="00C15F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5F2E" w:rsidRPr="00182B84" w14:paraId="7C76CF9F" w14:textId="77777777" w:rsidTr="008F2512">
      <w:trPr>
        <w:trHeight w:val="240"/>
        <w:jc w:val="center"/>
      </w:trPr>
      <w:tc>
        <w:tcPr>
          <w:tcW w:w="3794" w:type="dxa"/>
          <w:shd w:val="clear" w:color="auto" w:fill="FFFFFF"/>
          <w:tcMar>
            <w:left w:w="108" w:type="dxa"/>
            <w:right w:w="108" w:type="dxa"/>
          </w:tcMar>
          <w:vAlign w:val="center"/>
        </w:tcPr>
        <w:p w14:paraId="7E818C4C" w14:textId="77777777" w:rsidR="00C15F2E" w:rsidRPr="00182B84" w:rsidRDefault="00C15F2E" w:rsidP="00425DC5">
          <w:pPr>
            <w:rPr>
              <w:noProof/>
              <w:lang w:eastAsia="en-GB"/>
            </w:rPr>
          </w:pPr>
        </w:p>
      </w:tc>
      <w:tc>
        <w:tcPr>
          <w:tcW w:w="5448" w:type="dxa"/>
          <w:gridSpan w:val="2"/>
          <w:shd w:val="clear" w:color="auto" w:fill="FFFFFF"/>
          <w:tcMar>
            <w:left w:w="108" w:type="dxa"/>
            <w:right w:w="108" w:type="dxa"/>
          </w:tcMar>
          <w:vAlign w:val="center"/>
        </w:tcPr>
        <w:p w14:paraId="4AF036E5" w14:textId="77777777" w:rsidR="00C15F2E" w:rsidRPr="00182B84" w:rsidRDefault="00C15F2E" w:rsidP="00425DC5">
          <w:pPr>
            <w:jc w:val="right"/>
            <w:rPr>
              <w:b/>
              <w:color w:val="FF0000"/>
              <w:szCs w:val="16"/>
            </w:rPr>
          </w:pPr>
        </w:p>
      </w:tc>
    </w:tr>
    <w:tr w:rsidR="00C15F2E" w:rsidRPr="00182B84" w14:paraId="4566BA6B" w14:textId="77777777" w:rsidTr="008F2512">
      <w:trPr>
        <w:trHeight w:val="213"/>
        <w:jc w:val="center"/>
      </w:trPr>
      <w:tc>
        <w:tcPr>
          <w:tcW w:w="3794" w:type="dxa"/>
          <w:vMerge w:val="restart"/>
          <w:shd w:val="clear" w:color="auto" w:fill="FFFFFF"/>
          <w:tcMar>
            <w:left w:w="0" w:type="dxa"/>
            <w:right w:w="0" w:type="dxa"/>
          </w:tcMar>
        </w:tcPr>
        <w:p w14:paraId="7507FE32" w14:textId="77777777" w:rsidR="00C15F2E" w:rsidRPr="00182B84" w:rsidRDefault="00C15F2E" w:rsidP="00425DC5">
          <w:pPr>
            <w:jc w:val="left"/>
          </w:pPr>
          <w:r w:rsidRPr="00182B84">
            <w:rPr>
              <w:noProof/>
              <w:lang w:val="en-US"/>
            </w:rPr>
            <w:drawing>
              <wp:inline distT="0" distB="0" distL="0" distR="0" wp14:anchorId="26FB0D22" wp14:editId="0833A01B">
                <wp:extent cx="2398395" cy="716280"/>
                <wp:effectExtent l="0" t="0" r="190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AFB2AF" w14:textId="77777777" w:rsidR="00C15F2E" w:rsidRPr="00182B84" w:rsidRDefault="00C15F2E" w:rsidP="00425DC5">
          <w:pPr>
            <w:jc w:val="right"/>
            <w:rPr>
              <w:b/>
              <w:szCs w:val="16"/>
            </w:rPr>
          </w:pPr>
        </w:p>
      </w:tc>
    </w:tr>
    <w:tr w:rsidR="00C15F2E" w:rsidRPr="00182B84" w14:paraId="079B3690" w14:textId="77777777" w:rsidTr="008F2512">
      <w:trPr>
        <w:trHeight w:val="868"/>
        <w:jc w:val="center"/>
      </w:trPr>
      <w:tc>
        <w:tcPr>
          <w:tcW w:w="3794" w:type="dxa"/>
          <w:vMerge/>
          <w:shd w:val="clear" w:color="auto" w:fill="FFFFFF"/>
          <w:tcMar>
            <w:left w:w="108" w:type="dxa"/>
            <w:right w:w="108" w:type="dxa"/>
          </w:tcMar>
        </w:tcPr>
        <w:p w14:paraId="110A625B" w14:textId="77777777" w:rsidR="00C15F2E" w:rsidRPr="00182B84" w:rsidRDefault="00C15F2E" w:rsidP="00425DC5">
          <w:pPr>
            <w:jc w:val="left"/>
            <w:rPr>
              <w:noProof/>
              <w:lang w:eastAsia="en-GB"/>
            </w:rPr>
          </w:pPr>
        </w:p>
      </w:tc>
      <w:tc>
        <w:tcPr>
          <w:tcW w:w="5448" w:type="dxa"/>
          <w:gridSpan w:val="2"/>
          <w:shd w:val="clear" w:color="auto" w:fill="FFFFFF"/>
          <w:tcMar>
            <w:left w:w="108" w:type="dxa"/>
            <w:right w:w="108" w:type="dxa"/>
          </w:tcMar>
        </w:tcPr>
        <w:p w14:paraId="566BFB79" w14:textId="77777777" w:rsidR="00C15F2E" w:rsidRPr="00182B84" w:rsidRDefault="00C15F2E" w:rsidP="00425DC5">
          <w:pPr>
            <w:jc w:val="right"/>
            <w:rPr>
              <w:b/>
              <w:szCs w:val="16"/>
            </w:rPr>
          </w:pPr>
          <w:r w:rsidRPr="00182B84">
            <w:rPr>
              <w:b/>
              <w:szCs w:val="16"/>
            </w:rPr>
            <w:t>Symbol</w:t>
          </w:r>
        </w:p>
      </w:tc>
    </w:tr>
    <w:tr w:rsidR="00C15F2E" w:rsidRPr="00182B84" w14:paraId="1195A16C" w14:textId="77777777" w:rsidTr="008F2512">
      <w:trPr>
        <w:trHeight w:val="240"/>
        <w:jc w:val="center"/>
      </w:trPr>
      <w:tc>
        <w:tcPr>
          <w:tcW w:w="3794" w:type="dxa"/>
          <w:vMerge/>
          <w:shd w:val="clear" w:color="auto" w:fill="FFFFFF"/>
          <w:tcMar>
            <w:left w:w="108" w:type="dxa"/>
            <w:right w:w="108" w:type="dxa"/>
          </w:tcMar>
          <w:vAlign w:val="center"/>
        </w:tcPr>
        <w:p w14:paraId="6888F17A" w14:textId="77777777" w:rsidR="00C15F2E" w:rsidRPr="00182B84" w:rsidRDefault="00C15F2E" w:rsidP="00425DC5"/>
      </w:tc>
      <w:tc>
        <w:tcPr>
          <w:tcW w:w="5448" w:type="dxa"/>
          <w:gridSpan w:val="2"/>
          <w:shd w:val="clear" w:color="auto" w:fill="FFFFFF"/>
          <w:tcMar>
            <w:left w:w="108" w:type="dxa"/>
            <w:right w:w="108" w:type="dxa"/>
          </w:tcMar>
          <w:vAlign w:val="center"/>
        </w:tcPr>
        <w:p w14:paraId="68A4B3E1" w14:textId="77777777" w:rsidR="00C15F2E" w:rsidRPr="00182B84" w:rsidRDefault="00C15F2E" w:rsidP="00425DC5">
          <w:pPr>
            <w:jc w:val="right"/>
            <w:rPr>
              <w:szCs w:val="16"/>
            </w:rPr>
          </w:pPr>
          <w:r w:rsidRPr="00182B84">
            <w:rPr>
              <w:szCs w:val="16"/>
            </w:rPr>
            <w:t>Date</w:t>
          </w:r>
        </w:p>
      </w:tc>
    </w:tr>
    <w:tr w:rsidR="00C15F2E" w:rsidRPr="00182B84" w14:paraId="4475CE6B" w14:textId="77777777" w:rsidTr="008F251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5E682E" w14:textId="77777777" w:rsidR="00C15F2E" w:rsidRPr="00182B84" w:rsidRDefault="00C15F2E" w:rsidP="00425DC5">
          <w:pPr>
            <w:jc w:val="left"/>
            <w:rPr>
              <w:b/>
            </w:rPr>
          </w:pPr>
          <w:r w:rsidRPr="00182B84">
            <w:rPr>
              <w:color w:val="FF0000"/>
              <w:szCs w:val="16"/>
            </w:rPr>
            <w:t>(00-0000)</w:t>
          </w:r>
        </w:p>
      </w:tc>
      <w:tc>
        <w:tcPr>
          <w:tcW w:w="3325" w:type="dxa"/>
          <w:tcBorders>
            <w:bottom w:val="single" w:sz="4" w:space="0" w:color="auto"/>
          </w:tcBorders>
          <w:tcMar>
            <w:top w:w="0" w:type="dxa"/>
            <w:left w:w="108" w:type="dxa"/>
            <w:bottom w:w="57" w:type="dxa"/>
            <w:right w:w="108" w:type="dxa"/>
          </w:tcMar>
          <w:vAlign w:val="bottom"/>
        </w:tcPr>
        <w:p w14:paraId="24CF6C2D" w14:textId="77777777" w:rsidR="00C15F2E" w:rsidRPr="00182B84" w:rsidRDefault="00C15F2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C15F2E" w:rsidRPr="00182B84" w14:paraId="5FDBC0EC" w14:textId="77777777" w:rsidTr="008F251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7CB110" w14:textId="77777777" w:rsidR="00C15F2E" w:rsidRPr="00182B84" w:rsidRDefault="00C15F2E" w:rsidP="00425DC5">
          <w:pPr>
            <w:jc w:val="left"/>
            <w:rPr>
              <w:sz w:val="14"/>
              <w:szCs w:val="16"/>
            </w:rPr>
          </w:pPr>
          <w:r w:rsidRPr="00182B84">
            <w:rPr>
              <w:b/>
            </w:rPr>
            <w:t xml:space="preserve"> </w:t>
          </w:r>
        </w:p>
      </w:tc>
      <w:tc>
        <w:tcPr>
          <w:tcW w:w="3325" w:type="dxa"/>
          <w:tcBorders>
            <w:top w:val="single" w:sz="4" w:space="0" w:color="auto"/>
          </w:tcBorders>
          <w:tcMar>
            <w:top w:w="113" w:type="dxa"/>
            <w:left w:w="108" w:type="dxa"/>
            <w:bottom w:w="57" w:type="dxa"/>
            <w:right w:w="108" w:type="dxa"/>
          </w:tcMar>
          <w:vAlign w:val="center"/>
        </w:tcPr>
        <w:p w14:paraId="28A1BCFB" w14:textId="77777777" w:rsidR="00C15F2E" w:rsidRPr="00182B84" w:rsidRDefault="00C15F2E" w:rsidP="00425DC5">
          <w:pPr>
            <w:jc w:val="right"/>
            <w:rPr>
              <w:bCs/>
              <w:szCs w:val="18"/>
            </w:rPr>
          </w:pPr>
        </w:p>
      </w:tc>
    </w:tr>
  </w:tbl>
  <w:p w14:paraId="0C85127A" w14:textId="77777777" w:rsidR="00C15F2E" w:rsidRDefault="00C15F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5F2E" w:rsidRPr="00182B84" w14:paraId="76CBABCE" w14:textId="77777777" w:rsidTr="008F2512">
      <w:trPr>
        <w:trHeight w:val="240"/>
        <w:jc w:val="center"/>
      </w:trPr>
      <w:tc>
        <w:tcPr>
          <w:tcW w:w="3794" w:type="dxa"/>
          <w:shd w:val="clear" w:color="auto" w:fill="FFFFFF"/>
          <w:tcMar>
            <w:left w:w="108" w:type="dxa"/>
            <w:right w:w="108" w:type="dxa"/>
          </w:tcMar>
          <w:vAlign w:val="center"/>
        </w:tcPr>
        <w:p w14:paraId="07E59C87" w14:textId="77777777" w:rsidR="00C15F2E" w:rsidRPr="00182B84" w:rsidRDefault="00C15F2E" w:rsidP="00425DC5">
          <w:pPr>
            <w:rPr>
              <w:noProof/>
              <w:lang w:eastAsia="en-GB"/>
            </w:rPr>
          </w:pPr>
        </w:p>
      </w:tc>
      <w:tc>
        <w:tcPr>
          <w:tcW w:w="5448" w:type="dxa"/>
          <w:gridSpan w:val="2"/>
          <w:shd w:val="clear" w:color="auto" w:fill="FFFFFF"/>
          <w:tcMar>
            <w:left w:w="108" w:type="dxa"/>
            <w:right w:w="108" w:type="dxa"/>
          </w:tcMar>
          <w:vAlign w:val="center"/>
        </w:tcPr>
        <w:p w14:paraId="0EB2A75F" w14:textId="77777777" w:rsidR="00C15F2E" w:rsidRPr="00182B84" w:rsidRDefault="00C15F2E" w:rsidP="00425DC5">
          <w:pPr>
            <w:jc w:val="right"/>
            <w:rPr>
              <w:b/>
              <w:color w:val="FF0000"/>
              <w:szCs w:val="16"/>
            </w:rPr>
          </w:pPr>
        </w:p>
      </w:tc>
    </w:tr>
    <w:tr w:rsidR="00C15F2E" w:rsidRPr="00182B84" w14:paraId="78348FF1" w14:textId="77777777" w:rsidTr="008F2512">
      <w:trPr>
        <w:trHeight w:val="213"/>
        <w:jc w:val="center"/>
      </w:trPr>
      <w:tc>
        <w:tcPr>
          <w:tcW w:w="3794" w:type="dxa"/>
          <w:vMerge w:val="restart"/>
          <w:shd w:val="clear" w:color="auto" w:fill="FFFFFF"/>
          <w:tcMar>
            <w:left w:w="0" w:type="dxa"/>
            <w:right w:w="0" w:type="dxa"/>
          </w:tcMar>
        </w:tcPr>
        <w:p w14:paraId="7E8B008B" w14:textId="77777777" w:rsidR="00C15F2E" w:rsidRPr="00182B84" w:rsidRDefault="00C15F2E" w:rsidP="00425DC5">
          <w:pPr>
            <w:jc w:val="left"/>
          </w:pPr>
          <w:r w:rsidRPr="00182B84">
            <w:rPr>
              <w:noProof/>
              <w:lang w:val="en-US"/>
            </w:rPr>
            <w:drawing>
              <wp:inline distT="0" distB="0" distL="0" distR="0" wp14:anchorId="5A327D8C" wp14:editId="5E074617">
                <wp:extent cx="2398395" cy="716280"/>
                <wp:effectExtent l="0" t="0" r="1905" b="762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A0E316" w14:textId="77777777" w:rsidR="00C15F2E" w:rsidRPr="00182B84" w:rsidRDefault="00C15F2E" w:rsidP="00425DC5">
          <w:pPr>
            <w:jc w:val="right"/>
            <w:rPr>
              <w:b/>
              <w:szCs w:val="16"/>
            </w:rPr>
          </w:pPr>
        </w:p>
      </w:tc>
    </w:tr>
    <w:tr w:rsidR="00C15F2E" w:rsidRPr="00182B84" w14:paraId="520990A0" w14:textId="77777777" w:rsidTr="008F2512">
      <w:trPr>
        <w:trHeight w:val="868"/>
        <w:jc w:val="center"/>
      </w:trPr>
      <w:tc>
        <w:tcPr>
          <w:tcW w:w="3794" w:type="dxa"/>
          <w:vMerge/>
          <w:shd w:val="clear" w:color="auto" w:fill="FFFFFF"/>
          <w:tcMar>
            <w:left w:w="108" w:type="dxa"/>
            <w:right w:w="108" w:type="dxa"/>
          </w:tcMar>
        </w:tcPr>
        <w:p w14:paraId="1382FF4C" w14:textId="77777777" w:rsidR="00C15F2E" w:rsidRPr="00182B84" w:rsidRDefault="00C15F2E" w:rsidP="00425DC5">
          <w:pPr>
            <w:jc w:val="left"/>
            <w:rPr>
              <w:noProof/>
              <w:lang w:eastAsia="en-GB"/>
            </w:rPr>
          </w:pPr>
        </w:p>
      </w:tc>
      <w:tc>
        <w:tcPr>
          <w:tcW w:w="5448" w:type="dxa"/>
          <w:gridSpan w:val="2"/>
          <w:shd w:val="clear" w:color="auto" w:fill="FFFFFF"/>
          <w:tcMar>
            <w:left w:w="108" w:type="dxa"/>
            <w:right w:w="108" w:type="dxa"/>
          </w:tcMar>
        </w:tcPr>
        <w:p w14:paraId="2388CC12" w14:textId="77777777" w:rsidR="00C15F2E" w:rsidRPr="00182B84" w:rsidRDefault="00C15F2E" w:rsidP="00425DC5">
          <w:pPr>
            <w:jc w:val="right"/>
            <w:rPr>
              <w:b/>
              <w:szCs w:val="16"/>
            </w:rPr>
          </w:pPr>
          <w:r w:rsidRPr="00182B84">
            <w:rPr>
              <w:b/>
              <w:szCs w:val="16"/>
            </w:rPr>
            <w:t>Symbol</w:t>
          </w:r>
        </w:p>
      </w:tc>
    </w:tr>
    <w:tr w:rsidR="00C15F2E" w:rsidRPr="00182B84" w14:paraId="3A5CFD38" w14:textId="77777777" w:rsidTr="008F2512">
      <w:trPr>
        <w:trHeight w:val="240"/>
        <w:jc w:val="center"/>
      </w:trPr>
      <w:tc>
        <w:tcPr>
          <w:tcW w:w="3794" w:type="dxa"/>
          <w:vMerge/>
          <w:shd w:val="clear" w:color="auto" w:fill="FFFFFF"/>
          <w:tcMar>
            <w:left w:w="108" w:type="dxa"/>
            <w:right w:w="108" w:type="dxa"/>
          </w:tcMar>
          <w:vAlign w:val="center"/>
        </w:tcPr>
        <w:p w14:paraId="53FE2BE8" w14:textId="77777777" w:rsidR="00C15F2E" w:rsidRPr="00182B84" w:rsidRDefault="00C15F2E" w:rsidP="00425DC5"/>
      </w:tc>
      <w:tc>
        <w:tcPr>
          <w:tcW w:w="5448" w:type="dxa"/>
          <w:gridSpan w:val="2"/>
          <w:shd w:val="clear" w:color="auto" w:fill="FFFFFF"/>
          <w:tcMar>
            <w:left w:w="108" w:type="dxa"/>
            <w:right w:w="108" w:type="dxa"/>
          </w:tcMar>
          <w:vAlign w:val="center"/>
        </w:tcPr>
        <w:p w14:paraId="58E73EB1" w14:textId="77777777" w:rsidR="00C15F2E" w:rsidRPr="00182B84" w:rsidRDefault="00C15F2E" w:rsidP="00425DC5">
          <w:pPr>
            <w:jc w:val="right"/>
            <w:rPr>
              <w:szCs w:val="16"/>
            </w:rPr>
          </w:pPr>
          <w:r w:rsidRPr="00182B84">
            <w:rPr>
              <w:szCs w:val="16"/>
            </w:rPr>
            <w:t>Date</w:t>
          </w:r>
        </w:p>
      </w:tc>
    </w:tr>
    <w:tr w:rsidR="00C15F2E" w:rsidRPr="00182B84" w14:paraId="654658C1" w14:textId="77777777" w:rsidTr="008F251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6B1CEC" w14:textId="77777777" w:rsidR="00C15F2E" w:rsidRPr="00182B84" w:rsidRDefault="00C15F2E" w:rsidP="00425DC5">
          <w:pPr>
            <w:jc w:val="left"/>
            <w:rPr>
              <w:b/>
            </w:rPr>
          </w:pPr>
          <w:r w:rsidRPr="00182B84">
            <w:rPr>
              <w:color w:val="FF0000"/>
              <w:szCs w:val="16"/>
            </w:rPr>
            <w:t>(00-0000)</w:t>
          </w:r>
        </w:p>
      </w:tc>
      <w:tc>
        <w:tcPr>
          <w:tcW w:w="3325" w:type="dxa"/>
          <w:tcBorders>
            <w:bottom w:val="single" w:sz="4" w:space="0" w:color="auto"/>
          </w:tcBorders>
          <w:tcMar>
            <w:top w:w="0" w:type="dxa"/>
            <w:left w:w="108" w:type="dxa"/>
            <w:bottom w:w="57" w:type="dxa"/>
            <w:right w:w="108" w:type="dxa"/>
          </w:tcMar>
          <w:vAlign w:val="bottom"/>
        </w:tcPr>
        <w:p w14:paraId="54413976" w14:textId="77777777" w:rsidR="00C15F2E" w:rsidRPr="00182B84" w:rsidRDefault="00C15F2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C15F2E" w:rsidRPr="00182B84" w14:paraId="2F8DF156" w14:textId="77777777" w:rsidTr="008F251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C7CBBD" w14:textId="77777777" w:rsidR="00C15F2E" w:rsidRPr="00182B84" w:rsidRDefault="00C15F2E" w:rsidP="00425DC5">
          <w:pPr>
            <w:jc w:val="left"/>
            <w:rPr>
              <w:sz w:val="14"/>
              <w:szCs w:val="16"/>
            </w:rPr>
          </w:pPr>
          <w:r w:rsidRPr="00182B84">
            <w:rPr>
              <w:b/>
            </w:rPr>
            <w:t xml:space="preserve"> </w:t>
          </w:r>
        </w:p>
      </w:tc>
      <w:tc>
        <w:tcPr>
          <w:tcW w:w="3325" w:type="dxa"/>
          <w:tcBorders>
            <w:top w:val="single" w:sz="4" w:space="0" w:color="auto"/>
          </w:tcBorders>
          <w:tcMar>
            <w:top w:w="113" w:type="dxa"/>
            <w:left w:w="108" w:type="dxa"/>
            <w:bottom w:w="57" w:type="dxa"/>
            <w:right w:w="108" w:type="dxa"/>
          </w:tcMar>
          <w:vAlign w:val="center"/>
        </w:tcPr>
        <w:p w14:paraId="49DFF384" w14:textId="77777777" w:rsidR="00C15F2E" w:rsidRPr="00182B84" w:rsidRDefault="00C15F2E" w:rsidP="00425DC5">
          <w:pPr>
            <w:jc w:val="right"/>
            <w:rPr>
              <w:bCs/>
              <w:szCs w:val="18"/>
            </w:rPr>
          </w:pPr>
        </w:p>
      </w:tc>
    </w:tr>
  </w:tbl>
  <w:p w14:paraId="737036AC" w14:textId="77777777" w:rsidR="00C15F2E" w:rsidRDefault="00C1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BEBA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5CC45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48E4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3C49A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9AD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42C36"/>
    <w:multiLevelType w:val="hybridMultilevel"/>
    <w:tmpl w:val="B240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5E827CAE"/>
    <w:multiLevelType w:val="hybridMultilevel"/>
    <w:tmpl w:val="C840D4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952624"/>
    <w:multiLevelType w:val="hybridMultilevel"/>
    <w:tmpl w:val="EF262B56"/>
    <w:lvl w:ilvl="0" w:tplc="72E8A8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b w:val="0"/>
          <w:bCs w:val="0"/>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7">
    <w:abstractNumId w:val="1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426" w:firstLine="0"/>
        </w:pPr>
        <w:rPr>
          <w:rFonts w:ascii="Verdana" w:hAnsi="Verdana" w:hint="default"/>
          <w:b w:val="0"/>
          <w:bCs w:val="0"/>
          <w:color w:val="auto"/>
          <w:sz w:val="18"/>
          <w:szCs w:val="18"/>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8">
    <w:abstractNumId w:val="1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color w:val="auto"/>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1">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 w:ilvl="0">
        <w:start w:val="3"/>
        <w:numFmt w:val="decimal"/>
        <w:lvlRestart w:val="0"/>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isLgl/>
        <w:suff w:val="nothing"/>
        <w:lvlText w:val="%1.%2.%3.1  "/>
        <w:lvlJc w:val="left"/>
        <w:pPr>
          <w:ind w:left="0" w:firstLine="0"/>
        </w:pPr>
        <w:rPr>
          <w:rFonts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3">
    <w:abstractNumId w:val="12"/>
    <w:lvlOverride w:ilvl="0">
      <w:lvl w:ilvl="0">
        <w:start w:val="3"/>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2  "/>
        <w:lvlJc w:val="left"/>
        <w:pPr>
          <w:ind w:left="0" w:firstLine="0"/>
        </w:pPr>
        <w:rPr>
          <w:rFonts w:ascii="Verdana" w:hAnsi="Verdana" w:hint="default"/>
          <w:sz w:val="18"/>
          <w:szCs w:val="18"/>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142"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4">
    <w:abstractNumId w:val="12"/>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284"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b w:val="0"/>
          <w:bCs w:val="0"/>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5">
    <w:abstractNumId w:val="1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284"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b w:val="0"/>
          <w:bCs w:val="0"/>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 w:ilvl="0">
        <w:start w:val="3"/>
        <w:numFmt w:val="decimal"/>
        <w:pStyle w:val="Heading1"/>
        <w:isLgl/>
        <w:suff w:val="nothing"/>
        <w:lvlText w:val="%1  "/>
        <w:lvlJc w:val="left"/>
        <w:pPr>
          <w:ind w:left="0" w:firstLine="0"/>
        </w:pPr>
      </w:lvl>
    </w:lvlOverride>
    <w:lvlOverride w:ilvl="1">
      <w:lvl w:ilvl="1">
        <w:start w:val="1"/>
        <w:numFmt w:val="decimal"/>
        <w:pStyle w:val="Heading2"/>
        <w:isLgl/>
        <w:suff w:val="nothing"/>
        <w:lvlText w:val="%1.%2  "/>
        <w:lvlJc w:val="left"/>
        <w:pPr>
          <w:ind w:left="284" w:firstLine="0"/>
        </w:pPr>
      </w:lvl>
    </w:lvlOverride>
    <w:lvlOverride w:ilvl="2">
      <w:lvl w:ilvl="2">
        <w:start w:val="1"/>
        <w:numFmt w:val="decimal"/>
        <w:pStyle w:val="Heading3"/>
        <w:isLgl/>
        <w:suff w:val="nothing"/>
        <w:lvlText w:val="%1.%2.%3  "/>
        <w:lvlJc w:val="left"/>
        <w:pPr>
          <w:ind w:left="0" w:firstLine="0"/>
        </w:pPr>
      </w:lvl>
    </w:lvlOverride>
    <w:lvlOverride w:ilvl="3">
      <w:lvl w:ilvl="3">
        <w:start w:val="1"/>
        <w:numFmt w:val="decimal"/>
        <w:pStyle w:val="Heading4"/>
        <w:isLgl/>
        <w:suff w:val="nothing"/>
        <w:lvlText w:val="%1.%2.%3.%4  "/>
        <w:lvlJc w:val="left"/>
        <w:pPr>
          <w:ind w:left="0" w:firstLine="0"/>
        </w:pPr>
      </w:lvl>
    </w:lvlOverride>
    <w:lvlOverride w:ilvl="4">
      <w:lvl w:ilvl="4">
        <w:start w:val="1"/>
        <w:numFmt w:val="decimal"/>
        <w:pStyle w:val="Heading5"/>
        <w:isLgl/>
        <w:suff w:val="nothing"/>
        <w:lvlText w:val="%1.%2.%3.%4.%5  "/>
        <w:lvlJc w:val="left"/>
        <w:pPr>
          <w:ind w:left="0" w:firstLine="0"/>
        </w:pPr>
      </w:lvl>
    </w:lvlOverride>
    <w:lvlOverride w:ilvl="5">
      <w:lvl w:ilvl="5">
        <w:start w:val="1"/>
        <w:numFmt w:val="decimal"/>
        <w:pStyle w:val="Heading6"/>
        <w:isLgl/>
        <w:suff w:val="nothing"/>
        <w:lvlText w:val="%1.%2.%3.%4.%5.%6  "/>
        <w:lvlJc w:val="left"/>
        <w:pPr>
          <w:ind w:left="0" w:firstLine="0"/>
        </w:pPr>
      </w:lvl>
    </w:lvlOverride>
    <w:lvlOverride w:ilvl="6">
      <w:lvl w:ilvl="6">
        <w:start w:val="1"/>
        <w:numFmt w:val="decimal"/>
        <w:lvlRestart w:val="1"/>
        <w:pStyle w:val="BodyText"/>
        <w:isLgl/>
        <w:suff w:val="nothing"/>
        <w:lvlText w:val="%1.%7.  "/>
        <w:lvlJc w:val="left"/>
        <w:pPr>
          <w:ind w:left="0" w:firstLine="0"/>
        </w:pPr>
        <w:rPr>
          <w:b w:val="0"/>
          <w:bCs w:val="0"/>
        </w:rPr>
      </w:lvl>
    </w:lvlOverride>
    <w:lvlOverride w:ilvl="7">
      <w:lvl w:ilvl="7">
        <w:start w:val="1"/>
        <w:numFmt w:val="decimal"/>
        <w:pStyle w:val="BodyText2"/>
        <w:lvlText w:val="%8."/>
        <w:lvlJc w:val="left"/>
        <w:pPr>
          <w:tabs>
            <w:tab w:val="num" w:pos="907"/>
          </w:tabs>
          <w:ind w:left="907" w:hanging="340"/>
        </w:pPr>
      </w:lvl>
    </w:lvlOverride>
    <w:lvlOverride w:ilvl="8">
      <w:lvl w:ilvl="8">
        <w:start w:val="1"/>
        <w:numFmt w:val="decimal"/>
        <w:pStyle w:val="BodyText3"/>
        <w:lvlText w:val="%9."/>
        <w:lvlJc w:val="left"/>
        <w:pPr>
          <w:tabs>
            <w:tab w:val="num" w:pos="1247"/>
          </w:tabs>
          <w:ind w:left="1247" w:hanging="340"/>
        </w:pPr>
      </w:lvl>
    </w:lvlOverride>
  </w:num>
  <w:num w:numId="28">
    <w:abstractNumId w:val="11"/>
    <w:lvlOverride w:ilvl="0">
      <w:startOverride w:val="1"/>
      <w:lvl w:ilvl="0">
        <w:start w:val="1"/>
        <w:numFmt w:val="decimal"/>
        <w:pStyle w:val="ListBullet"/>
        <w:lvlText w:val=""/>
        <w:lvlJc w:val="left"/>
      </w:lvl>
    </w:lvlOverride>
    <w:lvlOverride w:ilvl="1">
      <w:startOverride w:val="1"/>
      <w:lvl w:ilvl="1">
        <w:start w:val="1"/>
        <w:numFmt w:val="decimal"/>
        <w:pStyle w:val="ListBullet2"/>
        <w:lvlText w:val=""/>
        <w:lvlJc w:val="left"/>
      </w:lvl>
    </w:lvlOverride>
    <w:lvlOverride w:ilvl="2">
      <w:startOverride w:val="1"/>
      <w:lvl w:ilvl="2">
        <w:start w:val="1"/>
        <w:numFmt w:val="bullet"/>
        <w:pStyle w:val="ListBullet3"/>
        <w:lvlText w:val=""/>
        <w:lvlJc w:val="left"/>
        <w:pPr>
          <w:tabs>
            <w:tab w:val="num" w:pos="1247"/>
          </w:tabs>
          <w:ind w:left="1247" w:hanging="340"/>
        </w:pPr>
        <w:rPr>
          <w:rFonts w:ascii="Symbol" w:hAnsi="Symbol" w:hint="default"/>
          <w:color w:val="auto"/>
        </w:rPr>
      </w:lvl>
    </w:lvlOverride>
    <w:lvlOverride w:ilvl="3">
      <w:startOverride w:val="1"/>
      <w:lvl w:ilvl="3">
        <w:start w:val="1"/>
        <w:numFmt w:val="decimal"/>
        <w:pStyle w:val="ListBullet4"/>
        <w:lvlText w:val=""/>
        <w:lvlJc w:val="left"/>
      </w:lvl>
    </w:lvlOverride>
    <w:lvlOverride w:ilvl="4">
      <w:startOverride w:val="1"/>
      <w:lvl w:ilvl="4">
        <w:start w:val="1"/>
        <w:numFmt w:val="decimal"/>
        <w:pStyle w:val="ListBullet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ascii="Verdana" w:hAnsi="Verdana" w:hint="default"/>
          <w:sz w:val="18"/>
          <w:szCs w:val="18"/>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0">
    <w:abstractNumId w:val="10"/>
  </w:num>
  <w:num w:numId="31">
    <w:abstractNumId w:val="12"/>
    <w:lvlOverride w:ilvl="0">
      <w:lvl w:ilvl="0">
        <w:start w:val="1"/>
        <w:numFmt w:val="decimal"/>
        <w:pStyle w:val="Heading1"/>
        <w:isLgl/>
        <w:suff w:val="nothing"/>
        <w:lvlText w:val="%1  "/>
        <w:lvlJc w:val="left"/>
        <w:pPr>
          <w:ind w:left="0" w:firstLine="0"/>
        </w:pPr>
        <w:rPr>
          <w:rFonts w:cs="Times New Roman"/>
        </w:rPr>
      </w:lvl>
    </w:lvlOverride>
    <w:lvlOverride w:ilvl="1">
      <w:lvl w:ilvl="1">
        <w:start w:val="1"/>
        <w:numFmt w:val="decimal"/>
        <w:pStyle w:val="Heading2"/>
        <w:isLgl/>
        <w:suff w:val="nothing"/>
        <w:lvlText w:val="%1.%2  "/>
        <w:lvlJc w:val="left"/>
        <w:pPr>
          <w:ind w:left="0" w:firstLine="0"/>
        </w:pPr>
        <w:rPr>
          <w:rFonts w:cs="Times New Roman"/>
        </w:rPr>
      </w:lvl>
    </w:lvlOverride>
    <w:lvlOverride w:ilvl="2">
      <w:lvl w:ilvl="2">
        <w:start w:val="1"/>
        <w:numFmt w:val="decimal"/>
        <w:pStyle w:val="Heading3"/>
        <w:isLgl/>
        <w:suff w:val="nothing"/>
        <w:lvlText w:val="%1.%2.%3  "/>
        <w:lvlJc w:val="left"/>
        <w:pPr>
          <w:ind w:left="0" w:firstLine="0"/>
        </w:pPr>
        <w:rPr>
          <w:rFonts w:cs="Times New Roman"/>
        </w:rPr>
      </w:lvl>
    </w:lvlOverride>
    <w:lvlOverride w:ilvl="3">
      <w:lvl w:ilvl="3">
        <w:start w:val="1"/>
        <w:numFmt w:val="decimal"/>
        <w:pStyle w:val="Heading4"/>
        <w:isLgl/>
        <w:suff w:val="nothing"/>
        <w:lvlText w:val="%1.%2.%3.%4  "/>
        <w:lvlJc w:val="left"/>
        <w:pPr>
          <w:ind w:left="0" w:firstLine="0"/>
        </w:pPr>
        <w:rPr>
          <w:rFonts w:cs="Times New Roman"/>
        </w:rPr>
      </w:lvl>
    </w:lvlOverride>
    <w:lvlOverride w:ilvl="4">
      <w:lvl w:ilvl="4">
        <w:start w:val="1"/>
        <w:numFmt w:val="decimal"/>
        <w:pStyle w:val="Heading5"/>
        <w:isLgl/>
        <w:suff w:val="nothing"/>
        <w:lvlText w:val="%1.%2.%3.%4.%5  "/>
        <w:lvlJc w:val="left"/>
        <w:pPr>
          <w:ind w:left="0" w:firstLine="0"/>
        </w:pPr>
        <w:rPr>
          <w:rFonts w:cs="Times New Roman"/>
        </w:rPr>
      </w:lvl>
    </w:lvlOverride>
    <w:lvlOverride w:ilvl="5">
      <w:lvl w:ilvl="5">
        <w:start w:val="1"/>
        <w:numFmt w:val="decimal"/>
        <w:pStyle w:val="Heading6"/>
        <w:isLgl/>
        <w:suff w:val="nothing"/>
        <w:lvlText w:val="%1.%2.%3.%4.%5.%6  "/>
        <w:lvlJc w:val="left"/>
        <w:pPr>
          <w:ind w:left="0" w:firstLine="0"/>
        </w:pPr>
        <w:rPr>
          <w:rFonts w:cs="Times New Roman"/>
        </w:rPr>
      </w:lvl>
    </w:lvlOverride>
    <w:lvlOverride w:ilvl="6">
      <w:lvl w:ilvl="6">
        <w:start w:val="1"/>
        <w:numFmt w:val="decimal"/>
        <w:lvlRestart w:val="0"/>
        <w:pStyle w:val="BodyText"/>
        <w:isLgl/>
        <w:suff w:val="nothing"/>
        <w:lvlText w:val="%1.%7.  "/>
        <w:lvlJc w:val="left"/>
        <w:pPr>
          <w:ind w:left="0" w:firstLine="0"/>
        </w:pPr>
        <w:rPr>
          <w:rFonts w:cs="Times New Roman"/>
          <w:b w:val="0"/>
          <w:bCs w:val="0"/>
        </w:rPr>
      </w:lvl>
    </w:lvlOverride>
    <w:lvlOverride w:ilvl="7">
      <w:lvl w:ilvl="7">
        <w:start w:val="1"/>
        <w:numFmt w:val="decimal"/>
        <w:pStyle w:val="BodyText2"/>
        <w:lvlText w:val="%8."/>
        <w:lvlJc w:val="left"/>
        <w:pPr>
          <w:tabs>
            <w:tab w:val="num" w:pos="907"/>
          </w:tabs>
          <w:ind w:left="907" w:hanging="340"/>
        </w:pPr>
        <w:rPr>
          <w:rFonts w:cs="Times New Roman"/>
        </w:rPr>
      </w:lvl>
    </w:lvlOverride>
    <w:lvlOverride w:ilvl="8">
      <w:lvl w:ilvl="8">
        <w:start w:val="1"/>
        <w:numFmt w:val="decimal"/>
        <w:pStyle w:val="BodyText3"/>
        <w:lvlText w:val="%9."/>
        <w:lvlJc w:val="left"/>
        <w:pPr>
          <w:tabs>
            <w:tab w:val="num" w:pos="1247"/>
          </w:tabs>
          <w:ind w:left="1247" w:hanging="340"/>
        </w:pPr>
        <w:rPr>
          <w:rFonts w:cs="Times New Roman"/>
        </w:rPr>
      </w:lvl>
    </w:lvlOverride>
  </w:num>
  <w:num w:numId="32">
    <w:abstractNumId w:val="12"/>
    <w:lvlOverride w:ilvl="0">
      <w:lvl w:ilvl="0">
        <w:start w:val="1"/>
        <w:numFmt w:val="decimal"/>
        <w:pStyle w:val="Heading1"/>
        <w:isLgl/>
        <w:suff w:val="nothing"/>
        <w:lvlText w:val="%1  "/>
        <w:lvlJc w:val="left"/>
        <w:pPr>
          <w:ind w:left="0" w:firstLine="0"/>
        </w:pPr>
      </w:lvl>
    </w:lvlOverride>
    <w:lvlOverride w:ilvl="1">
      <w:lvl w:ilvl="1">
        <w:start w:val="1"/>
        <w:numFmt w:val="decimal"/>
        <w:pStyle w:val="Heading2"/>
        <w:isLgl/>
        <w:suff w:val="nothing"/>
        <w:lvlText w:val="%1.%2  "/>
        <w:lvlJc w:val="left"/>
        <w:pPr>
          <w:ind w:left="0" w:firstLine="0"/>
        </w:pPr>
      </w:lvl>
    </w:lvlOverride>
    <w:lvlOverride w:ilvl="2">
      <w:lvl w:ilvl="2">
        <w:start w:val="1"/>
        <w:numFmt w:val="decimal"/>
        <w:pStyle w:val="Heading3"/>
        <w:isLgl/>
        <w:suff w:val="nothing"/>
        <w:lvlText w:val="%1.%2.%3  "/>
        <w:lvlJc w:val="left"/>
        <w:pPr>
          <w:ind w:left="0" w:firstLine="0"/>
        </w:pPr>
      </w:lvl>
    </w:lvlOverride>
    <w:lvlOverride w:ilvl="3">
      <w:lvl w:ilvl="3">
        <w:start w:val="1"/>
        <w:numFmt w:val="decimal"/>
        <w:pStyle w:val="Heading4"/>
        <w:isLgl/>
        <w:suff w:val="nothing"/>
        <w:lvlText w:val="%1.%2.%3.%4  "/>
        <w:lvlJc w:val="left"/>
        <w:pPr>
          <w:ind w:left="0" w:firstLine="0"/>
        </w:pPr>
      </w:lvl>
    </w:lvlOverride>
    <w:lvlOverride w:ilvl="4">
      <w:lvl w:ilvl="4">
        <w:start w:val="1"/>
        <w:numFmt w:val="decimal"/>
        <w:pStyle w:val="Heading5"/>
        <w:isLgl/>
        <w:suff w:val="nothing"/>
        <w:lvlText w:val="%1.%2.%3.%4.%5  "/>
        <w:lvlJc w:val="left"/>
        <w:pPr>
          <w:ind w:left="0" w:firstLine="0"/>
        </w:pPr>
      </w:lvl>
    </w:lvlOverride>
    <w:lvlOverride w:ilvl="5">
      <w:lvl w:ilvl="5">
        <w:start w:val="1"/>
        <w:numFmt w:val="decimal"/>
        <w:pStyle w:val="Heading6"/>
        <w:isLgl/>
        <w:suff w:val="nothing"/>
        <w:lvlText w:val="%1.%2.%3.%4.%5.%6  "/>
        <w:lvlJc w:val="left"/>
        <w:pPr>
          <w:ind w:left="0" w:firstLine="0"/>
        </w:pPr>
      </w:lvl>
    </w:lvlOverride>
    <w:lvlOverride w:ilvl="6">
      <w:lvl w:ilvl="6">
        <w:start w:val="1"/>
        <w:numFmt w:val="decimal"/>
        <w:lvlRestart w:val="1"/>
        <w:pStyle w:val="BodyText"/>
        <w:isLgl/>
        <w:suff w:val="nothing"/>
        <w:lvlText w:val="%1.%7.  "/>
        <w:lvlJc w:val="left"/>
        <w:pPr>
          <w:ind w:left="851" w:firstLine="0"/>
        </w:pPr>
      </w:lvl>
    </w:lvlOverride>
    <w:lvlOverride w:ilvl="7">
      <w:lvl w:ilvl="7">
        <w:start w:val="1"/>
        <w:numFmt w:val="decimal"/>
        <w:pStyle w:val="BodyText2"/>
        <w:lvlText w:val="%8."/>
        <w:lvlJc w:val="left"/>
        <w:pPr>
          <w:tabs>
            <w:tab w:val="num" w:pos="907"/>
          </w:tabs>
          <w:ind w:left="907" w:hanging="340"/>
        </w:pPr>
      </w:lvl>
    </w:lvlOverride>
    <w:lvlOverride w:ilvl="8">
      <w:lvl w:ilvl="8">
        <w:start w:val="1"/>
        <w:numFmt w:val="decimal"/>
        <w:pStyle w:val="BodyText3"/>
        <w:lvlText w:val="%9."/>
        <w:lvlJc w:val="left"/>
        <w:pPr>
          <w:tabs>
            <w:tab w:val="num" w:pos="1247"/>
          </w:tabs>
          <w:ind w:left="1247" w:hanging="340"/>
        </w:pPr>
      </w:lvl>
    </w:lvlOverride>
  </w:num>
  <w:num w:numId="33">
    <w:abstractNumId w:val="1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993"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4">
    <w:abstractNumId w:val="12"/>
    <w:lvlOverride w:ilvl="0">
      <w:startOverride w:val="4"/>
      <w:lvl w:ilvl="0">
        <w:start w:val="4"/>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2"/>
      <w:lvl w:ilvl="2">
        <w:start w:val="2"/>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284"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startOverride w:val="1"/>
      <w:lvl w:ilvl="7">
        <w:start w:val="1"/>
        <w:numFmt w:val="decimal"/>
        <w:pStyle w:val="BodyText2"/>
        <w:lvlText w:val="%8."/>
        <w:lvlJc w:val="left"/>
        <w:pPr>
          <w:tabs>
            <w:tab w:val="num" w:pos="907"/>
          </w:tabs>
          <w:ind w:left="907" w:hanging="340"/>
        </w:pPr>
        <w:rPr>
          <w:rFonts w:hint="default"/>
        </w:rPr>
      </w:lvl>
    </w:lvlOverride>
    <w:lvlOverride w:ilvl="8">
      <w:startOverride w:val="1"/>
      <w:lvl w:ilvl="8">
        <w:start w:val="1"/>
        <w:numFmt w:val="decimal"/>
        <w:pStyle w:val="BodyText3"/>
        <w:lvlText w:val="%9."/>
        <w:lvlJc w:val="left"/>
        <w:pPr>
          <w:tabs>
            <w:tab w:val="num" w:pos="1247"/>
          </w:tabs>
          <w:ind w:left="1247" w:hanging="340"/>
        </w:pPr>
        <w:rPr>
          <w:rFonts w:hint="default"/>
        </w:rPr>
      </w:lvl>
    </w:lvlOverride>
  </w:num>
  <w:num w:numId="35">
    <w:abstractNumId w:val="12"/>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6">
    <w:abstractNumId w:val="12"/>
    <w:lvlOverride w:ilvl="0">
      <w:startOverride w:val="4"/>
      <w:lvl w:ilvl="0">
        <w:start w:val="4"/>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426" w:firstLine="0"/>
        </w:pPr>
        <w:rPr>
          <w:rFonts w:ascii="Verdana" w:hAnsi="Verdana" w:hint="default"/>
          <w:b w:val="0"/>
          <w:bCs w:val="0"/>
          <w:color w:val="auto"/>
          <w:sz w:val="18"/>
          <w:szCs w:val="18"/>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7">
    <w:abstractNumId w:val="12"/>
    <w:lvlOverride w:ilvl="0">
      <w:startOverride w:val="4"/>
      <w:lvl w:ilvl="0">
        <w:start w:val="4"/>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8">
    <w:abstractNumId w:val="14"/>
  </w:num>
  <w:num w:numId="39">
    <w:abstractNumId w:val="16"/>
  </w:num>
  <w:num w:numId="40">
    <w:abstractNumId w:val="1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87"/>
    <w:rsid w:val="0000116E"/>
    <w:rsid w:val="000272F6"/>
    <w:rsid w:val="00037AC4"/>
    <w:rsid w:val="00045F7A"/>
    <w:rsid w:val="00053B83"/>
    <w:rsid w:val="00064E01"/>
    <w:rsid w:val="00072C4E"/>
    <w:rsid w:val="00073FB7"/>
    <w:rsid w:val="00087027"/>
    <w:rsid w:val="0009597E"/>
    <w:rsid w:val="000A4945"/>
    <w:rsid w:val="000B31E1"/>
    <w:rsid w:val="000B408D"/>
    <w:rsid w:val="000C45F4"/>
    <w:rsid w:val="000C70F1"/>
    <w:rsid w:val="000E1F77"/>
    <w:rsid w:val="00111310"/>
    <w:rsid w:val="0011356B"/>
    <w:rsid w:val="00117B93"/>
    <w:rsid w:val="00125306"/>
    <w:rsid w:val="0013337F"/>
    <w:rsid w:val="001352A4"/>
    <w:rsid w:val="00182B84"/>
    <w:rsid w:val="001E291F"/>
    <w:rsid w:val="00205EE6"/>
    <w:rsid w:val="00226C5B"/>
    <w:rsid w:val="00233408"/>
    <w:rsid w:val="00240C37"/>
    <w:rsid w:val="00242C10"/>
    <w:rsid w:val="002516AE"/>
    <w:rsid w:val="00260CF2"/>
    <w:rsid w:val="0027067B"/>
    <w:rsid w:val="002B2174"/>
    <w:rsid w:val="002C1DC3"/>
    <w:rsid w:val="002D7394"/>
    <w:rsid w:val="002D73F2"/>
    <w:rsid w:val="002E14B1"/>
    <w:rsid w:val="002F7281"/>
    <w:rsid w:val="00302D4E"/>
    <w:rsid w:val="00305414"/>
    <w:rsid w:val="00351267"/>
    <w:rsid w:val="00352F58"/>
    <w:rsid w:val="0035382D"/>
    <w:rsid w:val="003572B4"/>
    <w:rsid w:val="00365B55"/>
    <w:rsid w:val="00385C44"/>
    <w:rsid w:val="00394E74"/>
    <w:rsid w:val="00396F7B"/>
    <w:rsid w:val="003B6602"/>
    <w:rsid w:val="003B702C"/>
    <w:rsid w:val="003D0C54"/>
    <w:rsid w:val="003E5C1B"/>
    <w:rsid w:val="003F3FB2"/>
    <w:rsid w:val="00414226"/>
    <w:rsid w:val="00467032"/>
    <w:rsid w:val="0046754A"/>
    <w:rsid w:val="00477BF5"/>
    <w:rsid w:val="00482407"/>
    <w:rsid w:val="004A5851"/>
    <w:rsid w:val="004A60F7"/>
    <w:rsid w:val="004B63B1"/>
    <w:rsid w:val="004C2148"/>
    <w:rsid w:val="004C46DC"/>
    <w:rsid w:val="004C53A3"/>
    <w:rsid w:val="004D58A7"/>
    <w:rsid w:val="004E0DF2"/>
    <w:rsid w:val="004F203A"/>
    <w:rsid w:val="004F6A77"/>
    <w:rsid w:val="005158BB"/>
    <w:rsid w:val="00522109"/>
    <w:rsid w:val="005336B8"/>
    <w:rsid w:val="00560FD8"/>
    <w:rsid w:val="005820EB"/>
    <w:rsid w:val="00584D91"/>
    <w:rsid w:val="00597021"/>
    <w:rsid w:val="005A2EEF"/>
    <w:rsid w:val="005B04B9"/>
    <w:rsid w:val="005B68C7"/>
    <w:rsid w:val="005C20E0"/>
    <w:rsid w:val="005D097C"/>
    <w:rsid w:val="005D7BDB"/>
    <w:rsid w:val="005E613C"/>
    <w:rsid w:val="005F30CB"/>
    <w:rsid w:val="005F629A"/>
    <w:rsid w:val="00643B07"/>
    <w:rsid w:val="00652AEB"/>
    <w:rsid w:val="00672C87"/>
    <w:rsid w:val="00674CCD"/>
    <w:rsid w:val="00684A4A"/>
    <w:rsid w:val="00684B52"/>
    <w:rsid w:val="006877C2"/>
    <w:rsid w:val="00696CB3"/>
    <w:rsid w:val="006A2B31"/>
    <w:rsid w:val="006B3BDB"/>
    <w:rsid w:val="006C125E"/>
    <w:rsid w:val="006F2B5B"/>
    <w:rsid w:val="006F5826"/>
    <w:rsid w:val="00700181"/>
    <w:rsid w:val="007141CF"/>
    <w:rsid w:val="00731C80"/>
    <w:rsid w:val="0074236B"/>
    <w:rsid w:val="00751731"/>
    <w:rsid w:val="00751C0E"/>
    <w:rsid w:val="007577E3"/>
    <w:rsid w:val="00760DB3"/>
    <w:rsid w:val="007855F3"/>
    <w:rsid w:val="0079163C"/>
    <w:rsid w:val="00792A33"/>
    <w:rsid w:val="007A1409"/>
    <w:rsid w:val="007B4CE9"/>
    <w:rsid w:val="007C1B3A"/>
    <w:rsid w:val="007C3801"/>
    <w:rsid w:val="007C5264"/>
    <w:rsid w:val="007E6507"/>
    <w:rsid w:val="007F2B8E"/>
    <w:rsid w:val="007F34E9"/>
    <w:rsid w:val="007F4005"/>
    <w:rsid w:val="00807247"/>
    <w:rsid w:val="008113D4"/>
    <w:rsid w:val="00820D67"/>
    <w:rsid w:val="00840C2B"/>
    <w:rsid w:val="008516FD"/>
    <w:rsid w:val="00856701"/>
    <w:rsid w:val="008630DB"/>
    <w:rsid w:val="008739FD"/>
    <w:rsid w:val="008745F2"/>
    <w:rsid w:val="0087550A"/>
    <w:rsid w:val="00882E21"/>
    <w:rsid w:val="008A04B2"/>
    <w:rsid w:val="008C5CD0"/>
    <w:rsid w:val="008E372C"/>
    <w:rsid w:val="008F2512"/>
    <w:rsid w:val="009174B7"/>
    <w:rsid w:val="00920C65"/>
    <w:rsid w:val="00943F60"/>
    <w:rsid w:val="00952BFE"/>
    <w:rsid w:val="0095492D"/>
    <w:rsid w:val="0095569A"/>
    <w:rsid w:val="00964290"/>
    <w:rsid w:val="00972A1E"/>
    <w:rsid w:val="00976766"/>
    <w:rsid w:val="009A6F54"/>
    <w:rsid w:val="009B65E3"/>
    <w:rsid w:val="009B7A27"/>
    <w:rsid w:val="009C1BCD"/>
    <w:rsid w:val="00A11172"/>
    <w:rsid w:val="00A20766"/>
    <w:rsid w:val="00A46B7A"/>
    <w:rsid w:val="00A6057A"/>
    <w:rsid w:val="00A6704E"/>
    <w:rsid w:val="00A70DE0"/>
    <w:rsid w:val="00A74017"/>
    <w:rsid w:val="00A76A58"/>
    <w:rsid w:val="00A8139E"/>
    <w:rsid w:val="00A84E75"/>
    <w:rsid w:val="00A86C3D"/>
    <w:rsid w:val="00A87E03"/>
    <w:rsid w:val="00AA332C"/>
    <w:rsid w:val="00AA5626"/>
    <w:rsid w:val="00AA6659"/>
    <w:rsid w:val="00AB32D7"/>
    <w:rsid w:val="00AB366D"/>
    <w:rsid w:val="00AC27F8"/>
    <w:rsid w:val="00AC650D"/>
    <w:rsid w:val="00AD0003"/>
    <w:rsid w:val="00AD379F"/>
    <w:rsid w:val="00AD4C72"/>
    <w:rsid w:val="00AE1218"/>
    <w:rsid w:val="00AE2AEE"/>
    <w:rsid w:val="00AE39DA"/>
    <w:rsid w:val="00AF1FE1"/>
    <w:rsid w:val="00B12668"/>
    <w:rsid w:val="00B230EC"/>
    <w:rsid w:val="00B34425"/>
    <w:rsid w:val="00B44A47"/>
    <w:rsid w:val="00B96C5C"/>
    <w:rsid w:val="00BA0246"/>
    <w:rsid w:val="00BA758D"/>
    <w:rsid w:val="00BB1F84"/>
    <w:rsid w:val="00BB2A6D"/>
    <w:rsid w:val="00BC518F"/>
    <w:rsid w:val="00BE526B"/>
    <w:rsid w:val="00BE5468"/>
    <w:rsid w:val="00BE59B7"/>
    <w:rsid w:val="00BE625F"/>
    <w:rsid w:val="00BF3184"/>
    <w:rsid w:val="00C027E5"/>
    <w:rsid w:val="00C03C75"/>
    <w:rsid w:val="00C07540"/>
    <w:rsid w:val="00C11EAC"/>
    <w:rsid w:val="00C15F2E"/>
    <w:rsid w:val="00C270CC"/>
    <w:rsid w:val="00C30F2A"/>
    <w:rsid w:val="00C43456"/>
    <w:rsid w:val="00C55F19"/>
    <w:rsid w:val="00C6228A"/>
    <w:rsid w:val="00C65C0C"/>
    <w:rsid w:val="00C808FC"/>
    <w:rsid w:val="00CC3972"/>
    <w:rsid w:val="00CC3C7E"/>
    <w:rsid w:val="00CD7D97"/>
    <w:rsid w:val="00CE198A"/>
    <w:rsid w:val="00CE3EE6"/>
    <w:rsid w:val="00CE4BA1"/>
    <w:rsid w:val="00D000C7"/>
    <w:rsid w:val="00D02D58"/>
    <w:rsid w:val="00D23987"/>
    <w:rsid w:val="00D27048"/>
    <w:rsid w:val="00D43CFF"/>
    <w:rsid w:val="00D52A9D"/>
    <w:rsid w:val="00D55AAD"/>
    <w:rsid w:val="00D62D63"/>
    <w:rsid w:val="00D747AE"/>
    <w:rsid w:val="00D90E7D"/>
    <w:rsid w:val="00D9226C"/>
    <w:rsid w:val="00D949B1"/>
    <w:rsid w:val="00D94C7F"/>
    <w:rsid w:val="00D96063"/>
    <w:rsid w:val="00DA20BD"/>
    <w:rsid w:val="00DA47B4"/>
    <w:rsid w:val="00DC5123"/>
    <w:rsid w:val="00DD70E9"/>
    <w:rsid w:val="00DE304D"/>
    <w:rsid w:val="00DE50DB"/>
    <w:rsid w:val="00DE78DE"/>
    <w:rsid w:val="00DF07C6"/>
    <w:rsid w:val="00DF6AE1"/>
    <w:rsid w:val="00E23AF2"/>
    <w:rsid w:val="00E25FAA"/>
    <w:rsid w:val="00E36E49"/>
    <w:rsid w:val="00E4086C"/>
    <w:rsid w:val="00E43BA9"/>
    <w:rsid w:val="00E46FD5"/>
    <w:rsid w:val="00E51370"/>
    <w:rsid w:val="00E544BB"/>
    <w:rsid w:val="00E56545"/>
    <w:rsid w:val="00E60679"/>
    <w:rsid w:val="00E66257"/>
    <w:rsid w:val="00E67238"/>
    <w:rsid w:val="00E84C89"/>
    <w:rsid w:val="00E934ED"/>
    <w:rsid w:val="00EA5D4F"/>
    <w:rsid w:val="00EB6C56"/>
    <w:rsid w:val="00ED54E0"/>
    <w:rsid w:val="00F024D3"/>
    <w:rsid w:val="00F11486"/>
    <w:rsid w:val="00F171CC"/>
    <w:rsid w:val="00F30B48"/>
    <w:rsid w:val="00F32397"/>
    <w:rsid w:val="00F40595"/>
    <w:rsid w:val="00F45F35"/>
    <w:rsid w:val="00F47D66"/>
    <w:rsid w:val="00F879BF"/>
    <w:rsid w:val="00F95C1A"/>
    <w:rsid w:val="00FA5EBC"/>
    <w:rsid w:val="00FB428F"/>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D9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3D"/>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9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E60679"/>
    <w:pPr>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E60679"/>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E60679"/>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E60679"/>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E60679"/>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E60679"/>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46754A"/>
    <w:pPr>
      <w:tabs>
        <w:tab w:val="left" w:leader="do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leader="do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leader="do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3B6602"/>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4086C"/>
    <w:pPr>
      <w:keepNext/>
      <w:keepLines/>
      <w:spacing w:after="240"/>
      <w:jc w:val="left"/>
    </w:pPr>
    <w:rPr>
      <w:rFonts w:eastAsia="Times New Roman" w:cs="Times New Roman"/>
      <w:b/>
      <w:caps/>
      <w:color w:val="006283"/>
      <w:lang w:val="x-none"/>
    </w:rPr>
  </w:style>
  <w:style w:type="table" w:styleId="TableGrid">
    <w:name w:val="Table Grid"/>
    <w:basedOn w:val="TableNormal"/>
    <w:uiPriority w:val="3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86C3D"/>
    <w:pPr>
      <w:tabs>
        <w:tab w:val="left" w:pos="851"/>
      </w:tabs>
      <w:ind w:left="851" w:hanging="851"/>
      <w:jc w:val="left"/>
    </w:pPr>
    <w:rPr>
      <w:sz w:val="16"/>
    </w:rPr>
  </w:style>
  <w:style w:type="character" w:styleId="Hyperlink">
    <w:name w:val="Hyperlink"/>
    <w:basedOn w:val="DefaultParagraphFont"/>
    <w:uiPriority w:val="99"/>
    <w:unhideWhenUsed/>
    <w:rsid w:val="003E5C1B"/>
    <w:rPr>
      <w:color w:val="0000FF" w:themeColor="hyperlink"/>
      <w:u w:val="single"/>
    </w:rPr>
  </w:style>
  <w:style w:type="paragraph" w:styleId="Bibliography">
    <w:name w:val="Bibliography"/>
    <w:basedOn w:val="Normal"/>
    <w:next w:val="Normal"/>
    <w:uiPriority w:val="49"/>
    <w:semiHidden/>
    <w:unhideWhenUsed/>
    <w:rsid w:val="00414226"/>
  </w:style>
  <w:style w:type="paragraph" w:styleId="BlockText">
    <w:name w:val="Block Text"/>
    <w:basedOn w:val="Normal"/>
    <w:uiPriority w:val="99"/>
    <w:semiHidden/>
    <w:unhideWhenUsed/>
    <w:rsid w:val="004142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1422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14226"/>
    <w:rPr>
      <w:rFonts w:ascii="Verdana" w:hAnsi="Verdana"/>
      <w:sz w:val="18"/>
    </w:rPr>
  </w:style>
  <w:style w:type="paragraph" w:styleId="BodyTextIndent">
    <w:name w:val="Body Text Indent"/>
    <w:basedOn w:val="Normal"/>
    <w:link w:val="BodyTextIndentChar"/>
    <w:uiPriority w:val="99"/>
    <w:semiHidden/>
    <w:unhideWhenUsed/>
    <w:rsid w:val="00414226"/>
    <w:pPr>
      <w:spacing w:after="120"/>
      <w:ind w:left="283"/>
    </w:pPr>
  </w:style>
  <w:style w:type="character" w:customStyle="1" w:styleId="BodyTextIndentChar">
    <w:name w:val="Body Text Indent Char"/>
    <w:basedOn w:val="DefaultParagraphFont"/>
    <w:link w:val="BodyTextIndent"/>
    <w:uiPriority w:val="99"/>
    <w:semiHidden/>
    <w:rsid w:val="00414226"/>
    <w:rPr>
      <w:rFonts w:ascii="Verdana" w:hAnsi="Verdana"/>
      <w:sz w:val="18"/>
    </w:rPr>
  </w:style>
  <w:style w:type="paragraph" w:styleId="BodyTextFirstIndent2">
    <w:name w:val="Body Text First Indent 2"/>
    <w:basedOn w:val="BodyTextIndent"/>
    <w:link w:val="BodyTextFirstIndent2Char"/>
    <w:uiPriority w:val="99"/>
    <w:semiHidden/>
    <w:unhideWhenUsed/>
    <w:rsid w:val="00414226"/>
    <w:pPr>
      <w:spacing w:after="0"/>
      <w:ind w:left="360" w:firstLine="360"/>
    </w:pPr>
  </w:style>
  <w:style w:type="character" w:customStyle="1" w:styleId="BodyTextFirstIndent2Char">
    <w:name w:val="Body Text First Indent 2 Char"/>
    <w:basedOn w:val="BodyTextIndentChar"/>
    <w:link w:val="BodyTextFirstIndent2"/>
    <w:uiPriority w:val="99"/>
    <w:semiHidden/>
    <w:rsid w:val="00414226"/>
    <w:rPr>
      <w:rFonts w:ascii="Verdana" w:hAnsi="Verdana"/>
      <w:sz w:val="18"/>
    </w:rPr>
  </w:style>
  <w:style w:type="paragraph" w:styleId="BodyTextIndent2">
    <w:name w:val="Body Text Indent 2"/>
    <w:basedOn w:val="Normal"/>
    <w:link w:val="BodyTextIndent2Char"/>
    <w:uiPriority w:val="99"/>
    <w:semiHidden/>
    <w:unhideWhenUsed/>
    <w:rsid w:val="00414226"/>
    <w:pPr>
      <w:spacing w:after="120" w:line="480" w:lineRule="auto"/>
      <w:ind w:left="283"/>
    </w:pPr>
  </w:style>
  <w:style w:type="character" w:customStyle="1" w:styleId="BodyTextIndent2Char">
    <w:name w:val="Body Text Indent 2 Char"/>
    <w:basedOn w:val="DefaultParagraphFont"/>
    <w:link w:val="BodyTextIndent2"/>
    <w:uiPriority w:val="99"/>
    <w:semiHidden/>
    <w:rsid w:val="00414226"/>
    <w:rPr>
      <w:rFonts w:ascii="Verdana" w:hAnsi="Verdana"/>
      <w:sz w:val="18"/>
    </w:rPr>
  </w:style>
  <w:style w:type="paragraph" w:styleId="BodyTextIndent3">
    <w:name w:val="Body Text Indent 3"/>
    <w:basedOn w:val="Normal"/>
    <w:link w:val="BodyTextIndent3Char"/>
    <w:uiPriority w:val="99"/>
    <w:semiHidden/>
    <w:unhideWhenUsed/>
    <w:rsid w:val="004142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4226"/>
    <w:rPr>
      <w:rFonts w:ascii="Verdana" w:hAnsi="Verdana"/>
      <w:sz w:val="16"/>
      <w:szCs w:val="16"/>
    </w:rPr>
  </w:style>
  <w:style w:type="character" w:styleId="BookTitle">
    <w:name w:val="Book Title"/>
    <w:basedOn w:val="DefaultParagraphFont"/>
    <w:uiPriority w:val="99"/>
    <w:qFormat/>
    <w:rsid w:val="00414226"/>
    <w:rPr>
      <w:b/>
      <w:bCs/>
      <w:smallCaps/>
      <w:spacing w:val="5"/>
    </w:rPr>
  </w:style>
  <w:style w:type="paragraph" w:styleId="Closing">
    <w:name w:val="Closing"/>
    <w:basedOn w:val="Normal"/>
    <w:link w:val="ClosingChar"/>
    <w:uiPriority w:val="99"/>
    <w:semiHidden/>
    <w:unhideWhenUsed/>
    <w:rsid w:val="00414226"/>
    <w:pPr>
      <w:ind w:left="4252"/>
    </w:pPr>
  </w:style>
  <w:style w:type="character" w:customStyle="1" w:styleId="ClosingChar">
    <w:name w:val="Closing Char"/>
    <w:basedOn w:val="DefaultParagraphFont"/>
    <w:link w:val="Closing"/>
    <w:uiPriority w:val="99"/>
    <w:semiHidden/>
    <w:rsid w:val="00414226"/>
    <w:rPr>
      <w:rFonts w:ascii="Verdana" w:hAnsi="Verdana"/>
      <w:sz w:val="18"/>
    </w:rPr>
  </w:style>
  <w:style w:type="character" w:styleId="CommentReference">
    <w:name w:val="annotation reference"/>
    <w:basedOn w:val="DefaultParagraphFont"/>
    <w:uiPriority w:val="99"/>
    <w:semiHidden/>
    <w:unhideWhenUsed/>
    <w:rsid w:val="00414226"/>
    <w:rPr>
      <w:sz w:val="16"/>
      <w:szCs w:val="16"/>
    </w:rPr>
  </w:style>
  <w:style w:type="paragraph" w:styleId="CommentText">
    <w:name w:val="annotation text"/>
    <w:basedOn w:val="Normal"/>
    <w:link w:val="CommentTextChar"/>
    <w:uiPriority w:val="99"/>
    <w:unhideWhenUsed/>
    <w:rsid w:val="00414226"/>
    <w:rPr>
      <w:sz w:val="20"/>
      <w:szCs w:val="20"/>
    </w:rPr>
  </w:style>
  <w:style w:type="character" w:customStyle="1" w:styleId="CommentTextChar">
    <w:name w:val="Comment Text Char"/>
    <w:basedOn w:val="DefaultParagraphFont"/>
    <w:link w:val="CommentText"/>
    <w:uiPriority w:val="99"/>
    <w:rsid w:val="00414226"/>
    <w:rPr>
      <w:rFonts w:ascii="Verdana" w:hAnsi="Verdana"/>
      <w:sz w:val="20"/>
      <w:szCs w:val="20"/>
    </w:rPr>
  </w:style>
  <w:style w:type="paragraph" w:styleId="CommentSubject">
    <w:name w:val="annotation subject"/>
    <w:basedOn w:val="CommentText"/>
    <w:next w:val="CommentText"/>
    <w:link w:val="CommentSubjectChar"/>
    <w:uiPriority w:val="99"/>
    <w:unhideWhenUsed/>
    <w:rsid w:val="00414226"/>
    <w:rPr>
      <w:b/>
      <w:bCs/>
    </w:rPr>
  </w:style>
  <w:style w:type="character" w:customStyle="1" w:styleId="CommentSubjectChar">
    <w:name w:val="Comment Subject Char"/>
    <w:basedOn w:val="CommentTextChar"/>
    <w:link w:val="CommentSubject"/>
    <w:uiPriority w:val="99"/>
    <w:rsid w:val="00414226"/>
    <w:rPr>
      <w:rFonts w:ascii="Verdana" w:hAnsi="Verdana"/>
      <w:b/>
      <w:bCs/>
      <w:sz w:val="20"/>
      <w:szCs w:val="20"/>
    </w:rPr>
  </w:style>
  <w:style w:type="paragraph" w:styleId="Date">
    <w:name w:val="Date"/>
    <w:basedOn w:val="Normal"/>
    <w:next w:val="Normal"/>
    <w:link w:val="DateChar"/>
    <w:uiPriority w:val="99"/>
    <w:semiHidden/>
    <w:unhideWhenUsed/>
    <w:rsid w:val="00414226"/>
  </w:style>
  <w:style w:type="character" w:customStyle="1" w:styleId="DateChar">
    <w:name w:val="Date Char"/>
    <w:basedOn w:val="DefaultParagraphFont"/>
    <w:link w:val="Date"/>
    <w:uiPriority w:val="99"/>
    <w:semiHidden/>
    <w:rsid w:val="00414226"/>
    <w:rPr>
      <w:rFonts w:ascii="Verdana" w:hAnsi="Verdana"/>
      <w:sz w:val="18"/>
    </w:rPr>
  </w:style>
  <w:style w:type="paragraph" w:styleId="DocumentMap">
    <w:name w:val="Document Map"/>
    <w:basedOn w:val="Normal"/>
    <w:link w:val="DocumentMapChar"/>
    <w:uiPriority w:val="99"/>
    <w:semiHidden/>
    <w:unhideWhenUsed/>
    <w:rsid w:val="00414226"/>
    <w:rPr>
      <w:rFonts w:ascii="Tahoma" w:hAnsi="Tahoma" w:cs="Tahoma"/>
      <w:sz w:val="16"/>
      <w:szCs w:val="16"/>
    </w:rPr>
  </w:style>
  <w:style w:type="character" w:customStyle="1" w:styleId="DocumentMapChar">
    <w:name w:val="Document Map Char"/>
    <w:basedOn w:val="DefaultParagraphFont"/>
    <w:link w:val="DocumentMap"/>
    <w:uiPriority w:val="99"/>
    <w:semiHidden/>
    <w:rsid w:val="00414226"/>
    <w:rPr>
      <w:rFonts w:ascii="Tahoma" w:hAnsi="Tahoma" w:cs="Tahoma"/>
      <w:sz w:val="16"/>
      <w:szCs w:val="16"/>
    </w:rPr>
  </w:style>
  <w:style w:type="paragraph" w:styleId="E-mailSignature">
    <w:name w:val="E-mail Signature"/>
    <w:basedOn w:val="Normal"/>
    <w:link w:val="E-mailSignatureChar"/>
    <w:uiPriority w:val="99"/>
    <w:semiHidden/>
    <w:unhideWhenUsed/>
    <w:rsid w:val="00414226"/>
  </w:style>
  <w:style w:type="character" w:customStyle="1" w:styleId="E-mailSignatureChar">
    <w:name w:val="E-mail Signature Char"/>
    <w:basedOn w:val="DefaultParagraphFont"/>
    <w:link w:val="E-mailSignature"/>
    <w:uiPriority w:val="99"/>
    <w:semiHidden/>
    <w:rsid w:val="00414226"/>
    <w:rPr>
      <w:rFonts w:ascii="Verdana" w:hAnsi="Verdana"/>
      <w:sz w:val="18"/>
    </w:rPr>
  </w:style>
  <w:style w:type="character" w:styleId="Emphasis">
    <w:name w:val="Emphasis"/>
    <w:basedOn w:val="DefaultParagraphFont"/>
    <w:uiPriority w:val="99"/>
    <w:qFormat/>
    <w:rsid w:val="00414226"/>
    <w:rPr>
      <w:i/>
      <w:iCs/>
    </w:rPr>
  </w:style>
  <w:style w:type="paragraph" w:styleId="EnvelopeAddress">
    <w:name w:val="envelope address"/>
    <w:basedOn w:val="Normal"/>
    <w:uiPriority w:val="99"/>
    <w:semiHidden/>
    <w:unhideWhenUsed/>
    <w:rsid w:val="004142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1422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14226"/>
    <w:rPr>
      <w:color w:val="800080" w:themeColor="followedHyperlink"/>
      <w:u w:val="single"/>
    </w:rPr>
  </w:style>
  <w:style w:type="character" w:styleId="HTMLAcronym">
    <w:name w:val="HTML Acronym"/>
    <w:basedOn w:val="DefaultParagraphFont"/>
    <w:uiPriority w:val="99"/>
    <w:semiHidden/>
    <w:unhideWhenUsed/>
    <w:rsid w:val="00414226"/>
  </w:style>
  <w:style w:type="paragraph" w:styleId="HTMLAddress">
    <w:name w:val="HTML Address"/>
    <w:basedOn w:val="Normal"/>
    <w:link w:val="HTMLAddressChar"/>
    <w:uiPriority w:val="99"/>
    <w:semiHidden/>
    <w:unhideWhenUsed/>
    <w:rsid w:val="00414226"/>
    <w:rPr>
      <w:i/>
      <w:iCs/>
    </w:rPr>
  </w:style>
  <w:style w:type="character" w:customStyle="1" w:styleId="HTMLAddressChar">
    <w:name w:val="HTML Address Char"/>
    <w:basedOn w:val="DefaultParagraphFont"/>
    <w:link w:val="HTMLAddress"/>
    <w:uiPriority w:val="99"/>
    <w:semiHidden/>
    <w:rsid w:val="00414226"/>
    <w:rPr>
      <w:rFonts w:ascii="Verdana" w:hAnsi="Verdana"/>
      <w:i/>
      <w:iCs/>
      <w:sz w:val="18"/>
    </w:rPr>
  </w:style>
  <w:style w:type="character" w:styleId="HTMLCite">
    <w:name w:val="HTML Cite"/>
    <w:basedOn w:val="DefaultParagraphFont"/>
    <w:uiPriority w:val="99"/>
    <w:semiHidden/>
    <w:unhideWhenUsed/>
    <w:rsid w:val="00414226"/>
    <w:rPr>
      <w:i/>
      <w:iCs/>
    </w:rPr>
  </w:style>
  <w:style w:type="character" w:styleId="HTMLCode">
    <w:name w:val="HTML Code"/>
    <w:basedOn w:val="DefaultParagraphFont"/>
    <w:uiPriority w:val="99"/>
    <w:semiHidden/>
    <w:unhideWhenUsed/>
    <w:rsid w:val="00414226"/>
    <w:rPr>
      <w:rFonts w:ascii="Consolas" w:hAnsi="Consolas" w:cs="Consolas"/>
      <w:sz w:val="20"/>
      <w:szCs w:val="20"/>
    </w:rPr>
  </w:style>
  <w:style w:type="character" w:styleId="HTMLDefinition">
    <w:name w:val="HTML Definition"/>
    <w:basedOn w:val="DefaultParagraphFont"/>
    <w:uiPriority w:val="99"/>
    <w:semiHidden/>
    <w:unhideWhenUsed/>
    <w:rsid w:val="00414226"/>
    <w:rPr>
      <w:i/>
      <w:iCs/>
    </w:rPr>
  </w:style>
  <w:style w:type="character" w:styleId="HTMLKeyboard">
    <w:name w:val="HTML Keyboard"/>
    <w:basedOn w:val="DefaultParagraphFont"/>
    <w:uiPriority w:val="99"/>
    <w:semiHidden/>
    <w:unhideWhenUsed/>
    <w:rsid w:val="00414226"/>
    <w:rPr>
      <w:rFonts w:ascii="Consolas" w:hAnsi="Consolas" w:cs="Consolas"/>
      <w:sz w:val="20"/>
      <w:szCs w:val="20"/>
    </w:rPr>
  </w:style>
  <w:style w:type="paragraph" w:styleId="HTMLPreformatted">
    <w:name w:val="HTML Preformatted"/>
    <w:basedOn w:val="Normal"/>
    <w:link w:val="HTMLPreformattedChar"/>
    <w:uiPriority w:val="99"/>
    <w:semiHidden/>
    <w:unhideWhenUsed/>
    <w:rsid w:val="0041422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14226"/>
    <w:rPr>
      <w:rFonts w:ascii="Consolas" w:hAnsi="Consolas" w:cs="Consolas"/>
      <w:sz w:val="20"/>
      <w:szCs w:val="20"/>
    </w:rPr>
  </w:style>
  <w:style w:type="character" w:styleId="HTMLSample">
    <w:name w:val="HTML Sample"/>
    <w:basedOn w:val="DefaultParagraphFont"/>
    <w:uiPriority w:val="99"/>
    <w:semiHidden/>
    <w:unhideWhenUsed/>
    <w:rsid w:val="00414226"/>
    <w:rPr>
      <w:rFonts w:ascii="Consolas" w:hAnsi="Consolas" w:cs="Consolas"/>
      <w:sz w:val="24"/>
      <w:szCs w:val="24"/>
    </w:rPr>
  </w:style>
  <w:style w:type="character" w:styleId="HTMLTypewriter">
    <w:name w:val="HTML Typewriter"/>
    <w:basedOn w:val="DefaultParagraphFont"/>
    <w:uiPriority w:val="99"/>
    <w:semiHidden/>
    <w:unhideWhenUsed/>
    <w:rsid w:val="00414226"/>
    <w:rPr>
      <w:rFonts w:ascii="Consolas" w:hAnsi="Consolas" w:cs="Consolas"/>
      <w:sz w:val="20"/>
      <w:szCs w:val="20"/>
    </w:rPr>
  </w:style>
  <w:style w:type="character" w:styleId="HTMLVariable">
    <w:name w:val="HTML Variable"/>
    <w:basedOn w:val="DefaultParagraphFont"/>
    <w:uiPriority w:val="99"/>
    <w:semiHidden/>
    <w:unhideWhenUsed/>
    <w:rsid w:val="00414226"/>
    <w:rPr>
      <w:i/>
      <w:iCs/>
    </w:rPr>
  </w:style>
  <w:style w:type="paragraph" w:styleId="Index1">
    <w:name w:val="index 1"/>
    <w:basedOn w:val="Normal"/>
    <w:next w:val="Normal"/>
    <w:autoRedefine/>
    <w:uiPriority w:val="99"/>
    <w:semiHidden/>
    <w:unhideWhenUsed/>
    <w:rsid w:val="00414226"/>
    <w:pPr>
      <w:ind w:left="180" w:hanging="180"/>
    </w:pPr>
  </w:style>
  <w:style w:type="paragraph" w:styleId="Index2">
    <w:name w:val="index 2"/>
    <w:basedOn w:val="Normal"/>
    <w:next w:val="Normal"/>
    <w:autoRedefine/>
    <w:uiPriority w:val="99"/>
    <w:semiHidden/>
    <w:unhideWhenUsed/>
    <w:rsid w:val="00414226"/>
    <w:pPr>
      <w:ind w:left="360" w:hanging="180"/>
    </w:pPr>
  </w:style>
  <w:style w:type="paragraph" w:styleId="Index3">
    <w:name w:val="index 3"/>
    <w:basedOn w:val="Normal"/>
    <w:next w:val="Normal"/>
    <w:autoRedefine/>
    <w:uiPriority w:val="99"/>
    <w:semiHidden/>
    <w:unhideWhenUsed/>
    <w:rsid w:val="00414226"/>
    <w:pPr>
      <w:ind w:left="540" w:hanging="180"/>
    </w:pPr>
  </w:style>
  <w:style w:type="paragraph" w:styleId="Index4">
    <w:name w:val="index 4"/>
    <w:basedOn w:val="Normal"/>
    <w:next w:val="Normal"/>
    <w:autoRedefine/>
    <w:uiPriority w:val="99"/>
    <w:semiHidden/>
    <w:unhideWhenUsed/>
    <w:rsid w:val="00414226"/>
    <w:pPr>
      <w:ind w:left="720" w:hanging="180"/>
    </w:pPr>
  </w:style>
  <w:style w:type="paragraph" w:styleId="Index5">
    <w:name w:val="index 5"/>
    <w:basedOn w:val="Normal"/>
    <w:next w:val="Normal"/>
    <w:autoRedefine/>
    <w:uiPriority w:val="99"/>
    <w:semiHidden/>
    <w:unhideWhenUsed/>
    <w:rsid w:val="00414226"/>
    <w:pPr>
      <w:ind w:left="900" w:hanging="180"/>
    </w:pPr>
  </w:style>
  <w:style w:type="paragraph" w:styleId="Index6">
    <w:name w:val="index 6"/>
    <w:basedOn w:val="Normal"/>
    <w:next w:val="Normal"/>
    <w:autoRedefine/>
    <w:uiPriority w:val="99"/>
    <w:semiHidden/>
    <w:unhideWhenUsed/>
    <w:rsid w:val="00414226"/>
    <w:pPr>
      <w:ind w:left="1080" w:hanging="180"/>
    </w:pPr>
  </w:style>
  <w:style w:type="paragraph" w:styleId="Index7">
    <w:name w:val="index 7"/>
    <w:basedOn w:val="Normal"/>
    <w:next w:val="Normal"/>
    <w:autoRedefine/>
    <w:uiPriority w:val="99"/>
    <w:semiHidden/>
    <w:unhideWhenUsed/>
    <w:rsid w:val="00414226"/>
    <w:pPr>
      <w:ind w:left="1260" w:hanging="180"/>
    </w:pPr>
  </w:style>
  <w:style w:type="paragraph" w:styleId="Index8">
    <w:name w:val="index 8"/>
    <w:basedOn w:val="Normal"/>
    <w:next w:val="Normal"/>
    <w:autoRedefine/>
    <w:uiPriority w:val="99"/>
    <w:semiHidden/>
    <w:unhideWhenUsed/>
    <w:rsid w:val="00414226"/>
    <w:pPr>
      <w:ind w:left="1440" w:hanging="180"/>
    </w:pPr>
  </w:style>
  <w:style w:type="paragraph" w:styleId="Index9">
    <w:name w:val="index 9"/>
    <w:basedOn w:val="Normal"/>
    <w:next w:val="Normal"/>
    <w:autoRedefine/>
    <w:uiPriority w:val="99"/>
    <w:semiHidden/>
    <w:unhideWhenUsed/>
    <w:rsid w:val="00414226"/>
    <w:pPr>
      <w:ind w:left="1620" w:hanging="180"/>
    </w:pPr>
  </w:style>
  <w:style w:type="paragraph" w:styleId="IndexHeading">
    <w:name w:val="index heading"/>
    <w:basedOn w:val="Normal"/>
    <w:next w:val="Index1"/>
    <w:uiPriority w:val="99"/>
    <w:semiHidden/>
    <w:unhideWhenUsed/>
    <w:rsid w:val="00414226"/>
    <w:rPr>
      <w:rFonts w:asciiTheme="majorHAnsi" w:eastAsiaTheme="majorEastAsia" w:hAnsiTheme="majorHAnsi" w:cstheme="majorBidi"/>
      <w:b/>
      <w:bCs/>
    </w:rPr>
  </w:style>
  <w:style w:type="character" w:styleId="IntenseEmphasis">
    <w:name w:val="Intense Emphasis"/>
    <w:basedOn w:val="DefaultParagraphFont"/>
    <w:uiPriority w:val="99"/>
    <w:qFormat/>
    <w:rsid w:val="00414226"/>
    <w:rPr>
      <w:b/>
      <w:bCs/>
      <w:i/>
      <w:iCs/>
      <w:color w:val="4F81BD" w:themeColor="accent1"/>
    </w:rPr>
  </w:style>
  <w:style w:type="paragraph" w:styleId="IntenseQuote">
    <w:name w:val="Intense Quote"/>
    <w:basedOn w:val="Normal"/>
    <w:next w:val="Normal"/>
    <w:link w:val="IntenseQuoteChar"/>
    <w:uiPriority w:val="59"/>
    <w:qFormat/>
    <w:rsid w:val="004142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414226"/>
    <w:rPr>
      <w:rFonts w:ascii="Verdana" w:hAnsi="Verdana"/>
      <w:b/>
      <w:bCs/>
      <w:i/>
      <w:iCs/>
      <w:color w:val="4F81BD" w:themeColor="accent1"/>
      <w:sz w:val="18"/>
    </w:rPr>
  </w:style>
  <w:style w:type="character" w:styleId="IntenseReference">
    <w:name w:val="Intense Reference"/>
    <w:basedOn w:val="DefaultParagraphFont"/>
    <w:uiPriority w:val="99"/>
    <w:qFormat/>
    <w:rsid w:val="00414226"/>
    <w:rPr>
      <w:b/>
      <w:bCs/>
      <w:smallCaps/>
      <w:color w:val="C0504D" w:themeColor="accent2"/>
      <w:spacing w:val="5"/>
      <w:u w:val="single"/>
    </w:rPr>
  </w:style>
  <w:style w:type="character" w:styleId="LineNumber">
    <w:name w:val="line number"/>
    <w:basedOn w:val="DefaultParagraphFont"/>
    <w:uiPriority w:val="99"/>
    <w:semiHidden/>
    <w:unhideWhenUsed/>
    <w:rsid w:val="00414226"/>
  </w:style>
  <w:style w:type="paragraph" w:styleId="List">
    <w:name w:val="List"/>
    <w:basedOn w:val="Normal"/>
    <w:uiPriority w:val="99"/>
    <w:semiHidden/>
    <w:unhideWhenUsed/>
    <w:rsid w:val="00414226"/>
    <w:pPr>
      <w:ind w:left="283" w:hanging="283"/>
      <w:contextualSpacing/>
    </w:pPr>
  </w:style>
  <w:style w:type="paragraph" w:styleId="List2">
    <w:name w:val="List 2"/>
    <w:basedOn w:val="Normal"/>
    <w:uiPriority w:val="99"/>
    <w:semiHidden/>
    <w:unhideWhenUsed/>
    <w:rsid w:val="00414226"/>
    <w:pPr>
      <w:ind w:left="566" w:hanging="283"/>
      <w:contextualSpacing/>
    </w:pPr>
  </w:style>
  <w:style w:type="paragraph" w:styleId="List3">
    <w:name w:val="List 3"/>
    <w:basedOn w:val="Normal"/>
    <w:uiPriority w:val="99"/>
    <w:semiHidden/>
    <w:unhideWhenUsed/>
    <w:rsid w:val="00414226"/>
    <w:pPr>
      <w:ind w:left="849" w:hanging="283"/>
      <w:contextualSpacing/>
    </w:pPr>
  </w:style>
  <w:style w:type="paragraph" w:styleId="List4">
    <w:name w:val="List 4"/>
    <w:basedOn w:val="Normal"/>
    <w:uiPriority w:val="99"/>
    <w:semiHidden/>
    <w:unhideWhenUsed/>
    <w:rsid w:val="00414226"/>
    <w:pPr>
      <w:ind w:left="1132" w:hanging="283"/>
      <w:contextualSpacing/>
    </w:pPr>
  </w:style>
  <w:style w:type="paragraph" w:styleId="List5">
    <w:name w:val="List 5"/>
    <w:basedOn w:val="Normal"/>
    <w:uiPriority w:val="99"/>
    <w:semiHidden/>
    <w:unhideWhenUsed/>
    <w:rsid w:val="00414226"/>
    <w:pPr>
      <w:ind w:left="1415" w:hanging="283"/>
      <w:contextualSpacing/>
    </w:pPr>
  </w:style>
  <w:style w:type="paragraph" w:styleId="ListContinue">
    <w:name w:val="List Continue"/>
    <w:basedOn w:val="Normal"/>
    <w:uiPriority w:val="99"/>
    <w:semiHidden/>
    <w:unhideWhenUsed/>
    <w:rsid w:val="00414226"/>
    <w:pPr>
      <w:spacing w:after="120"/>
      <w:ind w:left="283"/>
      <w:contextualSpacing/>
    </w:pPr>
  </w:style>
  <w:style w:type="paragraph" w:styleId="ListContinue2">
    <w:name w:val="List Continue 2"/>
    <w:basedOn w:val="Normal"/>
    <w:uiPriority w:val="99"/>
    <w:semiHidden/>
    <w:unhideWhenUsed/>
    <w:rsid w:val="00414226"/>
    <w:pPr>
      <w:spacing w:after="120"/>
      <w:ind w:left="566"/>
      <w:contextualSpacing/>
    </w:pPr>
  </w:style>
  <w:style w:type="paragraph" w:styleId="ListContinue3">
    <w:name w:val="List Continue 3"/>
    <w:basedOn w:val="Normal"/>
    <w:uiPriority w:val="99"/>
    <w:semiHidden/>
    <w:unhideWhenUsed/>
    <w:rsid w:val="00414226"/>
    <w:pPr>
      <w:spacing w:after="120"/>
      <w:ind w:left="849"/>
      <w:contextualSpacing/>
    </w:pPr>
  </w:style>
  <w:style w:type="paragraph" w:styleId="ListContinue4">
    <w:name w:val="List Continue 4"/>
    <w:basedOn w:val="Normal"/>
    <w:uiPriority w:val="99"/>
    <w:semiHidden/>
    <w:unhideWhenUsed/>
    <w:rsid w:val="00414226"/>
    <w:pPr>
      <w:spacing w:after="120"/>
      <w:ind w:left="1132"/>
      <w:contextualSpacing/>
    </w:pPr>
  </w:style>
  <w:style w:type="paragraph" w:styleId="ListContinue5">
    <w:name w:val="List Continue 5"/>
    <w:basedOn w:val="Normal"/>
    <w:uiPriority w:val="99"/>
    <w:semiHidden/>
    <w:unhideWhenUsed/>
    <w:rsid w:val="00414226"/>
    <w:pPr>
      <w:spacing w:after="120"/>
      <w:ind w:left="1415"/>
      <w:contextualSpacing/>
    </w:pPr>
  </w:style>
  <w:style w:type="paragraph" w:styleId="ListNumber">
    <w:name w:val="List Number"/>
    <w:basedOn w:val="Normal"/>
    <w:uiPriority w:val="49"/>
    <w:semiHidden/>
    <w:unhideWhenUsed/>
    <w:rsid w:val="00414226"/>
    <w:pPr>
      <w:numPr>
        <w:numId w:val="11"/>
      </w:numPr>
      <w:contextualSpacing/>
    </w:pPr>
  </w:style>
  <w:style w:type="paragraph" w:styleId="ListNumber2">
    <w:name w:val="List Number 2"/>
    <w:basedOn w:val="Normal"/>
    <w:uiPriority w:val="49"/>
    <w:semiHidden/>
    <w:unhideWhenUsed/>
    <w:rsid w:val="00414226"/>
    <w:pPr>
      <w:numPr>
        <w:numId w:val="12"/>
      </w:numPr>
      <w:contextualSpacing/>
    </w:pPr>
  </w:style>
  <w:style w:type="paragraph" w:styleId="ListNumber3">
    <w:name w:val="List Number 3"/>
    <w:basedOn w:val="Normal"/>
    <w:uiPriority w:val="49"/>
    <w:semiHidden/>
    <w:unhideWhenUsed/>
    <w:rsid w:val="00414226"/>
    <w:pPr>
      <w:numPr>
        <w:numId w:val="13"/>
      </w:numPr>
      <w:contextualSpacing/>
    </w:pPr>
  </w:style>
  <w:style w:type="paragraph" w:styleId="ListNumber4">
    <w:name w:val="List Number 4"/>
    <w:basedOn w:val="Normal"/>
    <w:uiPriority w:val="49"/>
    <w:semiHidden/>
    <w:unhideWhenUsed/>
    <w:rsid w:val="00414226"/>
    <w:pPr>
      <w:numPr>
        <w:numId w:val="14"/>
      </w:numPr>
      <w:contextualSpacing/>
    </w:pPr>
  </w:style>
  <w:style w:type="paragraph" w:styleId="ListNumber5">
    <w:name w:val="List Number 5"/>
    <w:basedOn w:val="Normal"/>
    <w:uiPriority w:val="49"/>
    <w:semiHidden/>
    <w:unhideWhenUsed/>
    <w:rsid w:val="00414226"/>
    <w:pPr>
      <w:numPr>
        <w:numId w:val="15"/>
      </w:numPr>
      <w:contextualSpacing/>
    </w:pPr>
  </w:style>
  <w:style w:type="paragraph" w:styleId="MacroText">
    <w:name w:val="macro"/>
    <w:link w:val="MacroTextChar"/>
    <w:uiPriority w:val="99"/>
    <w:semiHidden/>
    <w:unhideWhenUsed/>
    <w:rsid w:val="0041422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414226"/>
    <w:rPr>
      <w:rFonts w:ascii="Consolas" w:hAnsi="Consolas" w:cs="Consolas"/>
      <w:sz w:val="20"/>
      <w:szCs w:val="20"/>
    </w:rPr>
  </w:style>
  <w:style w:type="paragraph" w:styleId="MessageHeader">
    <w:name w:val="Message Header"/>
    <w:basedOn w:val="Normal"/>
    <w:link w:val="MessageHeaderChar"/>
    <w:uiPriority w:val="99"/>
    <w:semiHidden/>
    <w:unhideWhenUsed/>
    <w:rsid w:val="004142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14226"/>
    <w:rPr>
      <w:rFonts w:asciiTheme="majorHAnsi" w:eastAsiaTheme="majorEastAsia" w:hAnsiTheme="majorHAnsi" w:cstheme="majorBidi"/>
      <w:sz w:val="24"/>
      <w:szCs w:val="24"/>
      <w:shd w:val="pct20" w:color="auto" w:fill="auto"/>
    </w:rPr>
  </w:style>
  <w:style w:type="paragraph" w:styleId="NoSpacing">
    <w:name w:val="No Spacing"/>
    <w:uiPriority w:val="1"/>
    <w:qFormat/>
    <w:rsid w:val="00414226"/>
    <w:pPr>
      <w:spacing w:after="0" w:line="240" w:lineRule="auto"/>
      <w:jc w:val="both"/>
    </w:pPr>
    <w:rPr>
      <w:rFonts w:ascii="Verdana" w:hAnsi="Verdana"/>
      <w:sz w:val="18"/>
    </w:rPr>
  </w:style>
  <w:style w:type="paragraph" w:styleId="NormalWeb">
    <w:name w:val="Normal (Web)"/>
    <w:basedOn w:val="Normal"/>
    <w:uiPriority w:val="99"/>
    <w:semiHidden/>
    <w:unhideWhenUsed/>
    <w:rsid w:val="00414226"/>
    <w:rPr>
      <w:rFonts w:ascii="Times New Roman" w:hAnsi="Times New Roman" w:cs="Times New Roman"/>
      <w:sz w:val="24"/>
      <w:szCs w:val="24"/>
    </w:rPr>
  </w:style>
  <w:style w:type="paragraph" w:styleId="NormalIndent">
    <w:name w:val="Normal Indent"/>
    <w:basedOn w:val="Normal"/>
    <w:uiPriority w:val="99"/>
    <w:semiHidden/>
    <w:unhideWhenUsed/>
    <w:rsid w:val="00414226"/>
    <w:pPr>
      <w:ind w:left="567"/>
    </w:pPr>
  </w:style>
  <w:style w:type="paragraph" w:styleId="NoteHeading">
    <w:name w:val="Note Heading"/>
    <w:basedOn w:val="Normal"/>
    <w:next w:val="Normal"/>
    <w:link w:val="NoteHeadingChar"/>
    <w:uiPriority w:val="99"/>
    <w:semiHidden/>
    <w:unhideWhenUsed/>
    <w:rsid w:val="00414226"/>
  </w:style>
  <w:style w:type="character" w:customStyle="1" w:styleId="NoteHeadingChar">
    <w:name w:val="Note Heading Char"/>
    <w:basedOn w:val="DefaultParagraphFont"/>
    <w:link w:val="NoteHeading"/>
    <w:uiPriority w:val="99"/>
    <w:semiHidden/>
    <w:rsid w:val="00414226"/>
    <w:rPr>
      <w:rFonts w:ascii="Verdana" w:hAnsi="Verdana"/>
      <w:sz w:val="18"/>
    </w:rPr>
  </w:style>
  <w:style w:type="character" w:styleId="PageNumber">
    <w:name w:val="page number"/>
    <w:basedOn w:val="DefaultParagraphFont"/>
    <w:uiPriority w:val="99"/>
    <w:semiHidden/>
    <w:unhideWhenUsed/>
    <w:rsid w:val="00414226"/>
  </w:style>
  <w:style w:type="character" w:styleId="PlaceholderText">
    <w:name w:val="Placeholder Text"/>
    <w:basedOn w:val="DefaultParagraphFont"/>
    <w:uiPriority w:val="99"/>
    <w:semiHidden/>
    <w:rsid w:val="00414226"/>
    <w:rPr>
      <w:color w:val="808080"/>
    </w:rPr>
  </w:style>
  <w:style w:type="paragraph" w:styleId="PlainText">
    <w:name w:val="Plain Text"/>
    <w:basedOn w:val="Normal"/>
    <w:link w:val="PlainTextChar"/>
    <w:uiPriority w:val="99"/>
    <w:unhideWhenUsed/>
    <w:rsid w:val="00414226"/>
    <w:rPr>
      <w:rFonts w:ascii="Consolas" w:hAnsi="Consolas" w:cs="Consolas"/>
      <w:sz w:val="21"/>
      <w:szCs w:val="21"/>
    </w:rPr>
  </w:style>
  <w:style w:type="character" w:customStyle="1" w:styleId="PlainTextChar">
    <w:name w:val="Plain Text Char"/>
    <w:basedOn w:val="DefaultParagraphFont"/>
    <w:link w:val="PlainText"/>
    <w:uiPriority w:val="99"/>
    <w:rsid w:val="00414226"/>
    <w:rPr>
      <w:rFonts w:ascii="Consolas" w:hAnsi="Consolas" w:cs="Consolas"/>
      <w:sz w:val="21"/>
      <w:szCs w:val="21"/>
    </w:rPr>
  </w:style>
  <w:style w:type="paragraph" w:styleId="Quote">
    <w:name w:val="Quote"/>
    <w:basedOn w:val="Normal"/>
    <w:next w:val="Normal"/>
    <w:link w:val="QuoteChar"/>
    <w:uiPriority w:val="59"/>
    <w:qFormat/>
    <w:rsid w:val="00414226"/>
    <w:rPr>
      <w:i/>
      <w:iCs/>
      <w:color w:val="000000" w:themeColor="text1"/>
    </w:rPr>
  </w:style>
  <w:style w:type="character" w:customStyle="1" w:styleId="QuoteChar">
    <w:name w:val="Quote Char"/>
    <w:basedOn w:val="DefaultParagraphFont"/>
    <w:link w:val="Quote"/>
    <w:uiPriority w:val="59"/>
    <w:rsid w:val="00414226"/>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414226"/>
  </w:style>
  <w:style w:type="character" w:customStyle="1" w:styleId="SalutationChar">
    <w:name w:val="Salutation Char"/>
    <w:basedOn w:val="DefaultParagraphFont"/>
    <w:link w:val="Salutation"/>
    <w:uiPriority w:val="99"/>
    <w:semiHidden/>
    <w:rsid w:val="00414226"/>
    <w:rPr>
      <w:rFonts w:ascii="Verdana" w:hAnsi="Verdana"/>
      <w:sz w:val="18"/>
    </w:rPr>
  </w:style>
  <w:style w:type="paragraph" w:styleId="Signature">
    <w:name w:val="Signature"/>
    <w:basedOn w:val="Normal"/>
    <w:link w:val="SignatureChar"/>
    <w:uiPriority w:val="99"/>
    <w:semiHidden/>
    <w:unhideWhenUsed/>
    <w:rsid w:val="00414226"/>
    <w:pPr>
      <w:ind w:left="4252"/>
    </w:pPr>
  </w:style>
  <w:style w:type="character" w:customStyle="1" w:styleId="SignatureChar">
    <w:name w:val="Signature Char"/>
    <w:basedOn w:val="DefaultParagraphFont"/>
    <w:link w:val="Signature"/>
    <w:uiPriority w:val="99"/>
    <w:semiHidden/>
    <w:rsid w:val="00414226"/>
    <w:rPr>
      <w:rFonts w:ascii="Verdana" w:hAnsi="Verdana"/>
      <w:sz w:val="18"/>
    </w:rPr>
  </w:style>
  <w:style w:type="character" w:styleId="Strong">
    <w:name w:val="Strong"/>
    <w:basedOn w:val="DefaultParagraphFont"/>
    <w:uiPriority w:val="99"/>
    <w:qFormat/>
    <w:rsid w:val="00414226"/>
    <w:rPr>
      <w:b/>
      <w:bCs/>
    </w:rPr>
  </w:style>
  <w:style w:type="character" w:styleId="SubtleEmphasis">
    <w:name w:val="Subtle Emphasis"/>
    <w:basedOn w:val="DefaultParagraphFont"/>
    <w:uiPriority w:val="99"/>
    <w:qFormat/>
    <w:rsid w:val="00414226"/>
    <w:rPr>
      <w:i/>
      <w:iCs/>
      <w:color w:val="808080" w:themeColor="text1" w:themeTint="7F"/>
    </w:rPr>
  </w:style>
  <w:style w:type="character" w:styleId="SubtleReference">
    <w:name w:val="Subtle Reference"/>
    <w:basedOn w:val="DefaultParagraphFont"/>
    <w:uiPriority w:val="99"/>
    <w:qFormat/>
    <w:rsid w:val="00414226"/>
    <w:rPr>
      <w:smallCaps/>
      <w:color w:val="C0504D" w:themeColor="accent2"/>
      <w:u w:val="single"/>
    </w:rPr>
  </w:style>
  <w:style w:type="paragraph" w:styleId="TOAHeading">
    <w:name w:val="toa heading"/>
    <w:basedOn w:val="Normal"/>
    <w:next w:val="Normal"/>
    <w:uiPriority w:val="39"/>
    <w:unhideWhenUsed/>
    <w:rsid w:val="00414226"/>
    <w:pPr>
      <w:spacing w:before="120"/>
    </w:pPr>
    <w:rPr>
      <w:rFonts w:asciiTheme="majorHAnsi" w:eastAsiaTheme="majorEastAsia" w:hAnsiTheme="majorHAnsi" w:cstheme="majorBidi"/>
      <w:b/>
      <w:bCs/>
      <w:sz w:val="24"/>
      <w:szCs w:val="24"/>
    </w:rPr>
  </w:style>
  <w:style w:type="character" w:customStyle="1" w:styleId="HeaderChar1">
    <w:name w:val="Header Char1"/>
    <w:uiPriority w:val="3"/>
    <w:rsid w:val="00352F58"/>
    <w:rPr>
      <w:rFonts w:ascii="Verdana" w:eastAsia="Calibri" w:hAnsi="Verdana" w:cs="Times New Roman"/>
      <w:sz w:val="18"/>
      <w:szCs w:val="18"/>
      <w:lang w:eastAsia="en-GB"/>
    </w:rPr>
  </w:style>
  <w:style w:type="character" w:customStyle="1" w:styleId="HeaderChar2">
    <w:name w:val="Header Char2"/>
    <w:uiPriority w:val="3"/>
    <w:rsid w:val="00352F58"/>
    <w:rPr>
      <w:rFonts w:ascii="Verdana" w:eastAsia="Calibri" w:hAnsi="Verdana" w:cs="Times New Roman"/>
      <w:sz w:val="18"/>
      <w:szCs w:val="18"/>
      <w:lang w:eastAsia="en-GB"/>
    </w:rPr>
  </w:style>
  <w:style w:type="character" w:customStyle="1" w:styleId="HeaderChar3">
    <w:name w:val="Header Char3"/>
    <w:uiPriority w:val="3"/>
    <w:rsid w:val="00352F58"/>
    <w:rPr>
      <w:rFonts w:ascii="Verdana" w:eastAsia="Calibri" w:hAnsi="Verdana" w:cs="Times New Roman"/>
      <w:sz w:val="18"/>
      <w:szCs w:val="18"/>
      <w:lang w:eastAsia="en-GB"/>
    </w:rPr>
  </w:style>
  <w:style w:type="character" w:styleId="UnresolvedMention">
    <w:name w:val="Unresolved Mention"/>
    <w:basedOn w:val="DefaultParagraphFont"/>
    <w:uiPriority w:val="99"/>
    <w:semiHidden/>
    <w:unhideWhenUsed/>
    <w:rsid w:val="00AB32D7"/>
    <w:rPr>
      <w:color w:val="605E5C"/>
      <w:shd w:val="clear" w:color="auto" w:fill="E1DFDD"/>
    </w:rPr>
  </w:style>
  <w:style w:type="character" w:customStyle="1" w:styleId="st">
    <w:name w:val="st"/>
    <w:uiPriority w:val="99"/>
    <w:semiHidden/>
    <w:rsid w:val="003758E5"/>
  </w:style>
  <w:style w:type="paragraph" w:styleId="Revision">
    <w:name w:val="Revision"/>
    <w:hidden/>
    <w:uiPriority w:val="99"/>
    <w:semiHidden/>
    <w:rsid w:val="003758E5"/>
    <w:pPr>
      <w:spacing w:after="0" w:line="240" w:lineRule="auto"/>
    </w:pPr>
    <w:rPr>
      <w:rFonts w:ascii="Verdana" w:eastAsia="Calibri" w:hAnsi="Verdana" w:cs="Times New Roman"/>
      <w:sz w:val="18"/>
    </w:rPr>
  </w:style>
  <w:style w:type="character" w:styleId="Hashtag">
    <w:name w:val="Hashtag"/>
    <w:basedOn w:val="DefaultParagraphFont"/>
    <w:uiPriority w:val="99"/>
    <w:semiHidden/>
    <w:unhideWhenUsed/>
    <w:rsid w:val="003758E5"/>
    <w:rPr>
      <w:color w:val="2B579A"/>
      <w:shd w:val="clear" w:color="auto" w:fill="E1DFDD"/>
    </w:rPr>
  </w:style>
  <w:style w:type="character" w:styleId="Mention">
    <w:name w:val="Mention"/>
    <w:basedOn w:val="DefaultParagraphFont"/>
    <w:uiPriority w:val="99"/>
    <w:semiHidden/>
    <w:unhideWhenUsed/>
    <w:rsid w:val="003758E5"/>
    <w:rPr>
      <w:color w:val="2B579A"/>
      <w:shd w:val="clear" w:color="auto" w:fill="E1DFDD"/>
    </w:rPr>
  </w:style>
  <w:style w:type="character" w:styleId="SmartHyperlink">
    <w:name w:val="Smart Hyperlink"/>
    <w:basedOn w:val="DefaultParagraphFont"/>
    <w:uiPriority w:val="99"/>
    <w:semiHidden/>
    <w:unhideWhenUsed/>
    <w:rsid w:val="003758E5"/>
    <w:rPr>
      <w:u w:val="dotted"/>
    </w:rPr>
  </w:style>
  <w:style w:type="character" w:styleId="SmartLink">
    <w:name w:val="Smart Link"/>
    <w:basedOn w:val="DefaultParagraphFont"/>
    <w:uiPriority w:val="99"/>
    <w:semiHidden/>
    <w:unhideWhenUsed/>
    <w:rsid w:val="003758E5"/>
    <w:rPr>
      <w:color w:val="0000FF"/>
      <w:u w:val="single"/>
      <w:shd w:val="clear" w:color="auto" w:fill="F3F2F1"/>
    </w:rPr>
  </w:style>
  <w:style w:type="table" w:customStyle="1" w:styleId="WTOTable11">
    <w:name w:val="WTOTable11"/>
    <w:basedOn w:val="TableNormal"/>
    <w:uiPriority w:val="99"/>
    <w:rsid w:val="003758E5"/>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5622">
      <w:bodyDiv w:val="1"/>
      <w:marLeft w:val="0"/>
      <w:marRight w:val="0"/>
      <w:marTop w:val="0"/>
      <w:marBottom w:val="0"/>
      <w:divBdr>
        <w:top w:val="none" w:sz="0" w:space="0" w:color="auto"/>
        <w:left w:val="none" w:sz="0" w:space="0" w:color="auto"/>
        <w:bottom w:val="none" w:sz="0" w:space="0" w:color="auto"/>
        <w:right w:val="none" w:sz="0" w:space="0" w:color="auto"/>
      </w:divBdr>
    </w:div>
    <w:div w:id="173612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fontTable" Target="fontTable.xml"/><Relationship Id="rId21" Type="http://schemas.openxmlformats.org/officeDocument/2006/relationships/image" Target="media/image4.emf"/><Relationship Id="rId42" Type="http://schemas.openxmlformats.org/officeDocument/2006/relationships/hyperlink" Target="http://www.bcp.gov.gh" TargetMode="External"/><Relationship Id="rId47" Type="http://schemas.openxmlformats.org/officeDocument/2006/relationships/hyperlink" Target="http://www.lgs.gov.gh" TargetMode="External"/><Relationship Id="rId63" Type="http://schemas.openxmlformats.org/officeDocument/2006/relationships/footer" Target="footer14.xml"/><Relationship Id="rId68" Type="http://schemas.openxmlformats.org/officeDocument/2006/relationships/image" Target="media/image8.emf"/><Relationship Id="rId84" Type="http://schemas.openxmlformats.org/officeDocument/2006/relationships/footer" Target="footer16.xml"/><Relationship Id="rId89" Type="http://schemas.openxmlformats.org/officeDocument/2006/relationships/hyperlink" Target="https://www.mofad.gov.gh/publications/statistics-and-reports/fish-production/" TargetMode="External"/><Relationship Id="rId112" Type="http://schemas.openxmlformats.org/officeDocument/2006/relationships/footer" Target="footer20.xml"/><Relationship Id="rId16" Type="http://schemas.openxmlformats.org/officeDocument/2006/relationships/hyperlink" Target="https://data.imf.org/" TargetMode="External"/><Relationship Id="rId107" Type="http://schemas.openxmlformats.org/officeDocument/2006/relationships/hyperlink" Target="http://www.ghanabar.org" TargetMode="Externa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footer" Target="footer8.xml"/><Relationship Id="rId37" Type="http://schemas.openxmlformats.org/officeDocument/2006/relationships/hyperlink" Target="https://bcp.gov.gh/acc/registry/docs/GHANA%20EXPORT-IMPORT%20BANK%20ACT,%202016%C2%A0Act%C2%A0%20(ACT%20911).pdf" TargetMode="External"/><Relationship Id="rId40" Type="http://schemas.openxmlformats.org/officeDocument/2006/relationships/hyperlink" Target="https://ppa.gov.gh/" TargetMode="External"/><Relationship Id="rId45" Type="http://schemas.openxmlformats.org/officeDocument/2006/relationships/hyperlink" Target="http://www.lgs.gov.gh" TargetMode="External"/><Relationship Id="rId53" Type="http://schemas.openxmlformats.org/officeDocument/2006/relationships/hyperlink" Target="https://scholar.harvard.edu/files/kenneth-okwor/files/legal_and_institutional_framework_for_monetary_integration_in_west_africa.pdf" TargetMode="External"/><Relationship Id="rId58" Type="http://schemas.openxmlformats.org/officeDocument/2006/relationships/header" Target="header6.xml"/><Relationship Id="rId66" Type="http://schemas.openxmlformats.org/officeDocument/2006/relationships/hyperlink" Target="https://www.mofep.gov.gh/fiscal-data" TargetMode="External"/><Relationship Id="rId74" Type="http://schemas.openxmlformats.org/officeDocument/2006/relationships/hyperlink" Target="http://www.wipo.int/wipolex/en/text.jsp?file_id=223077" TargetMode="External"/><Relationship Id="rId79" Type="http://schemas.openxmlformats.org/officeDocument/2006/relationships/hyperlink" Target="http://www.wipo.int/wipolex/en/text.jsp?file_id=223004" TargetMode="External"/><Relationship Id="rId87" Type="http://schemas.openxmlformats.org/officeDocument/2006/relationships/hyperlink" Target="http://www.fao.org/faostat/en/" TargetMode="External"/><Relationship Id="rId102" Type="http://schemas.openxmlformats.org/officeDocument/2006/relationships/hyperlink" Target="https://data.wto.org/" TargetMode="External"/><Relationship Id="rId110" Type="http://schemas.openxmlformats.org/officeDocument/2006/relationships/footer" Target="footer19.xml"/><Relationship Id="rId115"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3.xml"/><Relationship Id="rId82" Type="http://schemas.openxmlformats.org/officeDocument/2006/relationships/hyperlink" Target="https://www.upov.int/edocs/mdocs/upov/en/c_55/law_of_ghana.pdf" TargetMode="External"/><Relationship Id="rId90" Type="http://schemas.openxmlformats.org/officeDocument/2006/relationships/hyperlink" Target="https://www.fao.org/fishery/en/statistics" TargetMode="External"/><Relationship Id="rId95" Type="http://schemas.openxmlformats.org/officeDocument/2006/relationships/hyperlink" Target="https://www.moti.gov.gh/docs/Hon_Minister_Presentation.pdf" TargetMode="External"/><Relationship Id="rId19" Type="http://schemas.openxmlformats.org/officeDocument/2006/relationships/hyperlink" Target="https://www.bog.gov.gh/economic-data/balance-of-payment/" TargetMode="External"/><Relationship Id="rId14" Type="http://schemas.openxmlformats.org/officeDocument/2006/relationships/hyperlink" Target="https://www.bog.gov.gh/economic-data/" TargetMode="Externa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yperlink" Target="http://www.gitc.gov.gh" TargetMode="External"/><Relationship Id="rId43" Type="http://schemas.openxmlformats.org/officeDocument/2006/relationships/hyperlink" Target="http://www.lgs.gov.gh" TargetMode="External"/><Relationship Id="rId48" Type="http://schemas.openxmlformats.org/officeDocument/2006/relationships/hyperlink" Target="http://www.bcp.gov.gh" TargetMode="External"/><Relationship Id="rId56" Type="http://schemas.openxmlformats.org/officeDocument/2006/relationships/footer" Target="footer9.xml"/><Relationship Id="rId64" Type="http://schemas.openxmlformats.org/officeDocument/2006/relationships/hyperlink" Target="https://tfadatabase.org/members/ghana" TargetMode="External"/><Relationship Id="rId69" Type="http://schemas.openxmlformats.org/officeDocument/2006/relationships/image" Target="media/image9.emf"/><Relationship Id="rId77" Type="http://schemas.openxmlformats.org/officeDocument/2006/relationships/hyperlink" Target="http://www.wipo.int/wipolex/en/text.jsp?file_id=218529" TargetMode="External"/><Relationship Id="rId100" Type="http://schemas.openxmlformats.org/officeDocument/2006/relationships/hyperlink" Target="https://data.imf.org/" TargetMode="External"/><Relationship Id="rId105" Type="http://schemas.openxmlformats.org/officeDocument/2006/relationships/image" Target="media/image17.emf"/><Relationship Id="rId113" Type="http://schemas.openxmlformats.org/officeDocument/2006/relationships/footer" Target="footer21.xml"/><Relationship Id="rId11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docs.wto.org/dol2fe/Pages/FE_Search/FE_S_S005.aspx" TargetMode="External"/><Relationship Id="rId72" Type="http://schemas.openxmlformats.org/officeDocument/2006/relationships/hyperlink" Target="https://www.gepaghana.org/import/faq/" TargetMode="External"/><Relationship Id="rId80" Type="http://schemas.openxmlformats.org/officeDocument/2006/relationships/hyperlink" Target="http://www.wipo.int/wipolex/fr/text.jsp?file_id=223034" TargetMode="External"/><Relationship Id="rId85" Type="http://schemas.openxmlformats.org/officeDocument/2006/relationships/header" Target="header8.xml"/><Relationship Id="rId93" Type="http://schemas.openxmlformats.org/officeDocument/2006/relationships/hyperlink" Target="http://ir.parliament.gh/bitstream/handle/123456789/1502/2019_12_20_15_03_19.pdf?sequence=1&amp;isAllowed=y" TargetMode="External"/><Relationship Id="rId98" Type="http://schemas.openxmlformats.org/officeDocument/2006/relationships/image" Target="media/image14.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footer" Target="footer3.xml"/><Relationship Id="rId33" Type="http://schemas.openxmlformats.org/officeDocument/2006/relationships/hyperlink" Target="https://www.bcp.gov.gh/acc/registry/docs/Value-Added-Tax-Amemdment-ACT-2017-Act-948-1.pdf" TargetMode="External"/><Relationship Id="rId38" Type="http://schemas.openxmlformats.org/officeDocument/2006/relationships/hyperlink" Target="http://www.bcp.gov.gh" TargetMode="External"/><Relationship Id="rId46" Type="http://schemas.openxmlformats.org/officeDocument/2006/relationships/hyperlink" Target="http://www.bcp.gov.gh" TargetMode="External"/><Relationship Id="rId59" Type="http://schemas.openxmlformats.org/officeDocument/2006/relationships/footer" Target="footer11.xml"/><Relationship Id="rId67" Type="http://schemas.openxmlformats.org/officeDocument/2006/relationships/hyperlink" Target="https://www.mofep.gov.gh/fiscal-data" TargetMode="External"/><Relationship Id="rId103" Type="http://schemas.openxmlformats.org/officeDocument/2006/relationships/hyperlink" Target="https://www.statsghana.gov.gh/" TargetMode="External"/><Relationship Id="rId108" Type="http://schemas.openxmlformats.org/officeDocument/2006/relationships/hyperlink" Target="http://www.mdcghana.org/" TargetMode="External"/><Relationship Id="rId116" Type="http://schemas.openxmlformats.org/officeDocument/2006/relationships/footer" Target="footer23.xml"/><Relationship Id="rId20" Type="http://schemas.openxmlformats.org/officeDocument/2006/relationships/image" Target="media/image3.emf"/><Relationship Id="rId41" Type="http://schemas.openxmlformats.org/officeDocument/2006/relationships/hyperlink" Target="http://www.bcp.gov.gh" TargetMode="External"/><Relationship Id="rId54" Type="http://schemas.openxmlformats.org/officeDocument/2006/relationships/hyperlink" Target="http://rgd.gov.gh/" TargetMode="External"/><Relationship Id="rId62" Type="http://schemas.openxmlformats.org/officeDocument/2006/relationships/header" Target="header7.xml"/><Relationship Id="rId70" Type="http://schemas.openxmlformats.org/officeDocument/2006/relationships/image" Target="media/image10.emf"/><Relationship Id="rId75" Type="http://schemas.openxmlformats.org/officeDocument/2006/relationships/hyperlink" Target="http://www.wipo.int/wipolex/fr/text.jsp?file_id=223028" TargetMode="External"/><Relationship Id="rId83" Type="http://schemas.openxmlformats.org/officeDocument/2006/relationships/footer" Target="footer15.xml"/><Relationship Id="rId88" Type="http://schemas.openxmlformats.org/officeDocument/2006/relationships/image" Target="media/image12.emf"/><Relationship Id="rId91" Type="http://schemas.openxmlformats.org/officeDocument/2006/relationships/hyperlink" Target="http://energycom.gov.gh/files/National%20Energy%20Statistics%202021.pdf" TargetMode="External"/><Relationship Id="rId96" Type="http://schemas.openxmlformats.org/officeDocument/2006/relationships/hyperlink" Target="https://fdaghana.gov.gh/img/organisation/GUIDELINES%20FOR%20IMPORTATION%20OF%20DRUGS.pdf" TargetMode="External"/><Relationship Id="rId11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ctadstat.unctad.org/EN/" TargetMode="External"/><Relationship Id="rId23" Type="http://schemas.openxmlformats.org/officeDocument/2006/relationships/hyperlink" Target="https://www.bog.gov.gh/economic-data/" TargetMode="External"/><Relationship Id="rId28" Type="http://schemas.openxmlformats.org/officeDocument/2006/relationships/footer" Target="footer5.xml"/><Relationship Id="rId36" Type="http://schemas.openxmlformats.org/officeDocument/2006/relationships/hyperlink" Target="http://www.bcp.gov.gh" TargetMode="External"/><Relationship Id="rId49" Type="http://schemas.openxmlformats.org/officeDocument/2006/relationships/hyperlink" Target="https://gdpc.gov.gh/site/" TargetMode="External"/><Relationship Id="rId57" Type="http://schemas.openxmlformats.org/officeDocument/2006/relationships/footer" Target="footer10.xml"/><Relationship Id="rId106" Type="http://schemas.openxmlformats.org/officeDocument/2006/relationships/hyperlink" Target="http://ghie.org.gh" TargetMode="External"/><Relationship Id="rId114" Type="http://schemas.openxmlformats.org/officeDocument/2006/relationships/footer" Target="footer22.xml"/><Relationship Id="rId10" Type="http://schemas.openxmlformats.org/officeDocument/2006/relationships/footer" Target="footer1.xml"/><Relationship Id="rId31" Type="http://schemas.openxmlformats.org/officeDocument/2006/relationships/header" Target="header5.xml"/><Relationship Id="rId44" Type="http://schemas.openxmlformats.org/officeDocument/2006/relationships/hyperlink" Target="http://www.bcp.gov.gh" TargetMode="External"/><Relationship Id="rId52" Type="http://schemas.openxmlformats.org/officeDocument/2006/relationships/hyperlink" Target="http://www.uemoa.int/sites/default/files/bibliotheque/bulletin_officiel_2019_vf.pdf" TargetMode="External"/><Relationship Id="rId60" Type="http://schemas.openxmlformats.org/officeDocument/2006/relationships/footer" Target="footer12.xml"/><Relationship Id="rId65" Type="http://schemas.openxmlformats.org/officeDocument/2006/relationships/image" Target="media/image7.emf"/><Relationship Id="rId73" Type="http://schemas.openxmlformats.org/officeDocument/2006/relationships/image" Target="media/image11.emf"/><Relationship Id="rId78" Type="http://schemas.openxmlformats.org/officeDocument/2006/relationships/hyperlink" Target="https://wipolex.wipo.int/en/legislation/details/17315" TargetMode="External"/><Relationship Id="rId81" Type="http://schemas.openxmlformats.org/officeDocument/2006/relationships/hyperlink" Target="http://www.wipo.int/wipolex/en/text.jsp?file_id=223053" TargetMode="External"/><Relationship Id="rId86" Type="http://schemas.openxmlformats.org/officeDocument/2006/relationships/footer" Target="footer17.xml"/><Relationship Id="rId94" Type="http://schemas.openxmlformats.org/officeDocument/2006/relationships/hyperlink" Target="https://www.bcp.gov.gh/login" TargetMode="External"/><Relationship Id="rId99" Type="http://schemas.openxmlformats.org/officeDocument/2006/relationships/hyperlink" Target="https://www.bog.gov.gh/economic-data/" TargetMode="External"/><Relationship Id="rId10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statsghana.gov.gh/" TargetMode="External"/><Relationship Id="rId18" Type="http://schemas.openxmlformats.org/officeDocument/2006/relationships/hyperlink" Target="https://www.worldbank.org/en/research/commodity-markets" TargetMode="External"/><Relationship Id="rId39" Type="http://schemas.openxmlformats.org/officeDocument/2006/relationships/hyperlink" Target="http://www.eximbankghana.com" TargetMode="External"/><Relationship Id="rId109" Type="http://schemas.openxmlformats.org/officeDocument/2006/relationships/footer" Target="footer18.xml"/><Relationship Id="rId34" Type="http://schemas.openxmlformats.org/officeDocument/2006/relationships/hyperlink" Target="http://www.bcp.gov.gh" TargetMode="External"/><Relationship Id="rId50" Type="http://schemas.openxmlformats.org/officeDocument/2006/relationships/hyperlink" Target="https://nicgh.org" TargetMode="External"/><Relationship Id="rId55" Type="http://schemas.openxmlformats.org/officeDocument/2006/relationships/hyperlink" Target="https://ppa.gov.gh/" TargetMode="External"/><Relationship Id="rId76" Type="http://schemas.openxmlformats.org/officeDocument/2006/relationships/hyperlink" Target="http://www.parliament.gh/" TargetMode="External"/><Relationship Id="rId97" Type="http://schemas.openxmlformats.org/officeDocument/2006/relationships/image" Target="media/image13.emf"/><Relationship Id="rId104" Type="http://schemas.openxmlformats.org/officeDocument/2006/relationships/image" Target="media/image16.emf"/><Relationship Id="rId7" Type="http://schemas.openxmlformats.org/officeDocument/2006/relationships/endnotes" Target="endnotes.xml"/><Relationship Id="rId71" Type="http://schemas.openxmlformats.org/officeDocument/2006/relationships/hyperlink" Target="https://etls.ecowas.int/approved-enterprises-and-products/" TargetMode="External"/><Relationship Id="rId92" Type="http://schemas.openxmlformats.org/officeDocument/2006/relationships/hyperlink" Target="https://moti.gov.gh/article.php?id=NTM=" TargetMode="External"/><Relationship Id="rId2" Type="http://schemas.openxmlformats.org/officeDocument/2006/relationships/numbering" Target="numbering.xml"/><Relationship Id="rId29" Type="http://schemas.openxmlformats.org/officeDocument/2006/relationships/footer" Target="footer6.xml"/></Relationships>
</file>

<file path=word/_rels/footnotes.xml.rels><?xml version="1.0" encoding="UTF-8" standalone="yes"?>
<Relationships xmlns="http://schemas.openxmlformats.org/package/2006/relationships"><Relationship Id="rId26" Type="http://schemas.openxmlformats.org/officeDocument/2006/relationships/hyperlink" Target="https://ppa.gov.gh/" TargetMode="External"/><Relationship Id="rId117" Type="http://schemas.openxmlformats.org/officeDocument/2006/relationships/hyperlink" Target="https://munin.uit.no/bitstream/handle/10037/14303/article.pdf?sequence=2&amp;isAllowed=y" TargetMode="External"/><Relationship Id="rId21" Type="http://schemas.openxmlformats.org/officeDocument/2006/relationships/hyperlink" Target="http://www.trademap.org" TargetMode="External"/><Relationship Id="rId42" Type="http://schemas.openxmlformats.org/officeDocument/2006/relationships/hyperlink" Target="https://www.bcp.gov.gh/acc/registry/docs/GHANA%20SHIPPERS%27%20AUTHORITY%20REGULATIONS,%202012%20(L.I.%202190).pdf" TargetMode="External"/><Relationship Id="rId47" Type="http://schemas.openxmlformats.org/officeDocument/2006/relationships/hyperlink" Target="https://eur-lex.europa.eu/legal-content/EN/TXT/PDF/?uri=CELEX:22016A1021(01)&amp;from=EN" TargetMode="External"/><Relationship Id="rId63" Type="http://schemas.openxmlformats.org/officeDocument/2006/relationships/hyperlink" Target="https://www.eximbankghana.com/pre-shipment-credit-facility" TargetMode="External"/><Relationship Id="rId68" Type="http://schemas.openxmlformats.org/officeDocument/2006/relationships/hyperlink" Target="https://publicservices.international/resources/publications/tackling-tax-incentives-ghana?id=10560&amp;lang=en" TargetMode="External"/><Relationship Id="rId84" Type="http://schemas.openxmlformats.org/officeDocument/2006/relationships/hyperlink" Target="https://au.int/sites/default/files/treaties/32549-sl-STATUTE%20OF%20THE%20PAN%20AFRICAN%20INTELLECTUAL%20PROPERTY%20ORGANIZATION%20%28PAIPO%29%20%281%29.pdf" TargetMode="External"/><Relationship Id="rId89" Type="http://schemas.openxmlformats.org/officeDocument/2006/relationships/hyperlink" Target="https://genevasolutions.news/explorations/11-african-solutions-for-the-future-world/ghanaian-company-to-abolish-the-reign-of-fake-medicines" TargetMode="External"/><Relationship Id="rId112" Type="http://schemas.openxmlformats.org/officeDocument/2006/relationships/hyperlink" Target="https://www.mofad.gov.gh/publications/statistics-and-reports/fish-production/" TargetMode="External"/><Relationship Id="rId133" Type="http://schemas.openxmlformats.org/officeDocument/2006/relationships/hyperlink" Target="https://www.imf.org/-/media/Files/Publications/CR/2021/English/1GHAEA2021001.ashx" TargetMode="External"/><Relationship Id="rId138" Type="http://schemas.openxmlformats.org/officeDocument/2006/relationships/hyperlink" Target="http://energycom.gov.gh/public-notices/75-review-of-requirement-for-classification-as-a-bulk-customer-of-electricity" TargetMode="External"/><Relationship Id="rId154" Type="http://schemas.openxmlformats.org/officeDocument/2006/relationships/hyperlink" Target="https://fdaghana.gov.gh/img/organisation/GUIDELINES%20FOR%20IMPORTATION%20OF%20DRUGS.pdf" TargetMode="External"/><Relationship Id="rId159" Type="http://schemas.openxmlformats.org/officeDocument/2006/relationships/hyperlink" Target="https://www.bloomberg.com/news/articles/2021-04-26/ghana-drugmakers-approach-astrazeneca-about-local-vaccine-making" TargetMode="External"/><Relationship Id="rId175" Type="http://schemas.openxmlformats.org/officeDocument/2006/relationships/hyperlink" Target="https://www.oecd.org/tax/transparency/global-forum-on-transparency-and-exchange-of-information-for-tax-purposes-ghana-2018-second-round-9789264291119-en.htm" TargetMode="External"/><Relationship Id="rId170" Type="http://schemas.openxmlformats.org/officeDocument/2006/relationships/hyperlink" Target="https://www.bcp.gov.gh/acc/registry/docs/GHANA%20SHIPPERS%27%20AUTHORITY%20REGULATIONS,%202012%20(L.I.%202190).pdf" TargetMode="External"/><Relationship Id="rId191" Type="http://schemas.openxmlformats.org/officeDocument/2006/relationships/hyperlink" Target="https://rgd.gov.gh/professional%20Body.html" TargetMode="External"/><Relationship Id="rId16" Type="http://schemas.openxmlformats.org/officeDocument/2006/relationships/hyperlink" Target="https://www.wami-imao.org/" TargetMode="External"/><Relationship Id="rId107" Type="http://schemas.openxmlformats.org/officeDocument/2006/relationships/hyperlink" Target="https://www.euflegt.efi.int/documents/10180/438736/Ghana+Progress+Report+2013+%e2%80%93+2017.pdf/96b75d78-7eb8-0761-85c2-3daa07e7dfe6" TargetMode="External"/><Relationship Id="rId11" Type="http://schemas.openxmlformats.org/officeDocument/2006/relationships/hyperlink" Target="https://www.ecowas.int/" TargetMode="External"/><Relationship Id="rId32" Type="http://schemas.openxmlformats.org/officeDocument/2006/relationships/hyperlink" Target="https://isd.gov.gh/topstories-isdnews-authentic-government-news-at-every-corner-of-the-nation/1413/" TargetMode="External"/><Relationship Id="rId37" Type="http://schemas.openxmlformats.org/officeDocument/2006/relationships/hyperlink" Target="https://www.tradefacilitation.org/interview/a-view-from-ghana/" TargetMode="External"/><Relationship Id="rId53" Type="http://schemas.openxmlformats.org/officeDocument/2006/relationships/hyperlink" Target="https://www.ghanachamber.org" TargetMode="External"/><Relationship Id="rId58" Type="http://schemas.openxmlformats.org/officeDocument/2006/relationships/hyperlink" Target="https://www.gepaghana.org/cms/wp-content/uploads/2017/04/GEPA-institutional-partners-download.pdf" TargetMode="External"/><Relationship Id="rId74" Type="http://schemas.openxmlformats.org/officeDocument/2006/relationships/hyperlink" Target="https://wipolex.wipo.int/en/text/157035" TargetMode="External"/><Relationship Id="rId79" Type="http://schemas.openxmlformats.org/officeDocument/2006/relationships/hyperlink" Target="https://uncitral.un.org." TargetMode="External"/><Relationship Id="rId102" Type="http://schemas.openxmlformats.org/officeDocument/2006/relationships/hyperlink" Target="https://www.un.org/esa/forests/wp-content/uploads/2020/08/MAR-Ghana-Project-Report.pdf" TargetMode="External"/><Relationship Id="rId123" Type="http://schemas.openxmlformats.org/officeDocument/2006/relationships/hyperlink" Target="https://www.ghanapetroleumregister.com/" TargetMode="External"/><Relationship Id="rId128" Type="http://schemas.openxmlformats.org/officeDocument/2006/relationships/hyperlink" Target="https://www.mofep.gov.gh/index.php/fiscal-data/2020-jan-jun" TargetMode="External"/><Relationship Id="rId144" Type="http://schemas.openxmlformats.org/officeDocument/2006/relationships/hyperlink" Target="http://ghanachamberofmines.org/wp-content/uploads/2020/07/2019-Mining-Industry-Statistics-and-Data-for-Ghana.pdf" TargetMode="External"/><Relationship Id="rId149" Type="http://schemas.openxmlformats.org/officeDocument/2006/relationships/hyperlink" Target="http://www.pmaghana.org/members" TargetMode="External"/><Relationship Id="rId5" Type="http://schemas.openxmlformats.org/officeDocument/2006/relationships/hyperlink" Target="https://sifocc.org/countries/ghana/" TargetMode="External"/><Relationship Id="rId90" Type="http://schemas.openxmlformats.org/officeDocument/2006/relationships/hyperlink" Target="http://www.mofa.gov.gh/site/publications/policies-plans/316-national-agriculture-investment-plan-ifj" TargetMode="External"/><Relationship Id="rId95" Type="http://schemas.openxmlformats.org/officeDocument/2006/relationships/hyperlink" Target="https://bcp.gov.gh/acc/registry/docs/GHANA%20COCOA%20BOARD%20ACT,%201984%20P.N.D.C.L.%2081.pdf" TargetMode="External"/><Relationship Id="rId160" Type="http://schemas.openxmlformats.org/officeDocument/2006/relationships/hyperlink" Target="https://presidency.gov.gh/index.php/briefing-room/press-releases/1915-ghana-to-be-removed-from-eu-money-laundering-list-selected-as-manufacturing-hub-for-covid-19-vaccines-in-africa" TargetMode="External"/><Relationship Id="rId165" Type="http://schemas.openxmlformats.org/officeDocument/2006/relationships/hyperlink" Target="https://www.bcp.gov.gh/acc/registry/docs/Railways%20Act,%202008%20.pdf" TargetMode="External"/><Relationship Id="rId181" Type="http://schemas.openxmlformats.org/officeDocument/2006/relationships/hyperlink" Target="https://www.pwc.com/gh/en/assets/pdf/ghana-banking-survey-2019.pdf" TargetMode="External"/><Relationship Id="rId186" Type="http://schemas.openxmlformats.org/officeDocument/2006/relationships/hyperlink" Target="https://www.bog.gov.gh/wp-content/uploads/2019/09/FIT-AND-PROPER-PERSONS-DIRECTIVE-2019.pdf" TargetMode="External"/><Relationship Id="rId22" Type="http://schemas.openxmlformats.org/officeDocument/2006/relationships/hyperlink" Target="http://rtais.wto.org/UI/PublicShowMemberRTAIDCard.aspx?rtaid=896" TargetMode="External"/><Relationship Id="rId27" Type="http://schemas.openxmlformats.org/officeDocument/2006/relationships/hyperlink" Target="https://investmentpolicy.unctad.org/investment-laws/laws/196/investment-promotion-act-" TargetMode="External"/><Relationship Id="rId43" Type="http://schemas.openxmlformats.org/officeDocument/2006/relationships/hyperlink" Target="https://ghanachamber.org/biat18/images/pdfs/etls_300618.pdf" TargetMode="External"/><Relationship Id="rId48" Type="http://schemas.openxmlformats.org/officeDocument/2006/relationships/hyperlink" Target="https://eur-lex.europa.eu/legal-content/EN/TXT/PDF/?uri=CELEX:32019D2208&amp;from=EN" TargetMode="External"/><Relationship Id="rId64" Type="http://schemas.openxmlformats.org/officeDocument/2006/relationships/hyperlink" Target="https://gfzb.gov.gh/index.php/gfza-profile/" TargetMode="External"/><Relationship Id="rId69" Type="http://schemas.openxmlformats.org/officeDocument/2006/relationships/hyperlink" Target="https://www.gsa.gov.gh/standards/" TargetMode="External"/><Relationship Id="rId113" Type="http://schemas.openxmlformats.org/officeDocument/2006/relationships/hyperlink" Target="https://www.crc.uri.edu/download/GH2014_POL005_FC_FisheriesMgtPlan2016.pdf" TargetMode="External"/><Relationship Id="rId118" Type="http://schemas.openxmlformats.org/officeDocument/2006/relationships/hyperlink" Target="https://munin.uit.no/bitstream/handle/10037/14303/article.pdf?sequence=2&amp;isAllowed=y" TargetMode="External"/><Relationship Id="rId134" Type="http://schemas.openxmlformats.org/officeDocument/2006/relationships/hyperlink" Target="http://extwprlegs1.fao.org/docs/pdf/gha93004.pdf" TargetMode="External"/><Relationship Id="rId139" Type="http://schemas.openxmlformats.org/officeDocument/2006/relationships/hyperlink" Target="http://www.energycom.gov.gh/files/2021%20published%20Energy%20Statistics.pdf" TargetMode="External"/><Relationship Id="rId80" Type="http://schemas.openxmlformats.org/officeDocument/2006/relationships/hyperlink" Target="https://ppa.gov.gh/wp-content/uploads/2020/10/FWA-Guidelines.pdf" TargetMode="External"/><Relationship Id="rId85" Type="http://schemas.openxmlformats.org/officeDocument/2006/relationships/hyperlink" Target="http://www.copyright.gov.gh/" TargetMode="External"/><Relationship Id="rId150" Type="http://schemas.openxmlformats.org/officeDocument/2006/relationships/hyperlink" Target="https://open.unido.org/api/documents/16394925/download/Ghana%20GMP%20Roadmap_FINAL.pdf" TargetMode="External"/><Relationship Id="rId155" Type="http://schemas.openxmlformats.org/officeDocument/2006/relationships/hyperlink" Target="https://www.unido.org/sites/default/files/files/2019-10/PHARMACEUTICAL_INDUSTRY_IN_SUB-SAHARAN_AFRICA_Guide_Book.pdf" TargetMode="External"/><Relationship Id="rId171" Type="http://schemas.openxmlformats.org/officeDocument/2006/relationships/hyperlink" Target="https://shippers.org.gh/index.php/cargo-clearance-tariff-guidelines/" TargetMode="External"/><Relationship Id="rId176" Type="http://schemas.openxmlformats.org/officeDocument/2006/relationships/hyperlink" Target="https://www.oecd.org/tax/transparency/documents/Tax-Transparency-in-Africa-2021.pdf" TargetMode="External"/><Relationship Id="rId12" Type="http://schemas.openxmlformats.org/officeDocument/2006/relationships/hyperlink" Target="https://gra.gov.gh/news/portfolio/full-implementation-of-the-ecowas-protocol/" TargetMode="External"/><Relationship Id="rId17" Type="http://schemas.openxmlformats.org/officeDocument/2006/relationships/hyperlink" Target="https://afcfta.au.int/en/about" TargetMode="External"/><Relationship Id="rId33" Type="http://schemas.openxmlformats.org/officeDocument/2006/relationships/hyperlink" Target="http://www.giif.gov.gh" TargetMode="External"/><Relationship Id="rId38" Type="http://schemas.openxmlformats.org/officeDocument/2006/relationships/hyperlink" Target="https://publicservices.international/resources/publications/tackling-tax-incentives-ghana?id=10560&amp;lang=en" TargetMode="External"/><Relationship Id="rId59" Type="http://schemas.openxmlformats.org/officeDocument/2006/relationships/hyperlink" Target="http://www.gra.gov.gh" TargetMode="External"/><Relationship Id="rId103" Type="http://schemas.openxmlformats.org/officeDocument/2006/relationships/hyperlink" Target="https://www.oldwebsite.fcghana.org/library_info.php?doc=45&amp;publication:Timber%20Resource%20Management%20Act,%201997%20-%20Act%20%20547&amp;id=15" TargetMode="External"/><Relationship Id="rId108" Type="http://schemas.openxmlformats.org/officeDocument/2006/relationships/hyperlink" Target="https://www.worldbank.org/en/news/press-release/2019/07/09/ghana-signs-landmark-deal-with-world-bank-to-cut-carbon-emissions-and-reduce-deforestation" TargetMode="External"/><Relationship Id="rId124" Type="http://schemas.openxmlformats.org/officeDocument/2006/relationships/hyperlink" Target="https://www.petrocom.gov.gh/wp-content/uploads/2018/12/13-Local-Content-and-Local-Participation-Regulations-L_I-2204.pdf" TargetMode="External"/><Relationship Id="rId129" Type="http://schemas.openxmlformats.org/officeDocument/2006/relationships/hyperlink" Target="https://cbodghana.com/" TargetMode="External"/><Relationship Id="rId54" Type="http://schemas.openxmlformats.org/officeDocument/2006/relationships/hyperlink" Target="https://ecotis.projects.ecowas.int/policy-development/common-market-and-custom-union/" TargetMode="External"/><Relationship Id="rId70" Type="http://schemas.openxmlformats.org/officeDocument/2006/relationships/hyperlink" Target="https://www.gsa.gov.gh/standards/" TargetMode="External"/><Relationship Id="rId75" Type="http://schemas.openxmlformats.org/officeDocument/2006/relationships/hyperlink" Target="https://www.bcp.gov.gh/acc/registry/docs/PROTECTION%20AGAINST%20UNFAIR%20COMPETITION%20ACT,%202000%20(ACT%20589)-%20PA.pdf" TargetMode="External"/><Relationship Id="rId91" Type="http://schemas.openxmlformats.org/officeDocument/2006/relationships/hyperlink" Target="https://mofep.gov.gh/sites/default/files/budget-statements/2021-Budget-Statement_v3.pdf" TargetMode="External"/><Relationship Id="rId96" Type="http://schemas.openxmlformats.org/officeDocument/2006/relationships/hyperlink" Target="https://op.europa.eu/en/publication-detail/-/publication/bd4ad048-0ebc-11ec-b771-01aa75ed71a1/language-en" TargetMode="External"/><Relationship Id="rId140" Type="http://schemas.openxmlformats.org/officeDocument/2006/relationships/hyperlink" Target="http://www.energycom.gov.gh/files/Renewable-Energy-Masterplan-February-2019.pdf" TargetMode="External"/><Relationship Id="rId145" Type="http://schemas.openxmlformats.org/officeDocument/2006/relationships/hyperlink" Target="https://www.tralac.org/documents/resources/by-country/ghana/4170-ghana-national-export-development-strategy-neds-overview-2020/file.html" TargetMode="External"/><Relationship Id="rId161" Type="http://schemas.openxmlformats.org/officeDocument/2006/relationships/hyperlink" Target="https://www.trade.gov/country-commercial-guides/ghana-automotive-sector" TargetMode="External"/><Relationship Id="rId166" Type="http://schemas.openxmlformats.org/officeDocument/2006/relationships/hyperlink" Target="http://www.grda.gov.gh/" TargetMode="External"/><Relationship Id="rId182" Type="http://schemas.openxmlformats.org/officeDocument/2006/relationships/hyperlink" Target="https://www.bog.gov.gh/wp-content/uploads/2019/09/BANKS-AND-SPECIALISED-DEPOSIT-ACT-2016.pdf" TargetMode="External"/><Relationship Id="rId187" Type="http://schemas.openxmlformats.org/officeDocument/2006/relationships/hyperlink" Target="https://nicgh.org/wp-content/uploads/2016/07/Insurance_Act_724_2006_CV_toC.pdf" TargetMode="External"/><Relationship Id="rId1" Type="http://schemas.openxmlformats.org/officeDocument/2006/relationships/hyperlink" Target="https://www.moc.gov.gh/government-embarks-digital-inclusion-agenda" TargetMode="External"/><Relationship Id="rId6" Type="http://schemas.openxmlformats.org/officeDocument/2006/relationships/hyperlink" Target="https://www.moti.gov.gh/" TargetMode="External"/><Relationship Id="rId23" Type="http://schemas.openxmlformats.org/officeDocument/2006/relationships/hyperlink" Target="https://agoa.info/images/documents/5660/bills-114hr1891ih.pdf" TargetMode="External"/><Relationship Id="rId28" Type="http://schemas.openxmlformats.org/officeDocument/2006/relationships/hyperlink" Target="https://rgd.gov.gh/" TargetMode="External"/><Relationship Id="rId49" Type="http://schemas.openxmlformats.org/officeDocument/2006/relationships/hyperlink" Target="https://assets.publishing.service.gov.uk/government/uploads/system/uploads/attachment_data/file/978684/CS_Ghana_1.2021_UK_Ghana_Interim_Trade_Partnership_Agreement.pdf" TargetMode="External"/><Relationship Id="rId114" Type="http://schemas.openxmlformats.org/officeDocument/2006/relationships/hyperlink" Target="https://munin.uit.no/bitstream/handle/10037/14303/article.pdf?sequence=2&amp;isAllowed=y" TargetMode="External"/><Relationship Id="rId119" Type="http://schemas.openxmlformats.org/officeDocument/2006/relationships/hyperlink" Target="https://www.imf.org/en/Publications/CR/Issues/2019/12/18/Ghana-2019-Article-IV-Consultation-Press-Release-Staff-Report-and-Statement-by-the-Executive-48883" TargetMode="External"/><Relationship Id="rId44" Type="http://schemas.openxmlformats.org/officeDocument/2006/relationships/hyperlink" Target="https://afcfta.au.int/en/afcfta-rules-origin" TargetMode="External"/><Relationship Id="rId60" Type="http://schemas.openxmlformats.org/officeDocument/2006/relationships/hyperlink" Target="https://shippers.org.gh/wp-content/uploads/2016/08/SR-J_S.pdf" TargetMode="External"/><Relationship Id="rId65" Type="http://schemas.openxmlformats.org/officeDocument/2006/relationships/hyperlink" Target="https://gfzb.gov.gh/wp-content/uploads/2018/05/Free-Zone-Act-1995.pdf" TargetMode="External"/><Relationship Id="rId81" Type="http://schemas.openxmlformats.org/officeDocument/2006/relationships/hyperlink" Target="https://au.int/en/treaties/agreement-establishing-african-continental-free-trade-area" TargetMode="External"/><Relationship Id="rId86" Type="http://schemas.openxmlformats.org/officeDocument/2006/relationships/hyperlink" Target="http://www.lysaght.co.uk/news/ip-developments/ghana-trademarks-amendment-act-876-2014" TargetMode="External"/><Relationship Id="rId130" Type="http://schemas.openxmlformats.org/officeDocument/2006/relationships/hyperlink" Target="http://www.energycom.gov.gh/regulation" TargetMode="External"/><Relationship Id="rId135" Type="http://schemas.openxmlformats.org/officeDocument/2006/relationships/hyperlink" Target="https://www.purc.com.gh/attachment/382265-20201119091155.pdf" TargetMode="External"/><Relationship Id="rId151" Type="http://schemas.openxmlformats.org/officeDocument/2006/relationships/hyperlink" Target="https://fdaghana.gov.gh/wp-content/uploads/2017/06/EXECUTIVE-INSTRUMENT-FOR-LIST-OF-MEDICINES.pdf" TargetMode="External"/><Relationship Id="rId156" Type="http://schemas.openxmlformats.org/officeDocument/2006/relationships/hyperlink" Target="https://hub.unido.org/sites/default/files/publications/Ghana%20GMP%20Roadmap_FINAL_2.pdf" TargetMode="External"/><Relationship Id="rId177" Type="http://schemas.openxmlformats.org/officeDocument/2006/relationships/hyperlink" Target="https://www.oecd.org/tax/transparency/documents/global-forum-annual-report-2020.pdf" TargetMode="External"/><Relationship Id="rId172" Type="http://schemas.openxmlformats.org/officeDocument/2006/relationships/hyperlink" Target="https://mps-gh.com/terminal-capacity/" TargetMode="External"/><Relationship Id="rId13" Type="http://schemas.openxmlformats.org/officeDocument/2006/relationships/hyperlink" Target="https://www.ecowas.int/wp-content/uploads/2017/11/Annual-Report-2016_English-Fina_Final.pdf" TargetMode="External"/><Relationship Id="rId18" Type="http://schemas.openxmlformats.org/officeDocument/2006/relationships/hyperlink" Target="https://afcfta.au.int/en/documents/2020-12-28/state-parties-ratification-status-list" TargetMode="External"/><Relationship Id="rId39" Type="http://schemas.openxmlformats.org/officeDocument/2006/relationships/hyperlink" Target="http://www.gra.gov.gh/index.php?option=com_%20content&amp;view=article&amp;id=162:implementation-of-the-value-added-tax-act-2013-act-870&amp;catid=11:latest-news&amp;Itemid=26" TargetMode="External"/><Relationship Id="rId109" Type="http://schemas.openxmlformats.org/officeDocument/2006/relationships/hyperlink" Target="https://www.oldwebsite.fcghana.org/page.php?page=46&amp;section=22&amp;typ=1&amp;subs=253" TargetMode="External"/><Relationship Id="rId34" Type="http://schemas.openxmlformats.org/officeDocument/2006/relationships/hyperlink" Target="https://investmentpolicy.unctad.org/country-navigator/80/ghana" TargetMode="External"/><Relationship Id="rId50" Type="http://schemas.openxmlformats.org/officeDocument/2006/relationships/hyperlink" Target="https://bcp.gov.gh/acc/registry/docs/EXPORT%20AND%20IMPORT%20(RESTRICTIONS%20ON%20IMPORTATION%20OF%20PORTLAND%20CEMENT)%20REGULATIONS,%202016%20(L.I.%202240).pdf" TargetMode="External"/><Relationship Id="rId55" Type="http://schemas.openxmlformats.org/officeDocument/2006/relationships/hyperlink" Target="https://gra.gov.gh/customs/export-restrictions-and-prohibitions/" TargetMode="External"/><Relationship Id="rId76" Type="http://schemas.openxmlformats.org/officeDocument/2006/relationships/hyperlink" Target="https://www.ghaneps.gov.gh/epps/home.do" TargetMode="External"/><Relationship Id="rId97" Type="http://schemas.openxmlformats.org/officeDocument/2006/relationships/hyperlink" Target="https://www.oldwebsite.fcghana.org/userfiles/files/September%202019(1).pdf" TargetMode="External"/><Relationship Id="rId104" Type="http://schemas.openxmlformats.org/officeDocument/2006/relationships/hyperlink" Target="https://www.oldwebsite.fcghana.org/library_info.php?doc=49&amp;publication:The%20Trees%20&amp;%20Timber%20(Amendment)%20Act,%201994&amp;id=15" TargetMode="External"/><Relationship Id="rId120" Type="http://schemas.openxmlformats.org/officeDocument/2006/relationships/hyperlink" Target="https://www.imf.org/-/media/Files/Publications/CR/2021/English/1GHAEA2021001.ashx" TargetMode="External"/><Relationship Id="rId125" Type="http://schemas.openxmlformats.org/officeDocument/2006/relationships/hyperlink" Target="https://www.piacghana.org/portal/" TargetMode="External"/><Relationship Id="rId141" Type="http://schemas.openxmlformats.org/officeDocument/2006/relationships/hyperlink" Target="http://www.energycom.gov.gh/files/Local%20Content%20and%20Local%20Participation%20Regulations,%202017%20(L.I.%202354).pdf" TargetMode="External"/><Relationship Id="rId146" Type="http://schemas.openxmlformats.org/officeDocument/2006/relationships/hyperlink" Target="https://www.mincom.gov.gh/industry-statistics/" TargetMode="External"/><Relationship Id="rId167" Type="http://schemas.openxmlformats.org/officeDocument/2006/relationships/hyperlink" Target="https://www.scirp.org/pdf/jss_2021031914260090.pdf" TargetMode="External"/><Relationship Id="rId188" Type="http://schemas.openxmlformats.org/officeDocument/2006/relationships/hyperlink" Target="https://nicgh.org/wp-content/uploads/2019/11/Insurance-Penetration-strategies-112019.pdf" TargetMode="External"/><Relationship Id="rId7" Type="http://schemas.openxmlformats.org/officeDocument/2006/relationships/hyperlink" Target="https://www.gepaghana.org/" TargetMode="External"/><Relationship Id="rId71" Type="http://schemas.openxmlformats.org/officeDocument/2006/relationships/hyperlink" Target="https://www.iecee.org/about/cb-scheme/" TargetMode="External"/><Relationship Id="rId92" Type="http://schemas.openxmlformats.org/officeDocument/2006/relationships/hyperlink" Target="https://documents1.worldbank.org/curated/en/336541505459269020/pdf/119753-PN-P133833-PUBLIC-Ghana-Policy-Note-Ag-Sector-Review.pdf" TargetMode="External"/><Relationship Id="rId162" Type="http://schemas.openxmlformats.org/officeDocument/2006/relationships/hyperlink" Target="https://moti.gov.gh/docs/AUTO_Brochure_NEW.pdf" TargetMode="External"/><Relationship Id="rId183" Type="http://schemas.openxmlformats.org/officeDocument/2006/relationships/hyperlink" Target="https://www.bog.gov.gh/wp-content/uploads/2019/12/Ghana-Sustainable-Banking-Principles-and-Guidelines-Book-1.pdf" TargetMode="External"/><Relationship Id="rId2" Type="http://schemas.openxmlformats.org/officeDocument/2006/relationships/hyperlink" Target="https://citinewsroom.com/2021/07/mps-council-of-state-members-to-get-13-3m-tax-waiver-on-imported-cars/" TargetMode="External"/><Relationship Id="rId29" Type="http://schemas.openxmlformats.org/officeDocument/2006/relationships/hyperlink" Target="https://www.gis.gov.gh/PDFs/GIPC%20Act%202013.pdf" TargetMode="External"/><Relationship Id="rId24" Type="http://schemas.openxmlformats.org/officeDocument/2006/relationships/hyperlink" Target="https://ustr.gov/countries-regions/africa/west-africa/ghana" TargetMode="External"/><Relationship Id="rId40" Type="http://schemas.openxmlformats.org/officeDocument/2006/relationships/hyperlink" Target="https://www.bcp.gov.gh/new/reg_details.php?id=Mjk4" TargetMode="External"/><Relationship Id="rId45" Type="http://schemas.openxmlformats.org/officeDocument/2006/relationships/hyperlink" Target="https://www.tralac.org/blog/article/14063-rules-of-origin-tariffs-and-the-afcfta.html" TargetMode="External"/><Relationship Id="rId66" Type="http://schemas.openxmlformats.org/officeDocument/2006/relationships/hyperlink" Target="https://bcp.gov.gh/acc/registry/docs/FREE%20ZONE%20REGULATIONS,%201996%20(LI%201618)..pdf" TargetMode="External"/><Relationship Id="rId87" Type="http://schemas.openxmlformats.org/officeDocument/2006/relationships/hyperlink" Target="https://www.wipo.int/export/sites/www/copyright/en/performance/pdf/econ_contribution_cr_gh.pdf" TargetMode="External"/><Relationship Id="rId110" Type="http://schemas.openxmlformats.org/officeDocument/2006/relationships/hyperlink" Target="https://www.oldwebsite.fcghana.org/library_info.php?doc=49&amp;publication:The%20Trees%20&amp;%20Timber%20(Amendment)%20Act,%201994&amp;id=15" TargetMode="External"/><Relationship Id="rId115" Type="http://schemas.openxmlformats.org/officeDocument/2006/relationships/hyperlink" Target="https://ejfoundation.org/what-we-do/ocean/ghana" TargetMode="External"/><Relationship Id="rId131" Type="http://schemas.openxmlformats.org/officeDocument/2006/relationships/hyperlink" Target="https://www.purc.com.gh/who-we-are" TargetMode="External"/><Relationship Id="rId136" Type="http://schemas.openxmlformats.org/officeDocument/2006/relationships/hyperlink" Target="https://www.purc.com.gh/attachment/950562-20201119091148.pdf" TargetMode="External"/><Relationship Id="rId157" Type="http://schemas.openxmlformats.org/officeDocument/2006/relationships/hyperlink" Target="https://fdaghana.gov.gh/images/stories/pdfs/downloads/drugs%20guidelines/DER/2017/GUIDELINES%20FOR%20PARALLEL%20IMPORTATION%20%20%20%20OF%20MEDICINAL%20%20%20PRODUCTS.pdf" TargetMode="External"/><Relationship Id="rId178" Type="http://schemas.openxmlformats.org/officeDocument/2006/relationships/hyperlink" Target="https://eur-lex.europa.eu/legal-content/EN/TXT/PDF/?uri=CELEX:32020R0855&amp;from=EN" TargetMode="External"/><Relationship Id="rId61" Type="http://schemas.openxmlformats.org/officeDocument/2006/relationships/hyperlink" Target="https://bcp.gov.gh/acc/registry/docs/GHANA%20EXPORT-IMPORT%20BANK%20ACT,%202016%C2%A0Act%C2%A0%20(ACT%20911).pdf" TargetMode="External"/><Relationship Id="rId82" Type="http://schemas.openxmlformats.org/officeDocument/2006/relationships/hyperlink" Target="https://au.int/en/treaties/agreement-establishing-african-continental-free-trade-area" TargetMode="External"/><Relationship Id="rId152" Type="http://schemas.openxmlformats.org/officeDocument/2006/relationships/hyperlink" Target="https://adphealth.org/upload/resource/Ghana_Local_Pharma_Production.pdf" TargetMode="External"/><Relationship Id="rId173" Type="http://schemas.openxmlformats.org/officeDocument/2006/relationships/hyperlink" Target="https://www.itu.int/en/ITU-D/Statistics/Documents/publications/prices2020/ITU_ICTPriceTrends_2020.pdf" TargetMode="External"/><Relationship Id="rId19" Type="http://schemas.openxmlformats.org/officeDocument/2006/relationships/hyperlink" Target="https://eur-lex.europa.eu/legal-content/EN/TXT/PDF/?uri=CELEX:22016A1021(01)&amp;from=EN" TargetMode="External"/><Relationship Id="rId14" Type="http://schemas.openxmlformats.org/officeDocument/2006/relationships/hyperlink" Target="https://www.au-pida.org/view-project/922/" TargetMode="External"/><Relationship Id="rId30" Type="http://schemas.openxmlformats.org/officeDocument/2006/relationships/hyperlink" Target="https://www.ensafrica.com/countries/ghana" TargetMode="External"/><Relationship Id="rId35" Type="http://schemas.openxmlformats.org/officeDocument/2006/relationships/hyperlink" Target="https://pdf.usaid.gov/pdf_docs/PA00TJR7.pdf" TargetMode="External"/><Relationship Id="rId56" Type="http://schemas.openxmlformats.org/officeDocument/2006/relationships/hyperlink" Target="https://www.gepaghana.org/about-us/about-gepa/" TargetMode="External"/><Relationship Id="rId77" Type="http://schemas.openxmlformats.org/officeDocument/2006/relationships/hyperlink" Target="https://ppa.gov.gh/online-documents/public-procurement-act/" TargetMode="External"/><Relationship Id="rId100" Type="http://schemas.openxmlformats.org/officeDocument/2006/relationships/hyperlink" Target="http://extwprlegs1.fao.org/docs/pdf/gha144198.pdf" TargetMode="External"/><Relationship Id="rId105" Type="http://schemas.openxmlformats.org/officeDocument/2006/relationships/hyperlink" Target="https://www.oldwebsite.fcghana.org/library_info.php?doc=52&amp;publication:Timber%20Resources%20Management%20Act%20617%20(Amendment)%20Act,%202002&amp;id=15" TargetMode="External"/><Relationship Id="rId126" Type="http://schemas.openxmlformats.org/officeDocument/2006/relationships/hyperlink" Target="https://cbodghana.com/download/2019-industry-report/" TargetMode="External"/><Relationship Id="rId147" Type="http://schemas.openxmlformats.org/officeDocument/2006/relationships/hyperlink" Target="https://www.mofep.gov.gh/news-and-events/2020-11-20/government-launches-gh%C8%BC100-billion-cares-programme" TargetMode="External"/><Relationship Id="rId168" Type="http://schemas.openxmlformats.org/officeDocument/2006/relationships/hyperlink" Target="https://soaag.org/membership" TargetMode="External"/><Relationship Id="rId8" Type="http://schemas.openxmlformats.org/officeDocument/2006/relationships/hyperlink" Target="https://www.bcp.gov.gh/new/regulations.php" TargetMode="External"/><Relationship Id="rId51" Type="http://schemas.openxmlformats.org/officeDocument/2006/relationships/hyperlink" Target="https://bcp.gov.gh/acc/registry/docs/Ghana%20International%20Trade%20Commission%20Act,%202016%20(ACT%20926)%20.pdf" TargetMode="External"/><Relationship Id="rId72" Type="http://schemas.openxmlformats.org/officeDocument/2006/relationships/hyperlink" Target="https://www.agrilinks.org/sites/default/files/resources/ghana_sps_capacity_building_needs_assessment_2018.pdf" TargetMode="External"/><Relationship Id="rId93" Type="http://schemas.openxmlformats.org/officeDocument/2006/relationships/hyperlink" Target="https://mofep.gov.gh/sites/default/files/budget-statements/2021-Budget-Statement_v3.pdf" TargetMode="External"/><Relationship Id="rId98" Type="http://schemas.openxmlformats.org/officeDocument/2006/relationships/hyperlink" Target="https://www.weforum.org/agenda/2019/05/ghana-is-losing-its-rainforest-faster-than-any-other-country-in-the-world/" TargetMode="External"/><Relationship Id="rId121" Type="http://schemas.openxmlformats.org/officeDocument/2006/relationships/hyperlink" Target="http://www.gheiti.gov.gh/site/" TargetMode="External"/><Relationship Id="rId142" Type="http://schemas.openxmlformats.org/officeDocument/2006/relationships/hyperlink" Target="https://www.erera.arrec.org/wp-content/uploads/2016/08/Directive-on-the-Organisation-of-the-Regional-Electricity-Market-June-2013-ENG.pdf" TargetMode="External"/><Relationship Id="rId163" Type="http://schemas.openxmlformats.org/officeDocument/2006/relationships/hyperlink" Target="https://www.moti.gov.gh/docs/Information_Brief_to_OEMs.pdf" TargetMode="External"/><Relationship Id="rId184" Type="http://schemas.openxmlformats.org/officeDocument/2006/relationships/hyperlink" Target="https://www.bog.gov.gh/wp-content/uploads/2019/09/CYBER-AND-INFORMATION-SECURITY-DIRECTIVE.pdf" TargetMode="External"/><Relationship Id="rId189" Type="http://schemas.openxmlformats.org/officeDocument/2006/relationships/hyperlink" Target="https://sec.gov.gh" TargetMode="External"/><Relationship Id="rId3" Type="http://schemas.openxmlformats.org/officeDocument/2006/relationships/hyperlink" Target="https://blog.twitter.com/en_us/topics/company/2021/establishing-twitter-s-presence-in-africa" TargetMode="External"/><Relationship Id="rId25" Type="http://schemas.openxmlformats.org/officeDocument/2006/relationships/hyperlink" Target="https://investmentpolicy.unctad.org/country-navigator/80/ghana" TargetMode="External"/><Relationship Id="rId46" Type="http://schemas.openxmlformats.org/officeDocument/2006/relationships/hyperlink" Target="https://unctad.org/system/files/official-document/aldcafrica2019_en.pdf" TargetMode="External"/><Relationship Id="rId67" Type="http://schemas.openxmlformats.org/officeDocument/2006/relationships/hyperlink" Target="https://gfzb.gov.gh/index.php/incentives/" TargetMode="External"/><Relationship Id="rId116" Type="http://schemas.openxmlformats.org/officeDocument/2006/relationships/hyperlink" Target="https://fcwc-fish.org/other-news/ghana-fisheries-ministry-proposes-tax-exemptions-for-fish-farming-inputs" TargetMode="External"/><Relationship Id="rId137" Type="http://schemas.openxmlformats.org/officeDocument/2006/relationships/hyperlink" Target="http://extwprlegs1.fao.org/docs/pdf/gha93004.pdf" TargetMode="External"/><Relationship Id="rId158" Type="http://schemas.openxmlformats.org/officeDocument/2006/relationships/hyperlink" Target="https://www.avmi-africa.org/wp-content/uploads/2017/09/VMPA-Study-e-book.pdf" TargetMode="External"/><Relationship Id="rId20" Type="http://schemas.openxmlformats.org/officeDocument/2006/relationships/hyperlink" Target="https://trade.ec.europa.eu/doclib/docs/2020/october/tradoc_158987.pdf" TargetMode="External"/><Relationship Id="rId41" Type="http://schemas.openxmlformats.org/officeDocument/2006/relationships/hyperlink" Target="https://gra.gov.gh/wp-content/uploads/2020/09/Practice-Note-on-VAT-Flat-Rate-Scheme.pdf" TargetMode="External"/><Relationship Id="rId62" Type="http://schemas.openxmlformats.org/officeDocument/2006/relationships/hyperlink" Target="http://ir.parliament.gh/bitstream/handle/123456789/1627/2020_02_26_13_03_41.pdf?sequence=1&amp;isAllowed=y" TargetMode="External"/><Relationship Id="rId83" Type="http://schemas.openxmlformats.org/officeDocument/2006/relationships/hyperlink" Target="https://au.int/en/node/32549" TargetMode="External"/><Relationship Id="rId88" Type="http://schemas.openxmlformats.org/officeDocument/2006/relationships/hyperlink" Target="https://www.bbc.com/news/world-africa-51122898" TargetMode="External"/><Relationship Id="rId111" Type="http://schemas.openxmlformats.org/officeDocument/2006/relationships/hyperlink" Target="https://www.ghanamaritime.org/uploads/39536-profile-of-major-rivers-in-ghana.pdf" TargetMode="External"/><Relationship Id="rId132" Type="http://schemas.openxmlformats.org/officeDocument/2006/relationships/hyperlink" Target="https://uploads-ssl.webflow.com/5a92987328c28c00011db053/5bbf7dca7a04d6da6a45aa82_GMP-Final-Jun16.pdf" TargetMode="External"/><Relationship Id="rId153" Type="http://schemas.openxmlformats.org/officeDocument/2006/relationships/hyperlink" Target="http://extwprlegs1.fao.org/docs/pdf/gha136559.pdf" TargetMode="External"/><Relationship Id="rId174" Type="http://schemas.openxmlformats.org/officeDocument/2006/relationships/hyperlink" Target="http://www.moc.gov.gh/" TargetMode="External"/><Relationship Id="rId179" Type="http://schemas.openxmlformats.org/officeDocument/2006/relationships/hyperlink" Target="https://ec.europa.eu/info/business-economy-euro/banking-and-finance/financial-supervision-and-risk-management/anti-money-laundering-and-countering-financing-terrorism/eu-policy-high-risk-third-countries_en" TargetMode="External"/><Relationship Id="rId190" Type="http://schemas.openxmlformats.org/officeDocument/2006/relationships/hyperlink" Target="https://sec.gov.gh/" TargetMode="External"/><Relationship Id="rId15" Type="http://schemas.openxmlformats.org/officeDocument/2006/relationships/hyperlink" Target="https://www.afdb.org/sites/default/files/documents/2021-06-20-uk_final_communique-venglish.pdf" TargetMode="External"/><Relationship Id="rId36" Type="http://schemas.openxmlformats.org/officeDocument/2006/relationships/hyperlink" Target="https://jusmundi.com/en/document/decision/en-bankswitch-ghana-ltd-v-the-republic-of-ghana-acting-as-the-government-of-ghana-award-save-as-to-costs-friday-11th-april-2014" TargetMode="External"/><Relationship Id="rId57" Type="http://schemas.openxmlformats.org/officeDocument/2006/relationships/hyperlink" Target="https://www.gepaghana.org/about-us/strategic-partners/" TargetMode="External"/><Relationship Id="rId106" Type="http://schemas.openxmlformats.org/officeDocument/2006/relationships/hyperlink" Target="https://www.bcp.gov.gh/acc/registry/docs/TIMBER%20RESOURCE%20MANAGEMENT%20AND%20LEGALITY%20LICENSING%20REGULATIONS,%202017%20(L.I.%202254).pdf" TargetMode="External"/><Relationship Id="rId127" Type="http://schemas.openxmlformats.org/officeDocument/2006/relationships/hyperlink" Target="https://www.mofep.gov.gh/sites/default/files/reports/economic/2020_ESLA_Report_v3.pdf" TargetMode="External"/><Relationship Id="rId10" Type="http://schemas.openxmlformats.org/officeDocument/2006/relationships/hyperlink" Target="https://www.ecowas.int/about-ecowas/basic-information/" TargetMode="External"/><Relationship Id="rId31" Type="http://schemas.openxmlformats.org/officeDocument/2006/relationships/hyperlink" Target="https://unctad.org/system/files/official-document/diaepcb20095_en.pdf" TargetMode="External"/><Relationship Id="rId52" Type="http://schemas.openxmlformats.org/officeDocument/2006/relationships/hyperlink" Target="https://www.gepaghana.org/about-us/about-gepa/" TargetMode="External"/><Relationship Id="rId73" Type="http://schemas.openxmlformats.org/officeDocument/2006/relationships/hyperlink" Target="https://apps.fas.usda.gov/newgainapi/api/Report/DownloadReportByFileName?fileName=Agricultural%20Biotechnology%20Annual_Accra_Ghana_10-20-2021" TargetMode="External"/><Relationship Id="rId78" Type="http://schemas.openxmlformats.org/officeDocument/2006/relationships/hyperlink" Target="https://ppa.gov.gh/" TargetMode="External"/><Relationship Id="rId94" Type="http://schemas.openxmlformats.org/officeDocument/2006/relationships/hyperlink" Target="https://mofep.gov.gh/sites/default/files/budget-statements/2020-Budget-Statement-and-Economic-Policy_v3.pdf" TargetMode="External"/><Relationship Id="rId99" Type="http://schemas.openxmlformats.org/officeDocument/2006/relationships/hyperlink" Target="https://fcghana.org/" TargetMode="External"/><Relationship Id="rId101" Type="http://schemas.openxmlformats.org/officeDocument/2006/relationships/hyperlink" Target="https://www.oldwebsite.fcghana.org/userfiles/files/MLNR/FDMP%20Final%20(2).pdf" TargetMode="External"/><Relationship Id="rId122" Type="http://schemas.openxmlformats.org/officeDocument/2006/relationships/hyperlink" Target="https://bcp.gov.gh/acc/registry/docs/Petroleum%20(Exploration%20and%20Production)%20Act,%202016%20Act%20919.pdf" TargetMode="External"/><Relationship Id="rId143" Type="http://schemas.openxmlformats.org/officeDocument/2006/relationships/hyperlink" Target="https://epcghana.com/profile/" TargetMode="External"/><Relationship Id="rId148" Type="http://schemas.openxmlformats.org/officeDocument/2006/relationships/hyperlink" Target="https://moti.gov.gh/taxincentives.php" TargetMode="External"/><Relationship Id="rId164" Type="http://schemas.openxmlformats.org/officeDocument/2006/relationships/hyperlink" Target="http://i-tip.wto.org/services/GATS_Detail.aspx/?id=18831&amp;sector_path=00000" TargetMode="External"/><Relationship Id="rId169" Type="http://schemas.openxmlformats.org/officeDocument/2006/relationships/hyperlink" Target="http://shippers.org.gh/" TargetMode="External"/><Relationship Id="rId185" Type="http://schemas.openxmlformats.org/officeDocument/2006/relationships/hyperlink" Target="https://www.bog.gov.gh/wp-content/uploads/2019/08/revised-forex-bureau-regulations.pdf" TargetMode="External"/><Relationship Id="rId4" Type="http://schemas.openxmlformats.org/officeDocument/2006/relationships/hyperlink" Target="https://judicial.gov.gh/index.php/preamble" TargetMode="External"/><Relationship Id="rId9" Type="http://schemas.openxmlformats.org/officeDocument/2006/relationships/hyperlink" Target="https://www.wto.org/english/thewto_e/countries_e/ghana_e.htm" TargetMode="External"/><Relationship Id="rId180" Type="http://schemas.openxmlformats.org/officeDocument/2006/relationships/hyperlink" Target="https://www.fatf-gafi.org/fr/pays/a-c/barbade/documents/increased-monitoring-february-2021.html"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AppData\Roaming\Microsoft\Templates\Publications\WTOTPRSe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C92A-BB1A-4257-AD6D-60E2763A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WTOTPRSecE.dotx</Template>
  <TotalTime>0</TotalTime>
  <Pages>109</Pages>
  <Words>50479</Words>
  <Characters>280889</Characters>
  <Application>Microsoft Office Word</Application>
  <DocSecurity>0</DocSecurity>
  <Lines>8659</Lines>
  <Paragraphs>5600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2022-04-12T12:39:00Z</cp:lastPrinted>
  <dcterms:created xsi:type="dcterms:W3CDTF">2022-05-16T09:27:00Z</dcterms:created>
  <dcterms:modified xsi:type="dcterms:W3CDTF">2022-05-17T12:15:00Z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70bd8d8b-65e3-4464-8d06-256f162063dd</vt:lpwstr>
  </property>
  <property fmtid="{D5CDD505-2E9C-101B-9397-08002B2CF9AE}" pid="3" name="Symbol1">
    <vt:lpwstr>WT/TPR/S/427</vt:lpwstr>
  </property>
  <property fmtid="{D5CDD505-2E9C-101B-9397-08002B2CF9AE}" pid="4" name="Symbol2">
    <vt:lpwstr>Ghana</vt:lpwstr>
  </property>
  <property fmtid="{D5CDD505-2E9C-101B-9397-08002B2CF9AE}" pid="5" name="WTOCLASSIFICATION">
    <vt:lpwstr>WTO OFFICIAL</vt:lpwstr>
  </property>
</Properties>
</file>