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C094F" w14:textId="0CC3D45B" w:rsidR="000E1182" w:rsidRDefault="000E1182" w:rsidP="005027BE">
      <w:pPr>
        <w:pStyle w:val="Title"/>
      </w:pPr>
      <w:r w:rsidRPr="000E1182">
        <w:t>NOTIFICATION, AU TITRE DE L'ARTICLE 12:1 B) DE L'ACCORD SUR LES</w:t>
      </w:r>
      <w:r>
        <w:br/>
      </w:r>
      <w:r w:rsidRPr="000E1182">
        <w:t>SAUVEGARDES, DE LA CONSTATATION DE L'EXISTENCE D'UN</w:t>
      </w:r>
      <w:r>
        <w:br/>
      </w:r>
      <w:r w:rsidRPr="000E1182">
        <w:t>DOMMAGE GRAVE OU D'UNE MENACE DE DOMMAGE GRAVE</w:t>
      </w:r>
      <w:r>
        <w:br/>
      </w:r>
      <w:r w:rsidRPr="000E1182">
        <w:t>CAUSÉ PAR UN ACCROISSEMENT DES IMPORTATIONS</w:t>
      </w:r>
    </w:p>
    <w:p w14:paraId="64BC7B57" w14:textId="6C1516AC" w:rsidR="000E1182" w:rsidRDefault="000E1182" w:rsidP="005027BE">
      <w:pPr>
        <w:spacing w:before="480" w:after="240"/>
        <w:ind w:left="11" w:right="62" w:hanging="11"/>
        <w:jc w:val="center"/>
        <w:rPr>
          <w:rFonts w:asciiTheme="majorHAnsi" w:eastAsiaTheme="majorEastAsia" w:hAnsiTheme="majorHAnsi" w:cstheme="majorBidi"/>
          <w:b/>
          <w:caps/>
          <w:color w:val="006283"/>
          <w:kern w:val="28"/>
          <w:szCs w:val="18"/>
          <w:lang w:eastAsia="fr-FR"/>
        </w:rPr>
      </w:pPr>
      <w:r w:rsidRPr="000E1182">
        <w:rPr>
          <w:rFonts w:eastAsiaTheme="majorEastAsia" w:cstheme="majorBidi"/>
          <w:b/>
          <w:color w:val="006283"/>
          <w:szCs w:val="18"/>
          <w:lang w:eastAsia="fr-FR"/>
        </w:rPr>
        <w:t>NOTIFICATION, AU TITRE DE L'ARTICLE 12:1 C) DE L'ACCORD</w:t>
      </w:r>
      <w:r>
        <w:rPr>
          <w:rFonts w:eastAsiaTheme="majorEastAsia" w:cstheme="majorBidi"/>
          <w:b/>
          <w:color w:val="006283"/>
          <w:szCs w:val="18"/>
          <w:lang w:eastAsia="fr-FR"/>
        </w:rPr>
        <w:br/>
      </w:r>
      <w:r w:rsidRPr="000E1182">
        <w:rPr>
          <w:rFonts w:eastAsiaTheme="majorEastAsia" w:cstheme="majorBidi"/>
          <w:b/>
          <w:color w:val="006283"/>
          <w:szCs w:val="18"/>
          <w:lang w:eastAsia="fr-FR"/>
        </w:rPr>
        <w:t>SUR LES SAUVEGARDES, DE LA DÉCISION D'APPLIQUER</w:t>
      </w:r>
      <w:r>
        <w:rPr>
          <w:rFonts w:eastAsiaTheme="majorEastAsia" w:cstheme="majorBidi"/>
          <w:b/>
          <w:color w:val="006283"/>
          <w:szCs w:val="18"/>
          <w:lang w:eastAsia="fr-FR"/>
        </w:rPr>
        <w:br/>
      </w:r>
      <w:r w:rsidRPr="000E1182">
        <w:rPr>
          <w:rFonts w:asciiTheme="majorHAnsi" w:eastAsiaTheme="majorEastAsia" w:hAnsiTheme="majorHAnsi" w:cstheme="majorBidi"/>
          <w:b/>
          <w:caps/>
          <w:color w:val="006283"/>
          <w:kern w:val="28"/>
          <w:szCs w:val="18"/>
          <w:lang w:eastAsia="fr-FR"/>
        </w:rPr>
        <w:t>UNE MESURE DE SAUVEGARDE</w:t>
      </w:r>
    </w:p>
    <w:p w14:paraId="519F88B5" w14:textId="77777777" w:rsidR="000E1182" w:rsidRPr="000E1182" w:rsidRDefault="000E1182" w:rsidP="005027BE">
      <w:pPr>
        <w:spacing w:before="480" w:after="240"/>
        <w:ind w:left="11" w:right="62" w:hanging="11"/>
        <w:jc w:val="center"/>
        <w:rPr>
          <w:rFonts w:asciiTheme="majorHAnsi" w:eastAsiaTheme="majorEastAsia" w:hAnsiTheme="majorHAnsi" w:cstheme="majorBidi"/>
          <w:b/>
          <w:caps/>
          <w:color w:val="006283"/>
          <w:kern w:val="28"/>
          <w:szCs w:val="18"/>
          <w:lang w:eastAsia="fr-FR"/>
        </w:rPr>
      </w:pPr>
      <w:r w:rsidRPr="000E1182">
        <w:rPr>
          <w:rFonts w:asciiTheme="majorHAnsi" w:eastAsiaTheme="majorEastAsia" w:hAnsiTheme="majorHAnsi" w:cstheme="majorBidi"/>
          <w:b/>
          <w:caps/>
          <w:color w:val="006283"/>
          <w:kern w:val="28"/>
          <w:szCs w:val="18"/>
          <w:lang w:eastAsia="fr-FR"/>
        </w:rPr>
        <w:t>NOTIFICATION AU TITRE DE L'ARTICLE 9, NOTE DE BAS DE PAGE 2,</w:t>
      </w:r>
      <w:r w:rsidRPr="000E1182">
        <w:rPr>
          <w:rFonts w:asciiTheme="majorHAnsi" w:eastAsiaTheme="majorEastAsia" w:hAnsiTheme="majorHAnsi" w:cstheme="majorBidi"/>
          <w:b/>
          <w:caps/>
          <w:color w:val="006283"/>
          <w:kern w:val="28"/>
          <w:szCs w:val="18"/>
          <w:lang w:eastAsia="fr-FR"/>
        </w:rPr>
        <w:br/>
        <w:t>DE L'ACCORD SUR LES SAUVEGARDES</w:t>
      </w:r>
    </w:p>
    <w:p w14:paraId="2FE9FA55" w14:textId="77777777" w:rsidR="000E1182" w:rsidRPr="000E1182" w:rsidRDefault="000E1182" w:rsidP="005027BE">
      <w:pPr>
        <w:spacing w:after="360"/>
        <w:jc w:val="center"/>
        <w:rPr>
          <w:smallCaps/>
          <w:color w:val="006283"/>
          <w:szCs w:val="18"/>
          <w:lang w:eastAsia="en-GB"/>
        </w:rPr>
      </w:pPr>
      <w:r w:rsidRPr="000E1182">
        <w:rPr>
          <w:smallCaps/>
          <w:color w:val="006283"/>
          <w:szCs w:val="18"/>
          <w:lang w:eastAsia="en-GB"/>
        </w:rPr>
        <w:t>Madagascar</w:t>
      </w:r>
    </w:p>
    <w:p w14:paraId="3E35584F" w14:textId="437B7B16" w:rsidR="000E1182" w:rsidRPr="000E1182" w:rsidRDefault="000E1182" w:rsidP="005027BE">
      <w:pPr>
        <w:spacing w:after="360"/>
        <w:jc w:val="center"/>
        <w:rPr>
          <w:i/>
          <w:color w:val="006283"/>
          <w:szCs w:val="18"/>
          <w:lang w:eastAsia="en-GB"/>
        </w:rPr>
      </w:pPr>
      <w:r>
        <w:rPr>
          <w:i/>
          <w:color w:val="006283"/>
          <w:szCs w:val="18"/>
          <w:lang w:eastAsia="en-GB"/>
        </w:rPr>
        <w:t>Peintures</w:t>
      </w:r>
    </w:p>
    <w:p w14:paraId="54A231B9" w14:textId="0F48A004" w:rsidR="00337700" w:rsidRDefault="000E1182" w:rsidP="00D5139E">
      <w:pPr>
        <w:rPr>
          <w:rFonts w:eastAsia="Times New Roman" w:cs="Tahoma"/>
          <w:szCs w:val="18"/>
          <w:lang w:eastAsia="en-GB"/>
        </w:rPr>
      </w:pPr>
      <w:r w:rsidRPr="000E1182">
        <w:rPr>
          <w:rFonts w:eastAsia="Times New Roman" w:cs="Tahoma"/>
          <w:szCs w:val="18"/>
          <w:lang w:eastAsia="en-GB"/>
        </w:rPr>
        <w:t xml:space="preserve">La communication ci-après, datée </w:t>
      </w:r>
      <w:r>
        <w:rPr>
          <w:rFonts w:eastAsia="Times New Roman" w:cs="Tahoma"/>
          <w:szCs w:val="18"/>
          <w:lang w:eastAsia="en-GB"/>
        </w:rPr>
        <w:t>et reçue le 10</w:t>
      </w:r>
      <w:r w:rsidRPr="000E1182">
        <w:rPr>
          <w:rFonts w:eastAsia="Times New Roman" w:cs="Tahoma"/>
          <w:szCs w:val="18"/>
          <w:lang w:eastAsia="en-GB"/>
        </w:rPr>
        <w:t xml:space="preserve"> </w:t>
      </w:r>
      <w:r>
        <w:rPr>
          <w:rFonts w:eastAsia="Times New Roman" w:cs="Tahoma"/>
          <w:szCs w:val="18"/>
          <w:lang w:eastAsia="en-GB"/>
        </w:rPr>
        <w:t>mars</w:t>
      </w:r>
      <w:r w:rsidRPr="000E1182">
        <w:rPr>
          <w:rFonts w:eastAsia="Times New Roman" w:cs="Tahoma"/>
          <w:szCs w:val="18"/>
          <w:lang w:eastAsia="en-GB"/>
        </w:rPr>
        <w:t xml:space="preserve"> 202</w:t>
      </w:r>
      <w:r>
        <w:rPr>
          <w:rFonts w:eastAsia="Times New Roman" w:cs="Tahoma"/>
          <w:szCs w:val="18"/>
          <w:lang w:eastAsia="en-GB"/>
        </w:rPr>
        <w:t>3</w:t>
      </w:r>
      <w:r w:rsidRPr="000E1182">
        <w:rPr>
          <w:rFonts w:eastAsia="Times New Roman" w:cs="Tahoma"/>
          <w:szCs w:val="18"/>
          <w:lang w:eastAsia="en-GB"/>
        </w:rPr>
        <w:t>, est distribuée à la demande de la délégation de Madagascar.</w:t>
      </w:r>
    </w:p>
    <w:p w14:paraId="702F6210" w14:textId="64D1EAE2" w:rsidR="000E1182" w:rsidRDefault="000E1182" w:rsidP="00D5139E">
      <w:pPr>
        <w:rPr>
          <w:rFonts w:eastAsia="Times New Roman" w:cs="Tahoma"/>
          <w:szCs w:val="18"/>
          <w:lang w:eastAsia="en-GB"/>
        </w:rPr>
      </w:pPr>
    </w:p>
    <w:p w14:paraId="642CCFAB" w14:textId="5DCC6C63" w:rsidR="000E1182" w:rsidRDefault="000E1182" w:rsidP="00D5139E">
      <w:pPr>
        <w:jc w:val="center"/>
        <w:rPr>
          <w:rFonts w:eastAsia="Times New Roman" w:cs="Tahoma"/>
          <w:b/>
          <w:szCs w:val="18"/>
          <w:lang w:eastAsia="en-GB"/>
        </w:rPr>
      </w:pPr>
      <w:r>
        <w:rPr>
          <w:rFonts w:eastAsia="Times New Roman" w:cs="Tahoma"/>
          <w:b/>
          <w:szCs w:val="18"/>
          <w:lang w:eastAsia="en-GB"/>
        </w:rPr>
        <w:t>_______________</w:t>
      </w:r>
    </w:p>
    <w:p w14:paraId="0667001D" w14:textId="6F774C3B" w:rsidR="000E1182" w:rsidRDefault="000E1182" w:rsidP="00D5139E">
      <w:pPr>
        <w:rPr>
          <w:rFonts w:eastAsia="Times New Roman" w:cs="Tahoma"/>
          <w:szCs w:val="18"/>
          <w:lang w:eastAsia="en-GB"/>
        </w:rPr>
      </w:pPr>
    </w:p>
    <w:p w14:paraId="4EB456DD" w14:textId="77777777" w:rsidR="00E63267" w:rsidRDefault="00E63267" w:rsidP="00D5139E">
      <w:pPr>
        <w:rPr>
          <w:rFonts w:eastAsia="Times New Roman" w:cs="Tahoma"/>
          <w:szCs w:val="18"/>
          <w:lang w:eastAsia="en-GB"/>
        </w:rPr>
      </w:pPr>
    </w:p>
    <w:p w14:paraId="7D768D4E" w14:textId="4A61B72E" w:rsidR="000E1182" w:rsidRPr="000E1182" w:rsidRDefault="000E1182" w:rsidP="005027BE">
      <w:pPr>
        <w:spacing w:after="240"/>
      </w:pPr>
      <w:r w:rsidRPr="000E1182">
        <w:t>Conformément à l</w:t>
      </w:r>
      <w:r w:rsidR="004148FA">
        <w:t>'</w:t>
      </w:r>
      <w:r w:rsidRPr="000E1182">
        <w:t>article 12:1 B) et l</w:t>
      </w:r>
      <w:r w:rsidR="004148FA">
        <w:t>'</w:t>
      </w:r>
      <w:r w:rsidRPr="000E1182">
        <w:t>article 12:1 C) de l</w:t>
      </w:r>
      <w:r w:rsidR="004148FA">
        <w:t>'</w:t>
      </w:r>
      <w:r w:rsidRPr="000E1182">
        <w:t>Accord sur les sauvegardes, le Comité des sauvegardes est notifié de la constatation de l'existence d'un dommage grave ou d'une menace de dommage grave causé par un accroissement des importations et de la décision d'appliquer une mesure de sauvegarde, sur les importations de peintures. Il est également notifié, conformément à l'article 9, note de bas de page 2, dudit accord, de la décision de ne pas appliquer la mesure de sauvegarde envisagée aux importations en provenance des pays en développement.</w:t>
      </w:r>
    </w:p>
    <w:p w14:paraId="5A1EF104" w14:textId="67F2C988" w:rsidR="000E1182" w:rsidRPr="000E1182" w:rsidRDefault="000E1182" w:rsidP="005027BE">
      <w:pPr>
        <w:spacing w:after="240"/>
      </w:pPr>
      <w:r w:rsidRPr="000E1182">
        <w:t>Conformément à l'article 12:3 de l'Accord sur les sauvegardes, Madagascar est prêt à engager des consultations avec les Membres ayant un intérêt substantiel en tant qu'exportateurs du produit considéré.</w:t>
      </w:r>
    </w:p>
    <w:p w14:paraId="7011157F" w14:textId="77777777" w:rsidR="000E1182" w:rsidRPr="000E1182" w:rsidRDefault="000E1182" w:rsidP="005027BE">
      <w:pPr>
        <w:pStyle w:val="Heading1"/>
      </w:pPr>
      <w:r w:rsidRPr="000E1182">
        <w:t>NOTIFICATION, AU TITRE DE L'ARTICLE 12:1 B) ET 12:1 C) DE L'ACCORD SUR LES SAUVEGARDES, DE LA CONSTATATION DE L'EXISTENCE D'UN DOMMAGE GRAVE OU D'UNE MENACE DE DOMMAGE GRAVE CAUSÉ PAR UN ACCROISSEMENT DES IMPORTATIONS, ET DE LA DÉCISION D'APPLIQUER UNE MESURE DE SAUVEGARDE</w:t>
      </w:r>
    </w:p>
    <w:p w14:paraId="773135E4" w14:textId="77777777" w:rsidR="000E1182" w:rsidRPr="000E1182" w:rsidRDefault="000E1182" w:rsidP="005027BE">
      <w:pPr>
        <w:pStyle w:val="Heading2"/>
      </w:pPr>
      <w:r w:rsidRPr="000E1182">
        <w:t>Éléments de preuve de l'existence d'un dommage grave ou d'une menace de dommage grave causé par un accroissement des importations</w:t>
      </w:r>
    </w:p>
    <w:p w14:paraId="35ED5E52" w14:textId="77777777" w:rsidR="000E1182" w:rsidRPr="000E1182" w:rsidRDefault="000E1182" w:rsidP="00E46BDE">
      <w:pPr>
        <w:pStyle w:val="Heading3"/>
        <w:numPr>
          <w:ilvl w:val="0"/>
          <w:numId w:val="32"/>
        </w:numPr>
      </w:pPr>
      <w:r w:rsidRPr="000E1182">
        <w:t>ACCROISSEMENT DES IMPORTATIONS</w:t>
      </w:r>
    </w:p>
    <w:p w14:paraId="6E48383E" w14:textId="041C2470" w:rsidR="000E1182" w:rsidRPr="000E1182" w:rsidRDefault="000330CB" w:rsidP="00E46BDE">
      <w:pPr>
        <w:pStyle w:val="Heading4"/>
        <w:numPr>
          <w:ilvl w:val="0"/>
          <w:numId w:val="33"/>
        </w:numPr>
      </w:pPr>
      <w:r w:rsidRPr="000E1182">
        <w:t>Évolution</w:t>
      </w:r>
      <w:r w:rsidR="000E1182" w:rsidRPr="000E1182">
        <w:t xml:space="preserve"> imprévue des circonstances</w:t>
      </w:r>
    </w:p>
    <w:p w14:paraId="63A29529" w14:textId="73A1D524" w:rsidR="000E1182" w:rsidRPr="000E1182" w:rsidRDefault="000E1182" w:rsidP="005027BE">
      <w:pPr>
        <w:spacing w:after="240"/>
      </w:pPr>
      <w:r w:rsidRPr="000E1182">
        <w:t>L</w:t>
      </w:r>
      <w:r w:rsidR="004148FA">
        <w:t>'</w:t>
      </w:r>
      <w:r w:rsidRPr="000E1182">
        <w:t>accroissement massif des importations de peintures est le résultat de l</w:t>
      </w:r>
      <w:r w:rsidR="004148FA">
        <w:t>'</w:t>
      </w:r>
      <w:r w:rsidRPr="000E1182">
        <w:t>évolution imprévue des circonstances reflétée par une série de facteurs ci-après :</w:t>
      </w:r>
    </w:p>
    <w:p w14:paraId="6F4142CC" w14:textId="571ED7A1" w:rsidR="000E1182" w:rsidRPr="000E1182" w:rsidRDefault="000E1182" w:rsidP="005027BE">
      <w:pPr>
        <w:spacing w:after="240"/>
      </w:pPr>
      <w:r w:rsidRPr="000E1182">
        <w:lastRenderedPageBreak/>
        <w:t>D</w:t>
      </w:r>
      <w:r w:rsidR="004148FA">
        <w:t>'</w:t>
      </w:r>
      <w:r w:rsidRPr="000E1182">
        <w:t>une part, la mise en place de politiques de relance économique post-covid qui a entrainé la reprise très rapide des exportations des principaux pays exportateurs de peintures.</w:t>
      </w:r>
    </w:p>
    <w:p w14:paraId="35AC8472" w14:textId="76279C69" w:rsidR="000E1182" w:rsidRPr="000E1182" w:rsidRDefault="000E1182" w:rsidP="005027BE">
      <w:pPr>
        <w:spacing w:after="240"/>
      </w:pPr>
      <w:r w:rsidRPr="000E1182">
        <w:t>D</w:t>
      </w:r>
      <w:r w:rsidR="004148FA">
        <w:t>'</w:t>
      </w:r>
      <w:r w:rsidRPr="000E1182">
        <w:t>autre part, la nouvelle tendance vers l</w:t>
      </w:r>
      <w:r w:rsidR="004148FA">
        <w:t>'</w:t>
      </w:r>
      <w:r w:rsidRPr="000E1182">
        <w:t>utilisation des peintures en poudre dans les pays développés du fait des avantages qu</w:t>
      </w:r>
      <w:r w:rsidR="004148FA">
        <w:t>'</w:t>
      </w:r>
      <w:r w:rsidRPr="000E1182">
        <w:t>elles procurent en termes de résistance, d</w:t>
      </w:r>
      <w:r w:rsidR="004148FA">
        <w:t>'</w:t>
      </w:r>
      <w:r w:rsidRPr="000E1182">
        <w:t>esthétique, de design, d</w:t>
      </w:r>
      <w:r w:rsidR="004148FA">
        <w:t>'</w:t>
      </w:r>
      <w:r w:rsidRPr="000E1182">
        <w:t>écologie. Ce changement a favorisé les exportations de peintures liquides vers les pays d</w:t>
      </w:r>
      <w:r w:rsidR="004148FA">
        <w:t>'</w:t>
      </w:r>
      <w:r w:rsidRPr="000E1182">
        <w:t>Afriques dont Madagascar. D</w:t>
      </w:r>
      <w:r w:rsidR="004148FA">
        <w:t>'</w:t>
      </w:r>
      <w:r w:rsidRPr="000E1182">
        <w:t>autant plus, l</w:t>
      </w:r>
      <w:r w:rsidR="004148FA">
        <w:t>'</w:t>
      </w:r>
      <w:r w:rsidRPr="000E1182">
        <w:t>interdiction de peintures au plomb dans plusieurs pays, à cause de sa toxicité, entraîne systématiquement leurs exportations vers les pays où elles ne sont pas encore interdites.</w:t>
      </w:r>
    </w:p>
    <w:p w14:paraId="3661D877" w14:textId="77777777" w:rsidR="000E1182" w:rsidRPr="000E1182" w:rsidRDefault="000E1182" w:rsidP="00E46BDE">
      <w:pPr>
        <w:pStyle w:val="Heading4"/>
        <w:numPr>
          <w:ilvl w:val="0"/>
          <w:numId w:val="33"/>
        </w:numPr>
      </w:pPr>
      <w:r w:rsidRPr="000E1182">
        <w:t>Évolution en termes absolus des importations</w:t>
      </w:r>
    </w:p>
    <w:p w14:paraId="62BA18E8" w14:textId="30B23893" w:rsidR="000E1182" w:rsidRPr="000E1182" w:rsidRDefault="000E1182" w:rsidP="005027BE">
      <w:pPr>
        <w:spacing w:after="240"/>
      </w:pPr>
      <w:r w:rsidRPr="000E1182">
        <w:t>Les importations de peintures à Madagascar ont connu un accroissement significatif au cours de la période considérée. Tout d</w:t>
      </w:r>
      <w:r w:rsidR="004148FA">
        <w:t>'</w:t>
      </w:r>
      <w:r w:rsidRPr="000E1182">
        <w:t>abord, elles ont augmenté de 10 points d</w:t>
      </w:r>
      <w:r w:rsidR="004148FA">
        <w:t>'</w:t>
      </w:r>
      <w:r w:rsidRPr="000E1182">
        <w:t>indice entre 2018 et 2019. Puis, une hausse brutale et massive d</w:t>
      </w:r>
      <w:r w:rsidR="004148FA">
        <w:t>'</w:t>
      </w:r>
      <w:r w:rsidRPr="000E1182">
        <w:t>environ 15 points d</w:t>
      </w:r>
      <w:r w:rsidR="004148FA">
        <w:t>'</w:t>
      </w:r>
      <w:r w:rsidRPr="000E1182">
        <w:t>indice a été enregistrée en 2021 par rapport à l</w:t>
      </w:r>
      <w:r w:rsidR="004148FA">
        <w:t>'</w:t>
      </w:r>
      <w:r w:rsidRPr="000E1182">
        <w:t>année précédente. Enfin, la tendance ascendante des importations s</w:t>
      </w:r>
      <w:r w:rsidR="004148FA">
        <w:t>'</w:t>
      </w:r>
      <w:r w:rsidRPr="000E1182">
        <w:t>est poursuivie de janvier à juillet 2022 avec un accroissement de 08 points d</w:t>
      </w:r>
      <w:r w:rsidR="004148FA">
        <w:t>'</w:t>
      </w:r>
      <w:r w:rsidRPr="000E1182">
        <w:t>indice par rapport à la même période de l</w:t>
      </w:r>
      <w:r w:rsidR="004148FA">
        <w:t>'</w:t>
      </w:r>
      <w:r w:rsidRPr="000E1182">
        <w:t>année</w:t>
      </w:r>
      <w:r w:rsidR="000330CB">
        <w:t> </w:t>
      </w:r>
      <w:r w:rsidRPr="000E1182">
        <w:t>2021.</w:t>
      </w:r>
    </w:p>
    <w:p w14:paraId="185A67A8" w14:textId="77777777" w:rsidR="000E1182" w:rsidRPr="000E1182" w:rsidRDefault="000E1182" w:rsidP="00E46BDE">
      <w:pPr>
        <w:pStyle w:val="Heading4"/>
        <w:numPr>
          <w:ilvl w:val="0"/>
          <w:numId w:val="33"/>
        </w:numPr>
      </w:pPr>
      <w:r w:rsidRPr="000E1182">
        <w:t>Évolution des importations par rapport à la production nationale</w:t>
      </w:r>
    </w:p>
    <w:p w14:paraId="5F4756AB" w14:textId="18BF9E84" w:rsidR="000E1182" w:rsidRPr="000E1182" w:rsidRDefault="000E1182" w:rsidP="005027BE">
      <w:pPr>
        <w:spacing w:after="240"/>
      </w:pPr>
      <w:r w:rsidRPr="000E1182">
        <w:t>Au cours de la période considérée, le volume de peintures produites localement était toujours en dessous de la moitié du volume importé. L</w:t>
      </w:r>
      <w:r w:rsidR="004148FA">
        <w:t>'</w:t>
      </w:r>
      <w:r w:rsidRPr="000E1182">
        <w:t>accroissement des importations est beaucoup plus significatif en termes relatifs par rapport à la production nationale car il est de 26 points d</w:t>
      </w:r>
      <w:r w:rsidR="004148FA">
        <w:t>'</w:t>
      </w:r>
      <w:r w:rsidRPr="000E1182">
        <w:t>indice en</w:t>
      </w:r>
      <w:r w:rsidR="000330CB">
        <w:t> </w:t>
      </w:r>
      <w:r w:rsidRPr="000E1182">
        <w:t>2021, et de 20 points d</w:t>
      </w:r>
      <w:r w:rsidR="004148FA">
        <w:t>'</w:t>
      </w:r>
      <w:r w:rsidRPr="000E1182">
        <w:t>indice pour les sept premiers mois de 2022</w:t>
      </w:r>
    </w:p>
    <w:p w14:paraId="4ED4D8A1" w14:textId="77777777" w:rsidR="000E1182" w:rsidRPr="000E1182" w:rsidRDefault="000E1182" w:rsidP="005027BE">
      <w:pPr>
        <w:pStyle w:val="Heading3"/>
        <w:numPr>
          <w:ilvl w:val="0"/>
          <w:numId w:val="22"/>
        </w:numPr>
      </w:pPr>
      <w:r w:rsidRPr="000E1182">
        <w:t>DOMMAGE GRAVE</w:t>
      </w:r>
    </w:p>
    <w:p w14:paraId="568771A7" w14:textId="5A653503" w:rsidR="000E1182" w:rsidRPr="000E1182" w:rsidRDefault="000E1182" w:rsidP="005027BE">
      <w:pPr>
        <w:spacing w:after="240"/>
        <w:rPr>
          <w:b/>
        </w:rPr>
      </w:pPr>
      <w:r w:rsidRPr="000E1182">
        <w:t>La détermination de l</w:t>
      </w:r>
      <w:r w:rsidR="004148FA">
        <w:t>'</w:t>
      </w:r>
      <w:r w:rsidRPr="000E1182">
        <w:t>existence du dommage grave causé à la branche de production nationale de peintures a été fondée sur une base objective et quantifiable de tous les facteurs pertinents qui influent la situation de cette branche de production. Les données dont dispose l</w:t>
      </w:r>
      <w:r w:rsidR="004148FA">
        <w:t>'</w:t>
      </w:r>
      <w:r w:rsidRPr="000E1182">
        <w:t>Autorité ont permis d</w:t>
      </w:r>
      <w:r w:rsidR="004148FA">
        <w:t>'</w:t>
      </w:r>
      <w:r w:rsidRPr="000E1182">
        <w:t>analyser le dommage grave subi par la branche de production nationale.</w:t>
      </w:r>
    </w:p>
    <w:p w14:paraId="251FF35A" w14:textId="25746EAB" w:rsidR="000E1182" w:rsidRPr="000E1182" w:rsidRDefault="000E1182" w:rsidP="005027BE">
      <w:pPr>
        <w:pStyle w:val="Heading4"/>
        <w:numPr>
          <w:ilvl w:val="0"/>
          <w:numId w:val="23"/>
        </w:numPr>
        <w:rPr>
          <w:rFonts w:eastAsia="Arial"/>
        </w:rPr>
      </w:pPr>
      <w:r w:rsidRPr="000E1182">
        <w:rPr>
          <w:rFonts w:eastAsia="Arial"/>
        </w:rPr>
        <w:t>Rythme</w:t>
      </w:r>
      <w:r w:rsidRPr="000E1182">
        <w:rPr>
          <w:rFonts w:eastAsia="Arial"/>
          <w:spacing w:val="-4"/>
        </w:rPr>
        <w:t xml:space="preserve"> </w:t>
      </w:r>
      <w:r w:rsidRPr="000E1182">
        <w:rPr>
          <w:rFonts w:eastAsia="Arial"/>
        </w:rPr>
        <w:t>d</w:t>
      </w:r>
      <w:r w:rsidR="004148FA">
        <w:rPr>
          <w:rFonts w:eastAsia="Arial"/>
        </w:rPr>
        <w:t>'</w:t>
      </w:r>
      <w:r w:rsidRPr="000E1182">
        <w:rPr>
          <w:rFonts w:eastAsia="Arial"/>
        </w:rPr>
        <w:t>accroissement</w:t>
      </w:r>
      <w:r w:rsidRPr="000E1182">
        <w:rPr>
          <w:rFonts w:eastAsia="Arial"/>
          <w:spacing w:val="-7"/>
        </w:rPr>
        <w:t xml:space="preserve"> </w:t>
      </w:r>
      <w:r w:rsidRPr="000E1182">
        <w:rPr>
          <w:rFonts w:eastAsia="Arial"/>
        </w:rPr>
        <w:t>des</w:t>
      </w:r>
      <w:r w:rsidRPr="000E1182">
        <w:rPr>
          <w:rFonts w:eastAsia="Arial"/>
          <w:spacing w:val="-3"/>
        </w:rPr>
        <w:t xml:space="preserve"> </w:t>
      </w:r>
      <w:r w:rsidRPr="000E1182">
        <w:rPr>
          <w:rFonts w:eastAsia="Arial"/>
        </w:rPr>
        <w:t>importations</w:t>
      </w:r>
    </w:p>
    <w:p w14:paraId="65B1456A" w14:textId="20DFF368" w:rsidR="000E1182" w:rsidRPr="000E1182" w:rsidRDefault="000E1182" w:rsidP="005027BE">
      <w:pPr>
        <w:spacing w:after="240"/>
      </w:pPr>
      <w:r w:rsidRPr="000E1182">
        <w:t>Les données de l</w:t>
      </w:r>
      <w:r w:rsidR="004148FA">
        <w:t>'</w:t>
      </w:r>
      <w:r w:rsidRPr="000E1182">
        <w:t>enquête ont montré que le volume des importations de peintures a augmenté entre 2018 et 2021. Un accroissement brusque et important est surtout constaté sur la période récente, notamment entre 2020 et 2021 ainsi que de janvier à juillet 2022 par rapport à la même période de 2021, aussi bien en terme absolu qu</w:t>
      </w:r>
      <w:r w:rsidR="004148FA">
        <w:t>'</w:t>
      </w:r>
      <w:r w:rsidRPr="000E1182">
        <w:t>en terme relatif par rapport à la production nationale. Cette situation a une répercussion négative sur les indicateurs de performance de la branche de production nationale.</w:t>
      </w:r>
    </w:p>
    <w:p w14:paraId="5CC0DEF4" w14:textId="77777777" w:rsidR="000E1182" w:rsidRPr="000E1182" w:rsidRDefault="000E1182" w:rsidP="005027BE">
      <w:pPr>
        <w:pStyle w:val="Heading4"/>
        <w:numPr>
          <w:ilvl w:val="0"/>
          <w:numId w:val="24"/>
        </w:numPr>
        <w:rPr>
          <w:rFonts w:eastAsia="Arial"/>
        </w:rPr>
      </w:pPr>
      <w:r w:rsidRPr="000E1182">
        <w:rPr>
          <w:rFonts w:eastAsia="Arial"/>
        </w:rPr>
        <w:t>Part</w:t>
      </w:r>
      <w:r w:rsidRPr="000E1182">
        <w:rPr>
          <w:rFonts w:eastAsia="Arial"/>
          <w:spacing w:val="-5"/>
        </w:rPr>
        <w:t xml:space="preserve"> </w:t>
      </w:r>
      <w:r w:rsidRPr="000E1182">
        <w:rPr>
          <w:rFonts w:eastAsia="Arial"/>
        </w:rPr>
        <w:t>de</w:t>
      </w:r>
      <w:r w:rsidRPr="000E1182">
        <w:rPr>
          <w:rFonts w:eastAsia="Arial"/>
          <w:spacing w:val="-2"/>
        </w:rPr>
        <w:t xml:space="preserve"> </w:t>
      </w:r>
      <w:r w:rsidRPr="000E1182">
        <w:rPr>
          <w:rFonts w:eastAsia="Arial"/>
        </w:rPr>
        <w:t>marché</w:t>
      </w:r>
      <w:r w:rsidRPr="000E1182">
        <w:rPr>
          <w:rFonts w:eastAsia="Arial"/>
          <w:spacing w:val="-2"/>
        </w:rPr>
        <w:t xml:space="preserve"> </w:t>
      </w:r>
      <w:r w:rsidRPr="000E1182">
        <w:rPr>
          <w:rFonts w:eastAsia="Arial"/>
        </w:rPr>
        <w:t>intérieur</w:t>
      </w:r>
      <w:r w:rsidRPr="000E1182">
        <w:rPr>
          <w:rFonts w:eastAsia="Arial"/>
          <w:spacing w:val="-5"/>
        </w:rPr>
        <w:t xml:space="preserve"> </w:t>
      </w:r>
      <w:r w:rsidRPr="000E1182">
        <w:rPr>
          <w:rFonts w:eastAsia="Arial"/>
        </w:rPr>
        <w:t>absorbée</w:t>
      </w:r>
      <w:r w:rsidRPr="000E1182">
        <w:rPr>
          <w:rFonts w:eastAsia="Arial"/>
          <w:spacing w:val="-5"/>
        </w:rPr>
        <w:t xml:space="preserve"> </w:t>
      </w:r>
      <w:r w:rsidRPr="000E1182">
        <w:rPr>
          <w:rFonts w:eastAsia="Arial"/>
        </w:rPr>
        <w:t>par</w:t>
      </w:r>
      <w:r w:rsidRPr="000E1182">
        <w:rPr>
          <w:rFonts w:eastAsia="Arial"/>
          <w:spacing w:val="-5"/>
        </w:rPr>
        <w:t xml:space="preserve"> </w:t>
      </w:r>
      <w:r w:rsidRPr="000E1182">
        <w:rPr>
          <w:rFonts w:eastAsia="Arial"/>
        </w:rPr>
        <w:t>les</w:t>
      </w:r>
      <w:r w:rsidRPr="000E1182">
        <w:rPr>
          <w:rFonts w:eastAsia="Arial"/>
          <w:spacing w:val="-2"/>
        </w:rPr>
        <w:t xml:space="preserve"> </w:t>
      </w:r>
      <w:r w:rsidRPr="000E1182">
        <w:rPr>
          <w:rFonts w:eastAsia="Arial"/>
        </w:rPr>
        <w:t>importations</w:t>
      </w:r>
    </w:p>
    <w:p w14:paraId="2DDAB10F" w14:textId="1EDFA491" w:rsidR="000E1182" w:rsidRPr="000E1182" w:rsidRDefault="000E1182" w:rsidP="005027BE">
      <w:pPr>
        <w:spacing w:after="240"/>
      </w:pPr>
      <w:r w:rsidRPr="000E1182">
        <w:t>Les peintures importées ont accaparé le marché local pendant la période d</w:t>
      </w:r>
      <w:r w:rsidR="004148FA">
        <w:t>'</w:t>
      </w:r>
      <w:r w:rsidRPr="000E1182">
        <w:t>analyse. Entre 2020 et</w:t>
      </w:r>
      <w:r w:rsidR="00E46BDE">
        <w:t> </w:t>
      </w:r>
      <w:r w:rsidRPr="000E1182">
        <w:t>2021, la branche de production nationale a perdu une part de marché considérable de 32 points d</w:t>
      </w:r>
      <w:r w:rsidR="004148FA">
        <w:t>'</w:t>
      </w:r>
      <w:r w:rsidRPr="000E1182">
        <w:t>indice alors que les importations ont gagné 14 points d</w:t>
      </w:r>
      <w:r w:rsidR="004148FA">
        <w:t>'</w:t>
      </w:r>
      <w:r w:rsidRPr="000E1182">
        <w:t>indice. Durant les sept premiers mois de</w:t>
      </w:r>
      <w:r w:rsidR="00E46BDE">
        <w:t> </w:t>
      </w:r>
      <w:r w:rsidRPr="000E1182">
        <w:t>2022, les producteurs locaux ont vu leur part se dégrader de 16 points d</w:t>
      </w:r>
      <w:r w:rsidR="004148FA">
        <w:t>'</w:t>
      </w:r>
      <w:r w:rsidRPr="000E1182">
        <w:t>indice.</w:t>
      </w:r>
    </w:p>
    <w:p w14:paraId="39C765FD" w14:textId="77777777" w:rsidR="000E1182" w:rsidRPr="000E1182" w:rsidRDefault="000E1182" w:rsidP="005027BE">
      <w:pPr>
        <w:pStyle w:val="Heading4"/>
        <w:numPr>
          <w:ilvl w:val="0"/>
          <w:numId w:val="25"/>
        </w:numPr>
        <w:rPr>
          <w:rFonts w:eastAsia="Arial"/>
        </w:rPr>
      </w:pPr>
      <w:r w:rsidRPr="000E1182">
        <w:rPr>
          <w:rFonts w:eastAsia="Arial"/>
        </w:rPr>
        <w:t>Production</w:t>
      </w:r>
      <w:r w:rsidRPr="000E1182">
        <w:rPr>
          <w:rFonts w:eastAsia="Arial"/>
          <w:spacing w:val="-3"/>
        </w:rPr>
        <w:t xml:space="preserve"> </w:t>
      </w:r>
      <w:r w:rsidRPr="000E1182">
        <w:rPr>
          <w:rFonts w:eastAsia="Arial"/>
        </w:rPr>
        <w:t>nationale</w:t>
      </w:r>
    </w:p>
    <w:p w14:paraId="7404D769" w14:textId="1A532E2F" w:rsidR="000E1182" w:rsidRPr="000E1182" w:rsidRDefault="000E1182" w:rsidP="005027BE">
      <w:pPr>
        <w:spacing w:after="240"/>
      </w:pPr>
      <w:r w:rsidRPr="000E1182">
        <w:t>Malgré une augmentation du volume des peintures fabriquées localement de 10 points d</w:t>
      </w:r>
      <w:r w:rsidR="004148FA">
        <w:t>'</w:t>
      </w:r>
      <w:r w:rsidRPr="000E1182">
        <w:t>indice en</w:t>
      </w:r>
      <w:r w:rsidR="00E46BDE">
        <w:t> </w:t>
      </w:r>
      <w:r w:rsidRPr="000E1182">
        <w:t>2019 par rapport à 2018, une baisse continue et de plus en plus importante est enregistrée à partir de 2020. Elle est de 2 points d</w:t>
      </w:r>
      <w:r w:rsidR="004148FA">
        <w:t>'</w:t>
      </w:r>
      <w:r w:rsidRPr="000E1182">
        <w:t>indice en 2020 et a atteint 12 points d</w:t>
      </w:r>
      <w:r w:rsidR="004148FA">
        <w:t>'</w:t>
      </w:r>
      <w:r w:rsidRPr="000E1182">
        <w:t>indice en 2021. Soit une baisse de 12 points d</w:t>
      </w:r>
      <w:r w:rsidR="004148FA">
        <w:t>'</w:t>
      </w:r>
      <w:r w:rsidRPr="000E1182">
        <w:t>indice entre 2019 et 2021. Pour finir, une chute de 10 points d</w:t>
      </w:r>
      <w:r w:rsidR="004148FA">
        <w:t>'</w:t>
      </w:r>
      <w:r w:rsidRPr="000E1182">
        <w:t xml:space="preserve">indice a été constatée pour les sept premiers mois de 2022 par rapport à la même période de 2021. </w:t>
      </w:r>
    </w:p>
    <w:p w14:paraId="78C8CA3B" w14:textId="77777777" w:rsidR="000E1182" w:rsidRPr="000E1182" w:rsidRDefault="000E1182" w:rsidP="00C162BB">
      <w:pPr>
        <w:pStyle w:val="Heading4"/>
        <w:numPr>
          <w:ilvl w:val="0"/>
          <w:numId w:val="25"/>
        </w:numPr>
        <w:rPr>
          <w:rFonts w:eastAsia="Arial"/>
        </w:rPr>
      </w:pPr>
      <w:r w:rsidRPr="000E1182">
        <w:rPr>
          <w:rFonts w:eastAsia="Arial"/>
        </w:rPr>
        <w:lastRenderedPageBreak/>
        <w:t xml:space="preserve">Variation du niveau des ventes </w:t>
      </w:r>
    </w:p>
    <w:p w14:paraId="78C6F3F5" w14:textId="394A9BA4" w:rsidR="000E1182" w:rsidRPr="000E1182" w:rsidRDefault="000E1182" w:rsidP="005027BE">
      <w:pPr>
        <w:spacing w:after="240"/>
      </w:pPr>
      <w:r w:rsidRPr="000E1182">
        <w:t>Les ventes ont chuté de 6 points d</w:t>
      </w:r>
      <w:r w:rsidR="004148FA">
        <w:t>'</w:t>
      </w:r>
      <w:r w:rsidRPr="000E1182">
        <w:t>indice en 2020 comparées à 2019. Puis en 2021, elles ont fortement baissé de 30 points d</w:t>
      </w:r>
      <w:r w:rsidR="004148FA">
        <w:t>'</w:t>
      </w:r>
      <w:r w:rsidRPr="000E1182">
        <w:t>indice en une seule année. Pour la période de janvier à juillet 2022, une diminution de 14 points d</w:t>
      </w:r>
      <w:r w:rsidR="004148FA">
        <w:t>'</w:t>
      </w:r>
      <w:r w:rsidRPr="000E1182">
        <w:t xml:space="preserve">indice a été constatée par rapport à la même période de 2021. </w:t>
      </w:r>
    </w:p>
    <w:p w14:paraId="038A04BB" w14:textId="38680341" w:rsidR="000E1182" w:rsidRPr="000E1182" w:rsidRDefault="000E1182" w:rsidP="00C162BB">
      <w:pPr>
        <w:pStyle w:val="Heading4"/>
        <w:numPr>
          <w:ilvl w:val="0"/>
          <w:numId w:val="25"/>
        </w:numPr>
        <w:rPr>
          <w:rFonts w:eastAsia="Arial"/>
        </w:rPr>
      </w:pPr>
      <w:r w:rsidRPr="000E1182">
        <w:rPr>
          <w:rFonts w:eastAsia="Arial"/>
        </w:rPr>
        <w:t>Taux</w:t>
      </w:r>
      <w:r w:rsidRPr="000E1182">
        <w:rPr>
          <w:rFonts w:eastAsia="Arial"/>
          <w:spacing w:val="-2"/>
        </w:rPr>
        <w:t xml:space="preserve"> </w:t>
      </w:r>
      <w:r w:rsidRPr="000E1182">
        <w:rPr>
          <w:rFonts w:eastAsia="Arial"/>
        </w:rPr>
        <w:t>d</w:t>
      </w:r>
      <w:r w:rsidR="004148FA">
        <w:rPr>
          <w:rFonts w:eastAsia="Arial"/>
        </w:rPr>
        <w:t>'</w:t>
      </w:r>
      <w:r w:rsidRPr="000E1182">
        <w:rPr>
          <w:rFonts w:eastAsia="Arial"/>
        </w:rPr>
        <w:t>utilisation</w:t>
      </w:r>
      <w:r w:rsidRPr="000E1182">
        <w:rPr>
          <w:rFonts w:eastAsia="Arial"/>
          <w:spacing w:val="-3"/>
        </w:rPr>
        <w:t xml:space="preserve"> </w:t>
      </w:r>
      <w:r w:rsidRPr="000E1182">
        <w:rPr>
          <w:rFonts w:eastAsia="Arial"/>
        </w:rPr>
        <w:t>de</w:t>
      </w:r>
      <w:r w:rsidRPr="000E1182">
        <w:rPr>
          <w:rFonts w:eastAsia="Arial"/>
          <w:spacing w:val="-3"/>
        </w:rPr>
        <w:t xml:space="preserve"> </w:t>
      </w:r>
      <w:r w:rsidRPr="000E1182">
        <w:rPr>
          <w:rFonts w:eastAsia="Arial"/>
        </w:rPr>
        <w:t>la</w:t>
      </w:r>
      <w:r w:rsidRPr="000E1182">
        <w:rPr>
          <w:rFonts w:eastAsia="Arial"/>
          <w:spacing w:val="-3"/>
        </w:rPr>
        <w:t xml:space="preserve"> </w:t>
      </w:r>
      <w:r w:rsidRPr="000E1182">
        <w:rPr>
          <w:rFonts w:eastAsia="Arial"/>
        </w:rPr>
        <w:t>capacité</w:t>
      </w:r>
      <w:r w:rsidRPr="000E1182">
        <w:rPr>
          <w:rFonts w:eastAsia="Arial"/>
          <w:spacing w:val="-3"/>
        </w:rPr>
        <w:t xml:space="preserve"> </w:t>
      </w:r>
      <w:r w:rsidRPr="000E1182">
        <w:rPr>
          <w:rFonts w:eastAsia="Arial"/>
        </w:rPr>
        <w:t>de</w:t>
      </w:r>
      <w:r w:rsidRPr="000E1182">
        <w:rPr>
          <w:rFonts w:eastAsia="Arial"/>
          <w:spacing w:val="-3"/>
        </w:rPr>
        <w:t xml:space="preserve"> </w:t>
      </w:r>
      <w:r w:rsidRPr="000E1182">
        <w:rPr>
          <w:rFonts w:eastAsia="Arial"/>
        </w:rPr>
        <w:t>production</w:t>
      </w:r>
    </w:p>
    <w:p w14:paraId="33A3B00F" w14:textId="3F61B254" w:rsidR="000E1182" w:rsidRPr="000E1182" w:rsidRDefault="000E1182" w:rsidP="00E0133E">
      <w:pPr>
        <w:spacing w:after="240"/>
      </w:pPr>
      <w:r w:rsidRPr="000E1182">
        <w:t>La capacité de production de la branche de production nationale est relativement stable au cours de la période d</w:t>
      </w:r>
      <w:r w:rsidR="004148FA">
        <w:t>'</w:t>
      </w:r>
      <w:r w:rsidRPr="000E1182">
        <w:t>enquête avec un taux d</w:t>
      </w:r>
      <w:r w:rsidR="004148FA">
        <w:t>'</w:t>
      </w:r>
      <w:r w:rsidRPr="000E1182">
        <w:t>utilisation de la capacité ne dépassant pas les 30%. Ce dernier a brusquement chuté de 10 points d</w:t>
      </w:r>
      <w:r w:rsidR="004148FA">
        <w:t>'</w:t>
      </w:r>
      <w:r w:rsidRPr="000E1182">
        <w:t xml:space="preserve">indice en 2022. </w:t>
      </w:r>
    </w:p>
    <w:p w14:paraId="29A5FC7A" w14:textId="2C8709E9" w:rsidR="000E1182" w:rsidRPr="000E1182" w:rsidRDefault="000E1182" w:rsidP="00C162BB">
      <w:pPr>
        <w:pStyle w:val="Heading4"/>
        <w:numPr>
          <w:ilvl w:val="0"/>
          <w:numId w:val="25"/>
        </w:numPr>
        <w:rPr>
          <w:rFonts w:eastAsia="Arial"/>
        </w:rPr>
      </w:pPr>
      <w:r w:rsidRPr="000E1182">
        <w:rPr>
          <w:rFonts w:eastAsia="Arial"/>
        </w:rPr>
        <w:t>Emploi</w:t>
      </w:r>
    </w:p>
    <w:p w14:paraId="553ABEAC" w14:textId="46AE94F5" w:rsidR="000E1182" w:rsidRPr="000E1182" w:rsidRDefault="000E1182" w:rsidP="00E0133E">
      <w:pPr>
        <w:spacing w:after="240"/>
      </w:pPr>
      <w:r w:rsidRPr="000E1182">
        <w:t>Malgré la baisse continue du volume de production, la branche de production nationale a essayé de redresser l</w:t>
      </w:r>
      <w:r w:rsidR="004148FA">
        <w:t>'</w:t>
      </w:r>
      <w:r w:rsidRPr="000E1182">
        <w:t>emploi par le renforcement de l</w:t>
      </w:r>
      <w:r w:rsidR="004148FA">
        <w:t>'</w:t>
      </w:r>
      <w:r w:rsidRPr="000E1182">
        <w:t>effectif du personnel. Cela s</w:t>
      </w:r>
      <w:r w:rsidR="004148FA">
        <w:t>'</w:t>
      </w:r>
      <w:r w:rsidRPr="000E1182">
        <w:t>est traduit en accroissement de l</w:t>
      </w:r>
      <w:r w:rsidR="004148FA">
        <w:t>'</w:t>
      </w:r>
      <w:r w:rsidRPr="000E1182">
        <w:t>effectif de l</w:t>
      </w:r>
      <w:r w:rsidR="004148FA">
        <w:t>'</w:t>
      </w:r>
      <w:r w:rsidRPr="000E1182">
        <w:t>emploi de 17 points d</w:t>
      </w:r>
      <w:r w:rsidR="004148FA">
        <w:t>'</w:t>
      </w:r>
      <w:r w:rsidRPr="000E1182">
        <w:t>indice entre 2018 et 2021. Cependant, la baisse de l</w:t>
      </w:r>
      <w:r w:rsidR="004148FA">
        <w:t>'</w:t>
      </w:r>
      <w:r w:rsidRPr="000E1182">
        <w:t>effectif de 7 points d</w:t>
      </w:r>
      <w:r w:rsidR="004148FA">
        <w:t>'</w:t>
      </w:r>
      <w:r w:rsidRPr="000E1182">
        <w:t>indice constatée au cours des 7 premiers mois de cette année 2022 comparé à la même période de 2021 indique ses difficultés à supporter la situation pour longtemps face aux pressions des importations.</w:t>
      </w:r>
    </w:p>
    <w:p w14:paraId="49B1A75F" w14:textId="77777777" w:rsidR="000E1182" w:rsidRPr="000E1182" w:rsidRDefault="000E1182" w:rsidP="00C162BB">
      <w:pPr>
        <w:pStyle w:val="Heading4"/>
        <w:numPr>
          <w:ilvl w:val="0"/>
          <w:numId w:val="25"/>
        </w:numPr>
        <w:rPr>
          <w:rFonts w:eastAsia="Arial"/>
        </w:rPr>
      </w:pPr>
      <w:r w:rsidRPr="000E1182">
        <w:rPr>
          <w:rFonts w:eastAsia="Arial"/>
        </w:rPr>
        <w:t>Productivité</w:t>
      </w:r>
    </w:p>
    <w:p w14:paraId="18E23584" w14:textId="64B3C868" w:rsidR="000E1182" w:rsidRPr="000E1182" w:rsidRDefault="000E1182" w:rsidP="00E0133E">
      <w:pPr>
        <w:spacing w:after="240"/>
      </w:pPr>
      <w:r w:rsidRPr="000E1182">
        <w:t xml:space="preserve">La productivité évolue parallèlement au volume de production. En effet, entre 2018 et 2019, la productivité de la </w:t>
      </w:r>
      <w:proofErr w:type="spellStart"/>
      <w:r w:rsidRPr="000E1182">
        <w:t>BPN</w:t>
      </w:r>
      <w:proofErr w:type="spellEnd"/>
      <w:r w:rsidRPr="000E1182">
        <w:t xml:space="preserve"> a connu une légère augmentation au même titre que la production nationale. Mais la chute de la production depuis 2020 a entrainé la baisse de la productivité de 19 points d</w:t>
      </w:r>
      <w:r w:rsidR="004148FA">
        <w:t>'</w:t>
      </w:r>
      <w:r w:rsidRPr="000E1182">
        <w:t xml:space="preserve">indice entre 2019 et 2021. Cette situation a poussé la </w:t>
      </w:r>
      <w:proofErr w:type="spellStart"/>
      <w:r w:rsidRPr="000E1182">
        <w:t>BPN</w:t>
      </w:r>
      <w:proofErr w:type="spellEnd"/>
      <w:r w:rsidRPr="000E1182">
        <w:t xml:space="preserve"> à revoir son effectif en 2022, c</w:t>
      </w:r>
      <w:r w:rsidR="004148FA">
        <w:t>'</w:t>
      </w:r>
      <w:r w:rsidRPr="000E1182">
        <w:t>est ainsi qu</w:t>
      </w:r>
      <w:r w:rsidR="004148FA">
        <w:t>'</w:t>
      </w:r>
      <w:r w:rsidRPr="000E1182">
        <w:t>une baisse de la productivité de 03 points d</w:t>
      </w:r>
      <w:r w:rsidR="004148FA">
        <w:t>'</w:t>
      </w:r>
      <w:r w:rsidRPr="000E1182">
        <w:t>indice est enregistrée pour les sept premiers mois de</w:t>
      </w:r>
      <w:r w:rsidR="00E46BDE">
        <w:t> </w:t>
      </w:r>
      <w:r w:rsidRPr="000E1182">
        <w:t>2022</w:t>
      </w:r>
      <w:r w:rsidRPr="000E1182">
        <w:rPr>
          <w:rFonts w:ascii="Times New Roman" w:hAnsi="Times New Roman"/>
          <w:sz w:val="24"/>
          <w:szCs w:val="24"/>
        </w:rPr>
        <w:t xml:space="preserve"> </w:t>
      </w:r>
      <w:r w:rsidRPr="000E1182">
        <w:t>comparée à la même période de 2021.</w:t>
      </w:r>
    </w:p>
    <w:p w14:paraId="392BB610" w14:textId="77777777" w:rsidR="000E1182" w:rsidRPr="000E1182" w:rsidRDefault="000E1182" w:rsidP="00C162BB">
      <w:pPr>
        <w:pStyle w:val="Heading4"/>
        <w:numPr>
          <w:ilvl w:val="0"/>
          <w:numId w:val="25"/>
        </w:numPr>
        <w:rPr>
          <w:rFonts w:eastAsia="Arial"/>
        </w:rPr>
      </w:pPr>
      <w:r w:rsidRPr="000E1182">
        <w:rPr>
          <w:rFonts w:eastAsia="Arial"/>
        </w:rPr>
        <w:t>Rentabilité</w:t>
      </w:r>
    </w:p>
    <w:p w14:paraId="5CF444A0" w14:textId="5CFBEB2A" w:rsidR="000E1182" w:rsidRPr="000E1182" w:rsidRDefault="000E1182" w:rsidP="00E0133E">
      <w:pPr>
        <w:spacing w:after="240"/>
      </w:pPr>
      <w:r w:rsidRPr="000E1182">
        <w:t>La rentabilité est l</w:t>
      </w:r>
      <w:r w:rsidR="004148FA">
        <w:t>'</w:t>
      </w:r>
      <w:r w:rsidRPr="000E1182">
        <w:t>indicateur le plus concerné et a beaucoup souffert de l</w:t>
      </w:r>
      <w:r w:rsidR="004148FA">
        <w:t>'</w:t>
      </w:r>
      <w:r w:rsidRPr="000E1182">
        <w:t xml:space="preserve">accroissement des importations durant toute la période considérée. Cette situation inquiète la </w:t>
      </w:r>
      <w:proofErr w:type="spellStart"/>
      <w:r w:rsidRPr="000E1182">
        <w:t>BPN</w:t>
      </w:r>
      <w:proofErr w:type="spellEnd"/>
      <w:r w:rsidRPr="000E1182">
        <w:t xml:space="preserve"> car elle a perdu 34</w:t>
      </w:r>
      <w:r w:rsidR="00E46BDE">
        <w:t> </w:t>
      </w:r>
      <w:r w:rsidRPr="000E1182">
        <w:t>points d</w:t>
      </w:r>
      <w:r w:rsidR="004148FA">
        <w:t>'</w:t>
      </w:r>
      <w:r w:rsidRPr="000E1182">
        <w:t>indices de leurs profits de 2018 à 2021, et cela a continué de s</w:t>
      </w:r>
      <w:r w:rsidR="004148FA">
        <w:t>'</w:t>
      </w:r>
      <w:r w:rsidRPr="000E1182">
        <w:t>aggraver en 2022, avec une réduction de 30 points d</w:t>
      </w:r>
      <w:r w:rsidR="004148FA">
        <w:t>'</w:t>
      </w:r>
      <w:r w:rsidRPr="000E1182">
        <w:t>indice pour les sept premiers mois.</w:t>
      </w:r>
    </w:p>
    <w:p w14:paraId="21F98C89" w14:textId="284338DB" w:rsidR="000E1182" w:rsidRPr="000E1182" w:rsidRDefault="000E1182" w:rsidP="00E0133E">
      <w:pPr>
        <w:pStyle w:val="Heading3"/>
        <w:numPr>
          <w:ilvl w:val="0"/>
          <w:numId w:val="28"/>
        </w:numPr>
      </w:pPr>
      <w:r w:rsidRPr="000E1182">
        <w:t xml:space="preserve">LIEN DE </w:t>
      </w:r>
      <w:r w:rsidR="00E46BDE" w:rsidRPr="000E1182">
        <w:t>CAUSALITÉ</w:t>
      </w:r>
    </w:p>
    <w:p w14:paraId="4731E423" w14:textId="1FD85633" w:rsidR="000E1182" w:rsidRPr="00E0133E" w:rsidRDefault="000E1182" w:rsidP="00E0133E">
      <w:pPr>
        <w:pStyle w:val="Heading4"/>
        <w:numPr>
          <w:ilvl w:val="0"/>
          <w:numId w:val="29"/>
        </w:numPr>
      </w:pPr>
      <w:r w:rsidRPr="000E1182">
        <w:t>Effets de l</w:t>
      </w:r>
      <w:r w:rsidR="004148FA">
        <w:t>'</w:t>
      </w:r>
      <w:r w:rsidRPr="000E1182">
        <w:t>accroissement des importations</w:t>
      </w:r>
    </w:p>
    <w:p w14:paraId="7979C199" w14:textId="3CA92B72" w:rsidR="000E1182" w:rsidRPr="000E1182" w:rsidRDefault="000E1182" w:rsidP="00E0133E">
      <w:pPr>
        <w:spacing w:after="240"/>
      </w:pPr>
      <w:r w:rsidRPr="000E1182">
        <w:t>L</w:t>
      </w:r>
      <w:r w:rsidR="004148FA">
        <w:t>'</w:t>
      </w:r>
      <w:r w:rsidRPr="000E1182">
        <w:t>accroissement des importations a entraîné une dégradation générale et notable de la situation économique de la branche de production nationale de peintures à Madagascar, notamment en termes de production, de ventes, de chiffres d</w:t>
      </w:r>
      <w:r w:rsidR="004148FA">
        <w:t>'</w:t>
      </w:r>
      <w:r w:rsidRPr="000E1182">
        <w:t>affaires, de la part de marché et de la productivité malgré une légère décélération des importations en 2020 à cause de la pandémie du Covid-19. Cette dégradation s</w:t>
      </w:r>
      <w:r w:rsidR="004148FA">
        <w:t>'</w:t>
      </w:r>
      <w:r w:rsidRPr="000E1182">
        <w:t>est traduite en baisse considérable de la rentabilité évaluée à 34 % en seulement 4</w:t>
      </w:r>
      <w:r w:rsidR="00877072">
        <w:t> </w:t>
      </w:r>
      <w:r w:rsidRPr="000E1182">
        <w:t>ans, c</w:t>
      </w:r>
      <w:r w:rsidR="004148FA">
        <w:t>'</w:t>
      </w:r>
      <w:r w:rsidRPr="000E1182">
        <w:t>est-à-dire durant la période de l</w:t>
      </w:r>
      <w:r w:rsidR="004148FA">
        <w:t>'</w:t>
      </w:r>
      <w:r w:rsidRPr="000E1182">
        <w:t>enquête. De ce fait, l</w:t>
      </w:r>
      <w:r w:rsidR="004148FA">
        <w:t>'</w:t>
      </w:r>
      <w:r w:rsidRPr="000E1182">
        <w:t>épanouissement des activités de la branche de production nationale est fortement coincé par les importations qui n</w:t>
      </w:r>
      <w:r w:rsidR="004148FA">
        <w:t>'</w:t>
      </w:r>
      <w:r w:rsidRPr="000E1182">
        <w:t>ont jamais cessé de dominer le marché domestique de peintures à Madagascar. Depuis 2021, la part de marché des importations a dépassé la barre de 75%.</w:t>
      </w:r>
    </w:p>
    <w:p w14:paraId="0D876946" w14:textId="71A2DD6E" w:rsidR="000E1182" w:rsidRPr="00E0133E" w:rsidRDefault="000E1182" w:rsidP="00E0133E">
      <w:pPr>
        <w:pStyle w:val="Heading4"/>
        <w:numPr>
          <w:ilvl w:val="0"/>
          <w:numId w:val="29"/>
        </w:numPr>
      </w:pPr>
      <w:r w:rsidRPr="000E1182">
        <w:t>Autres facteurs de causalité</w:t>
      </w:r>
    </w:p>
    <w:p w14:paraId="1EDE5096" w14:textId="77777777" w:rsidR="000E1182" w:rsidRPr="00E0133E" w:rsidRDefault="000E1182" w:rsidP="00E0133E">
      <w:pPr>
        <w:pStyle w:val="Heading2"/>
        <w:numPr>
          <w:ilvl w:val="0"/>
          <w:numId w:val="30"/>
        </w:numPr>
        <w:rPr>
          <w:u w:val="single"/>
        </w:rPr>
      </w:pPr>
      <w:r w:rsidRPr="00E0133E">
        <w:rPr>
          <w:u w:val="single"/>
        </w:rPr>
        <w:t>Contraction de la demande ou modification de la configuration de la consommation</w:t>
      </w:r>
    </w:p>
    <w:p w14:paraId="4262E9CB" w14:textId="316EFD38" w:rsidR="000E1182" w:rsidRPr="000E1182" w:rsidRDefault="000E1182" w:rsidP="00E0133E">
      <w:r w:rsidRPr="000E1182">
        <w:t>Durant la période de l</w:t>
      </w:r>
      <w:r w:rsidR="004148FA">
        <w:t>'</w:t>
      </w:r>
      <w:r w:rsidRPr="000E1182">
        <w:t>enquête, la demande nationale en peinture est quasiment stable après avoir connu une augmentation de 10 points d</w:t>
      </w:r>
      <w:r w:rsidR="004148FA">
        <w:t>'</w:t>
      </w:r>
      <w:r w:rsidRPr="000E1182">
        <w:t>indice entre 2018 à 2019 malgré le contexte du Covid-19. Contrairement aux importations, la branche de production nationale n</w:t>
      </w:r>
      <w:r w:rsidR="004148FA">
        <w:t>'</w:t>
      </w:r>
      <w:r w:rsidRPr="000E1182">
        <w:t>arrive pas à profiter de cette stabilité de la demande car elle a perdu de part significative de marché d</w:t>
      </w:r>
      <w:r w:rsidR="004148FA">
        <w:t>'</w:t>
      </w:r>
      <w:r w:rsidRPr="000E1182">
        <w:t>une année à l</w:t>
      </w:r>
      <w:r w:rsidR="004148FA">
        <w:t>'</w:t>
      </w:r>
      <w:r w:rsidRPr="000E1182">
        <w:t xml:space="preserve">autre. Ainsi, il est justifié que le dommage causé à la </w:t>
      </w:r>
      <w:proofErr w:type="spellStart"/>
      <w:r w:rsidRPr="000E1182">
        <w:t>BPN</w:t>
      </w:r>
      <w:proofErr w:type="spellEnd"/>
      <w:r w:rsidRPr="000E1182">
        <w:t xml:space="preserve"> ne peut être imputé à la contraction de la demande sur le marché intérieur. </w:t>
      </w:r>
    </w:p>
    <w:p w14:paraId="67AFEABC" w14:textId="77777777" w:rsidR="000E1182" w:rsidRPr="00E0133E" w:rsidRDefault="000E1182" w:rsidP="00E0133E">
      <w:pPr>
        <w:pStyle w:val="Heading2"/>
        <w:numPr>
          <w:ilvl w:val="0"/>
          <w:numId w:val="30"/>
        </w:numPr>
        <w:rPr>
          <w:u w:val="single"/>
        </w:rPr>
      </w:pPr>
      <w:r w:rsidRPr="00E0133E">
        <w:rPr>
          <w:u w:val="single"/>
        </w:rPr>
        <w:lastRenderedPageBreak/>
        <w:t>Concurrence entre les producteurs nationaux</w:t>
      </w:r>
    </w:p>
    <w:p w14:paraId="341CA0F0" w14:textId="1AB9A119" w:rsidR="000E1182" w:rsidRPr="000E1182" w:rsidRDefault="000E1182" w:rsidP="00D5139E">
      <w:pPr>
        <w:spacing w:after="240"/>
      </w:pPr>
      <w:r w:rsidRPr="000E1182">
        <w:t xml:space="preserve">La concurrence entre les producteurs nationaux ne peut pas être considérée comme la cause du dommage subi par la </w:t>
      </w:r>
      <w:proofErr w:type="spellStart"/>
      <w:r w:rsidRPr="000E1182">
        <w:t>BPN</w:t>
      </w:r>
      <w:proofErr w:type="spellEnd"/>
      <w:r w:rsidRPr="000E1182">
        <w:t xml:space="preserve"> car ils sont implantés dans des régions géographiques différentes et leur capacité à couvrir l</w:t>
      </w:r>
      <w:r w:rsidR="004148FA">
        <w:t>'</w:t>
      </w:r>
      <w:r w:rsidRPr="000E1182">
        <w:t>ensemble du pays est très limitée à cause de leur difficulté économique. De surcroit, chacun de ces producteurs vise généralement de catégorie de consommateurs différente à travers la gamme de leurs produits.</w:t>
      </w:r>
    </w:p>
    <w:p w14:paraId="4956DC0C" w14:textId="35E8E966" w:rsidR="000E1182" w:rsidRPr="00E0133E" w:rsidRDefault="00E46BDE" w:rsidP="00E0133E">
      <w:pPr>
        <w:pStyle w:val="Heading2"/>
        <w:numPr>
          <w:ilvl w:val="0"/>
          <w:numId w:val="30"/>
        </w:numPr>
        <w:rPr>
          <w:u w:val="single"/>
        </w:rPr>
      </w:pPr>
      <w:r w:rsidRPr="00E0133E">
        <w:rPr>
          <w:u w:val="single"/>
        </w:rPr>
        <w:t>Évolution</w:t>
      </w:r>
      <w:r w:rsidR="000E1182" w:rsidRPr="00E0133E">
        <w:rPr>
          <w:u w:val="single"/>
        </w:rPr>
        <w:t xml:space="preserve"> technologique</w:t>
      </w:r>
    </w:p>
    <w:p w14:paraId="753F24FB" w14:textId="40BE85DB" w:rsidR="000E1182" w:rsidRPr="000E1182" w:rsidRDefault="000E1182" w:rsidP="00D5139E">
      <w:pPr>
        <w:spacing w:after="240"/>
      </w:pPr>
      <w:r w:rsidRPr="000E1182">
        <w:t>Les processus de production et les matières premières utilisées pour les peintures locales et celles importées sont identiques. Mis à part les producteurs artisanaux, les industries locales utilisent des technologies de pointe leurs permettant de produire de peintures de qualité identique au produit importé. En outre, elles organisent souvent de formation pour renforcer la capacité de leurs personnels et pour s</w:t>
      </w:r>
      <w:r w:rsidR="004148FA">
        <w:t>'</w:t>
      </w:r>
      <w:r w:rsidRPr="000E1182">
        <w:t>adapter en permanence aux dernières technologies. Ainsi, le facteur relatif à l</w:t>
      </w:r>
      <w:r w:rsidR="004148FA">
        <w:t>'</w:t>
      </w:r>
      <w:r w:rsidRPr="000E1182">
        <w:t xml:space="preserve">évolution des techniques liées à la production ne peut constituer une cause de dommage subi par la branche de production nationale. </w:t>
      </w:r>
    </w:p>
    <w:p w14:paraId="127AAFF7" w14:textId="78A38054" w:rsidR="000E1182" w:rsidRPr="00E0133E" w:rsidRDefault="000E1182" w:rsidP="00E0133E">
      <w:pPr>
        <w:pStyle w:val="Heading2"/>
        <w:numPr>
          <w:ilvl w:val="0"/>
          <w:numId w:val="30"/>
        </w:numPr>
        <w:rPr>
          <w:iCs/>
          <w:u w:val="single"/>
        </w:rPr>
      </w:pPr>
      <w:r w:rsidRPr="00E0133E">
        <w:rPr>
          <w:u w:val="single"/>
        </w:rPr>
        <w:t>Performance à l</w:t>
      </w:r>
      <w:r w:rsidR="004148FA">
        <w:rPr>
          <w:u w:val="single"/>
        </w:rPr>
        <w:t>'</w:t>
      </w:r>
      <w:r w:rsidRPr="00E0133E">
        <w:rPr>
          <w:u w:val="single"/>
        </w:rPr>
        <w:t>exportation</w:t>
      </w:r>
    </w:p>
    <w:p w14:paraId="05C30EB0" w14:textId="51D60CB5" w:rsidR="000E1182" w:rsidRPr="000E1182" w:rsidRDefault="000E1182" w:rsidP="00D5139E">
      <w:pPr>
        <w:spacing w:after="240"/>
      </w:pPr>
      <w:r w:rsidRPr="000E1182">
        <w:t>Comme les producteurs nationaux ne visent que le marché domestique, la totalité de leur production est donc destinée à la consommation locale. Aucun producteur de peintures n</w:t>
      </w:r>
      <w:r w:rsidR="004148FA">
        <w:t>'</w:t>
      </w:r>
      <w:r w:rsidRPr="000E1182">
        <w:t>exporte leur produit. C</w:t>
      </w:r>
      <w:r w:rsidR="004148FA">
        <w:t>'</w:t>
      </w:r>
      <w:r w:rsidRPr="000E1182">
        <w:t>est ainsi que le dommage grave qu</w:t>
      </w:r>
      <w:r w:rsidR="004148FA">
        <w:t>'</w:t>
      </w:r>
      <w:r w:rsidRPr="000E1182">
        <w:t>endure la branche de production nationale ne peut être dû à une mauvaise performance à l</w:t>
      </w:r>
      <w:r w:rsidR="004148FA">
        <w:t>'</w:t>
      </w:r>
      <w:r w:rsidRPr="000E1182">
        <w:t>exportation.</w:t>
      </w:r>
    </w:p>
    <w:p w14:paraId="271716AF" w14:textId="77777777" w:rsidR="000E1182" w:rsidRPr="00E0133E" w:rsidRDefault="000E1182" w:rsidP="00E0133E">
      <w:pPr>
        <w:pStyle w:val="Heading2"/>
        <w:numPr>
          <w:ilvl w:val="0"/>
          <w:numId w:val="30"/>
        </w:numPr>
        <w:rPr>
          <w:iCs/>
          <w:u w:val="single"/>
        </w:rPr>
      </w:pPr>
      <w:r w:rsidRPr="00E0133E">
        <w:rPr>
          <w:u w:val="single"/>
        </w:rPr>
        <w:t>Qualité des produits</w:t>
      </w:r>
    </w:p>
    <w:p w14:paraId="3BCDF983" w14:textId="77777777" w:rsidR="000E1182" w:rsidRPr="000E1182" w:rsidRDefault="000E1182" w:rsidP="00D5139E">
      <w:pPr>
        <w:spacing w:after="240"/>
        <w:rPr>
          <w:strike/>
        </w:rPr>
      </w:pPr>
      <w:r w:rsidRPr="000E1182">
        <w:t xml:space="preserve">La qualité de peintures fabriquées localement ne peut être considérée comme étant un facteur de dommage de la </w:t>
      </w:r>
      <w:proofErr w:type="spellStart"/>
      <w:r w:rsidRPr="000E1182">
        <w:t>BPN</w:t>
      </w:r>
      <w:proofErr w:type="spellEnd"/>
      <w:r w:rsidRPr="000E1182">
        <w:t xml:space="preserve"> du fait de la production de gamme et de qualité très diversifiées de sa production adaptée à toute catégorie de consommateurs à Madagascar et à toutes sortes de support telles que les peintures pour voitures, pour bâtiments, peintures industrielles, etc.</w:t>
      </w:r>
    </w:p>
    <w:p w14:paraId="67E9EA6F" w14:textId="77777777" w:rsidR="000E1182" w:rsidRPr="000E1182" w:rsidRDefault="000E1182" w:rsidP="00D5139E">
      <w:pPr>
        <w:pStyle w:val="Heading2"/>
      </w:pPr>
      <w:r w:rsidRPr="000E1182">
        <w:t>Désignation précise du produit en cause</w:t>
      </w:r>
    </w:p>
    <w:p w14:paraId="351471FD" w14:textId="5E8F37C0" w:rsidR="000E1182" w:rsidRPr="000E1182" w:rsidRDefault="000E1182" w:rsidP="00D5139E">
      <w:pPr>
        <w:spacing w:after="240"/>
      </w:pPr>
      <w:r w:rsidRPr="000E1182">
        <w:t>Peintures à l</w:t>
      </w:r>
      <w:r w:rsidR="004148FA">
        <w:t>'</w:t>
      </w:r>
      <w:r w:rsidRPr="000E1182">
        <w:t>eau et à l</w:t>
      </w:r>
      <w:r w:rsidR="004148FA">
        <w:t>'</w:t>
      </w:r>
      <w:r w:rsidRPr="000E1182">
        <w:t>huile relevant des positions tarifaires : 3208 et 3209 du tarif des douanes de Madagascar.</w:t>
      </w:r>
    </w:p>
    <w:p w14:paraId="6C65CD86" w14:textId="77777777" w:rsidR="000E1182" w:rsidRPr="000E1182" w:rsidRDefault="000E1182" w:rsidP="00E0133E">
      <w:pPr>
        <w:pStyle w:val="Heading2"/>
      </w:pPr>
      <w:r w:rsidRPr="000E1182">
        <w:t>Désignation précise de la mesure projetée</w:t>
      </w:r>
    </w:p>
    <w:p w14:paraId="188A8CFC" w14:textId="7AF4BCDC" w:rsidR="000E1182" w:rsidRPr="000E1182" w:rsidRDefault="000E1182" w:rsidP="00D5139E">
      <w:pPr>
        <w:spacing w:after="240"/>
      </w:pPr>
      <w:r w:rsidRPr="000E1182">
        <w:t>La mesure de sauvegarde définitive prend la forme de contingent tarifaire de 3 000 tonnes au-delà duquel un droit additionnel de 18% fixe annuel devra être acquitté.</w:t>
      </w:r>
    </w:p>
    <w:p w14:paraId="164F6A67" w14:textId="77777777" w:rsidR="000E1182" w:rsidRPr="000E1182" w:rsidRDefault="000E1182" w:rsidP="00E0133E">
      <w:pPr>
        <w:pStyle w:val="Heading2"/>
      </w:pPr>
      <w:r w:rsidRPr="000E1182">
        <w:t xml:space="preserve"> Date projetée pour l'introduction de la mesure</w:t>
      </w:r>
    </w:p>
    <w:p w14:paraId="7FB1B680" w14:textId="2E7E2FC4" w:rsidR="000E1182" w:rsidRPr="000E1182" w:rsidRDefault="000E1182" w:rsidP="00D5139E">
      <w:pPr>
        <w:spacing w:after="240"/>
      </w:pPr>
      <w:r w:rsidRPr="000E1182">
        <w:t>La mesure de sauvegarde définitive entrera en vigueur à compter de la date de publication de l</w:t>
      </w:r>
      <w:r w:rsidR="004148FA">
        <w:t>'</w:t>
      </w:r>
      <w:r w:rsidRPr="000E1182">
        <w:t>avis public y afférent.</w:t>
      </w:r>
    </w:p>
    <w:p w14:paraId="5FB33878" w14:textId="77777777" w:rsidR="000E1182" w:rsidRPr="000E1182" w:rsidRDefault="000E1182" w:rsidP="00E0133E">
      <w:pPr>
        <w:pStyle w:val="Heading2"/>
      </w:pPr>
      <w:r w:rsidRPr="000E1182">
        <w:t>Durée probable de la mesure</w:t>
      </w:r>
    </w:p>
    <w:p w14:paraId="798A4A0D" w14:textId="73CD0B46" w:rsidR="000E1182" w:rsidRPr="000E1182" w:rsidRDefault="000E1182" w:rsidP="00D5139E">
      <w:pPr>
        <w:spacing w:after="240"/>
      </w:pPr>
      <w:r w:rsidRPr="000E1182">
        <w:t>La durée de la mesure de sauvegarde définitive est de quatre ans. Comme la mesure de sauvegarde provisoire n</w:t>
      </w:r>
      <w:r w:rsidR="004148FA">
        <w:t>'</w:t>
      </w:r>
      <w:r w:rsidRPr="000E1182">
        <w:t>a pas été appliquée, la durée court à compter de la mise en vigueur de la mesure définitive.</w:t>
      </w:r>
    </w:p>
    <w:p w14:paraId="4947DB98" w14:textId="77777777" w:rsidR="000E1182" w:rsidRPr="000E1182" w:rsidRDefault="000E1182" w:rsidP="00E0133E">
      <w:pPr>
        <w:pStyle w:val="Heading2"/>
      </w:pPr>
      <w:r w:rsidRPr="000E1182">
        <w:t>Date projetée pour le réexamen (au titre de l'article 7:4)</w:t>
      </w:r>
    </w:p>
    <w:p w14:paraId="3BBB843A" w14:textId="726098B3" w:rsidR="000E1182" w:rsidRPr="000E1182" w:rsidRDefault="000E1182" w:rsidP="00D5139E">
      <w:pPr>
        <w:spacing w:after="240"/>
      </w:pPr>
      <w:r w:rsidRPr="000E1182">
        <w:t>Le réexamen, au titre de l'article 7:4 de l</w:t>
      </w:r>
      <w:r w:rsidR="004148FA">
        <w:t>'</w:t>
      </w:r>
      <w:r w:rsidRPr="000E1182">
        <w:t>Accord sur les sauvegardes, aura lieu au plus tard au milieu de la période d'application de la mesure définitive.</w:t>
      </w:r>
    </w:p>
    <w:p w14:paraId="23CC6E47" w14:textId="77777777" w:rsidR="000E1182" w:rsidRPr="000E1182" w:rsidRDefault="000E1182" w:rsidP="00E0133E">
      <w:pPr>
        <w:pStyle w:val="Heading2"/>
      </w:pPr>
      <w:r w:rsidRPr="000E1182">
        <w:lastRenderedPageBreak/>
        <w:t>Calendrier prévu pour la libéralisation progressive de la mesure</w:t>
      </w:r>
    </w:p>
    <w:tbl>
      <w:tblPr>
        <w:tblStyle w:val="Grilledutableau1"/>
        <w:tblpPr w:leftFromText="180" w:rightFromText="180" w:vertAnchor="text" w:horzAnchor="margin" w:tblpY="20"/>
        <w:tblW w:w="9180" w:type="dxa"/>
        <w:tblLayout w:type="fixed"/>
        <w:tblLook w:val="04A0" w:firstRow="1" w:lastRow="0" w:firstColumn="1" w:lastColumn="0" w:noHBand="0" w:noVBand="1"/>
      </w:tblPr>
      <w:tblGrid>
        <w:gridCol w:w="3114"/>
        <w:gridCol w:w="2835"/>
        <w:gridCol w:w="3231"/>
      </w:tblGrid>
      <w:tr w:rsidR="000E1182" w:rsidRPr="000E1182" w14:paraId="0B7FC5E1" w14:textId="77777777" w:rsidTr="004148FA">
        <w:tc>
          <w:tcPr>
            <w:tcW w:w="3114" w:type="dxa"/>
            <w:tcBorders>
              <w:top w:val="double" w:sz="4" w:space="0" w:color="auto"/>
              <w:left w:val="double" w:sz="4" w:space="0" w:color="auto"/>
              <w:bottom w:val="single" w:sz="2" w:space="0" w:color="auto"/>
              <w:right w:val="single" w:sz="2" w:space="0" w:color="auto"/>
            </w:tcBorders>
            <w:hideMark/>
          </w:tcPr>
          <w:p w14:paraId="74AF5F06" w14:textId="77777777" w:rsidR="000E1182" w:rsidRPr="000E1182" w:rsidRDefault="000E1182" w:rsidP="005027BE">
            <w:pPr>
              <w:jc w:val="center"/>
              <w:rPr>
                <w:rFonts w:asciiTheme="majorHAnsi" w:eastAsia="Times New Roman" w:hAnsiTheme="majorHAnsi" w:cs="Arial"/>
                <w:sz w:val="16"/>
                <w:szCs w:val="16"/>
              </w:rPr>
            </w:pPr>
            <w:r w:rsidRPr="000E1182">
              <w:rPr>
                <w:rFonts w:asciiTheme="majorHAnsi" w:eastAsia="Times New Roman" w:hAnsiTheme="majorHAnsi" w:cs="Arial"/>
                <w:b/>
                <w:sz w:val="16"/>
                <w:szCs w:val="16"/>
              </w:rPr>
              <w:t>Période d'application de la mesure de sauvegarde</w:t>
            </w:r>
          </w:p>
        </w:tc>
        <w:tc>
          <w:tcPr>
            <w:tcW w:w="2835" w:type="dxa"/>
            <w:tcBorders>
              <w:top w:val="double" w:sz="4" w:space="0" w:color="auto"/>
              <w:left w:val="single" w:sz="2" w:space="0" w:color="auto"/>
              <w:bottom w:val="single" w:sz="2" w:space="0" w:color="auto"/>
              <w:right w:val="single" w:sz="2" w:space="0" w:color="auto"/>
            </w:tcBorders>
          </w:tcPr>
          <w:p w14:paraId="06DD6318" w14:textId="77777777" w:rsidR="000E1182" w:rsidRPr="000E1182" w:rsidRDefault="000E1182" w:rsidP="005027BE">
            <w:pPr>
              <w:jc w:val="center"/>
              <w:rPr>
                <w:rFonts w:asciiTheme="majorHAnsi" w:eastAsia="Times New Roman" w:hAnsiTheme="majorHAnsi" w:cs="Arial"/>
                <w:b/>
                <w:sz w:val="16"/>
                <w:szCs w:val="16"/>
              </w:rPr>
            </w:pPr>
            <w:r w:rsidRPr="000E1182">
              <w:rPr>
                <w:rFonts w:asciiTheme="majorHAnsi" w:eastAsia="Times New Roman" w:hAnsiTheme="majorHAnsi" w:cs="Arial"/>
                <w:b/>
                <w:sz w:val="16"/>
                <w:szCs w:val="16"/>
              </w:rPr>
              <w:t>Quota (droit additionnel au taux de 0%)</w:t>
            </w:r>
          </w:p>
        </w:tc>
        <w:tc>
          <w:tcPr>
            <w:tcW w:w="3231" w:type="dxa"/>
            <w:tcBorders>
              <w:top w:val="double" w:sz="4" w:space="0" w:color="auto"/>
              <w:left w:val="single" w:sz="2" w:space="0" w:color="auto"/>
              <w:bottom w:val="single" w:sz="2" w:space="0" w:color="auto"/>
              <w:right w:val="double" w:sz="4" w:space="0" w:color="auto"/>
            </w:tcBorders>
          </w:tcPr>
          <w:p w14:paraId="762F3135" w14:textId="77777777" w:rsidR="000E1182" w:rsidRPr="000E1182" w:rsidRDefault="000E1182" w:rsidP="005027BE">
            <w:pPr>
              <w:jc w:val="center"/>
              <w:rPr>
                <w:rFonts w:asciiTheme="majorHAnsi" w:eastAsia="Times New Roman" w:hAnsiTheme="majorHAnsi" w:cs="Arial"/>
                <w:b/>
                <w:sz w:val="16"/>
                <w:szCs w:val="16"/>
              </w:rPr>
            </w:pPr>
            <w:r w:rsidRPr="000E1182">
              <w:rPr>
                <w:rFonts w:asciiTheme="majorHAnsi" w:eastAsia="Times New Roman" w:hAnsiTheme="majorHAnsi" w:cs="Arial"/>
                <w:b/>
                <w:sz w:val="16"/>
                <w:szCs w:val="16"/>
              </w:rPr>
              <w:t>Taux du droit additionnel aux importations hors quota</w:t>
            </w:r>
          </w:p>
        </w:tc>
      </w:tr>
      <w:tr w:rsidR="000E1182" w:rsidRPr="000E1182" w14:paraId="07D0C1CD" w14:textId="77777777" w:rsidTr="004148FA">
        <w:tc>
          <w:tcPr>
            <w:tcW w:w="3114" w:type="dxa"/>
            <w:tcBorders>
              <w:top w:val="single" w:sz="2" w:space="0" w:color="auto"/>
              <w:left w:val="double" w:sz="4" w:space="0" w:color="auto"/>
              <w:bottom w:val="single" w:sz="2" w:space="0" w:color="auto"/>
              <w:right w:val="single" w:sz="2" w:space="0" w:color="auto"/>
            </w:tcBorders>
            <w:hideMark/>
          </w:tcPr>
          <w:p w14:paraId="3FD6F386" w14:textId="77777777" w:rsidR="000E1182" w:rsidRPr="000E1182" w:rsidRDefault="000E1182" w:rsidP="005027BE">
            <w:pPr>
              <w:jc w:val="center"/>
              <w:rPr>
                <w:rFonts w:asciiTheme="majorHAnsi" w:eastAsia="Times New Roman" w:hAnsiTheme="majorHAnsi" w:cs="Arial"/>
                <w:sz w:val="16"/>
                <w:szCs w:val="16"/>
              </w:rPr>
            </w:pPr>
            <w:r w:rsidRPr="000E1182">
              <w:rPr>
                <w:rFonts w:asciiTheme="majorHAnsi" w:eastAsia="Times New Roman" w:hAnsiTheme="majorHAnsi" w:cs="Arial"/>
                <w:sz w:val="16"/>
                <w:szCs w:val="16"/>
              </w:rPr>
              <w:t>mars 2023 – février 2024</w:t>
            </w:r>
          </w:p>
        </w:tc>
        <w:tc>
          <w:tcPr>
            <w:tcW w:w="2835" w:type="dxa"/>
            <w:tcBorders>
              <w:top w:val="single" w:sz="2" w:space="0" w:color="auto"/>
              <w:left w:val="single" w:sz="2" w:space="0" w:color="auto"/>
              <w:bottom w:val="single" w:sz="2" w:space="0" w:color="auto"/>
              <w:right w:val="single" w:sz="2" w:space="0" w:color="auto"/>
            </w:tcBorders>
          </w:tcPr>
          <w:p w14:paraId="34492AA8" w14:textId="77777777" w:rsidR="000E1182" w:rsidRPr="000E1182" w:rsidRDefault="000E1182" w:rsidP="005027BE">
            <w:pPr>
              <w:jc w:val="center"/>
              <w:rPr>
                <w:rFonts w:asciiTheme="majorHAnsi" w:eastAsia="Times New Roman" w:hAnsiTheme="majorHAnsi" w:cs="Arial"/>
                <w:sz w:val="16"/>
                <w:szCs w:val="16"/>
              </w:rPr>
            </w:pPr>
            <w:r w:rsidRPr="000E1182">
              <w:rPr>
                <w:rFonts w:asciiTheme="majorHAnsi" w:eastAsia="Times New Roman" w:hAnsiTheme="majorHAnsi" w:cs="Arial"/>
                <w:sz w:val="16"/>
                <w:szCs w:val="16"/>
              </w:rPr>
              <w:t>3 000 tonnes</w:t>
            </w:r>
          </w:p>
        </w:tc>
        <w:tc>
          <w:tcPr>
            <w:tcW w:w="3231" w:type="dxa"/>
            <w:vMerge w:val="restart"/>
            <w:tcBorders>
              <w:top w:val="single" w:sz="2" w:space="0" w:color="auto"/>
              <w:left w:val="single" w:sz="2" w:space="0" w:color="auto"/>
              <w:right w:val="double" w:sz="4" w:space="0" w:color="auto"/>
            </w:tcBorders>
            <w:vAlign w:val="center"/>
          </w:tcPr>
          <w:p w14:paraId="012BC928" w14:textId="77777777" w:rsidR="000E1182" w:rsidRPr="000E1182" w:rsidRDefault="000E1182" w:rsidP="00877072">
            <w:pPr>
              <w:jc w:val="center"/>
              <w:rPr>
                <w:rFonts w:asciiTheme="majorHAnsi" w:eastAsia="Times New Roman" w:hAnsiTheme="majorHAnsi" w:cs="Arial"/>
                <w:sz w:val="16"/>
                <w:szCs w:val="16"/>
              </w:rPr>
            </w:pPr>
            <w:r w:rsidRPr="000E1182">
              <w:rPr>
                <w:rFonts w:asciiTheme="majorHAnsi" w:eastAsia="Times New Roman" w:hAnsiTheme="majorHAnsi" w:cs="Arial"/>
                <w:sz w:val="16"/>
                <w:szCs w:val="16"/>
              </w:rPr>
              <w:t>18%</w:t>
            </w:r>
          </w:p>
        </w:tc>
      </w:tr>
      <w:tr w:rsidR="000E1182" w:rsidRPr="000E1182" w14:paraId="6651787D" w14:textId="77777777" w:rsidTr="004148FA">
        <w:tc>
          <w:tcPr>
            <w:tcW w:w="3114" w:type="dxa"/>
            <w:tcBorders>
              <w:top w:val="single" w:sz="2" w:space="0" w:color="auto"/>
              <w:left w:val="double" w:sz="4" w:space="0" w:color="auto"/>
              <w:bottom w:val="single" w:sz="2" w:space="0" w:color="auto"/>
              <w:right w:val="single" w:sz="2" w:space="0" w:color="auto"/>
            </w:tcBorders>
          </w:tcPr>
          <w:p w14:paraId="6EA786C6" w14:textId="4AE9ABE7" w:rsidR="000E1182" w:rsidRPr="000E1182" w:rsidRDefault="000E1182" w:rsidP="005027BE">
            <w:pPr>
              <w:jc w:val="center"/>
              <w:rPr>
                <w:rFonts w:asciiTheme="majorHAnsi" w:eastAsia="Times New Roman" w:hAnsiTheme="majorHAnsi" w:cs="Arial"/>
                <w:b/>
                <w:sz w:val="16"/>
                <w:szCs w:val="16"/>
              </w:rPr>
            </w:pPr>
            <w:r w:rsidRPr="000E1182">
              <w:rPr>
                <w:rFonts w:asciiTheme="majorHAnsi" w:eastAsia="Times New Roman" w:hAnsiTheme="majorHAnsi" w:cs="Arial"/>
                <w:sz w:val="16"/>
                <w:szCs w:val="16"/>
              </w:rPr>
              <w:t>mars 2024 –</w:t>
            </w:r>
            <w:r w:rsidR="004148FA" w:rsidRPr="000E1182">
              <w:rPr>
                <w:rFonts w:asciiTheme="majorHAnsi" w:eastAsia="Times New Roman" w:hAnsiTheme="majorHAnsi" w:cs="Arial"/>
                <w:sz w:val="16"/>
                <w:szCs w:val="16"/>
              </w:rPr>
              <w:t xml:space="preserve"> </w:t>
            </w:r>
            <w:r w:rsidRPr="000E1182">
              <w:rPr>
                <w:rFonts w:asciiTheme="majorHAnsi" w:eastAsia="Times New Roman" w:hAnsiTheme="majorHAnsi" w:cs="Arial"/>
                <w:sz w:val="16"/>
                <w:szCs w:val="16"/>
              </w:rPr>
              <w:t>février 2025</w:t>
            </w:r>
          </w:p>
        </w:tc>
        <w:tc>
          <w:tcPr>
            <w:tcW w:w="2835" w:type="dxa"/>
            <w:tcBorders>
              <w:top w:val="single" w:sz="2" w:space="0" w:color="auto"/>
              <w:left w:val="single" w:sz="2" w:space="0" w:color="auto"/>
              <w:bottom w:val="single" w:sz="2" w:space="0" w:color="auto"/>
              <w:right w:val="single" w:sz="2" w:space="0" w:color="auto"/>
            </w:tcBorders>
          </w:tcPr>
          <w:p w14:paraId="2BEA5334" w14:textId="77777777" w:rsidR="000E1182" w:rsidRPr="000E1182" w:rsidRDefault="000E1182" w:rsidP="005027BE">
            <w:pPr>
              <w:jc w:val="center"/>
              <w:rPr>
                <w:rFonts w:asciiTheme="majorHAnsi" w:eastAsia="Times New Roman" w:hAnsiTheme="majorHAnsi" w:cs="Arial"/>
                <w:sz w:val="16"/>
                <w:szCs w:val="16"/>
              </w:rPr>
            </w:pPr>
            <w:r w:rsidRPr="000E1182">
              <w:rPr>
                <w:rFonts w:asciiTheme="majorHAnsi" w:eastAsia="Times New Roman" w:hAnsiTheme="majorHAnsi" w:cs="Arial"/>
                <w:sz w:val="16"/>
                <w:szCs w:val="16"/>
              </w:rPr>
              <w:t>3 250 tonnes</w:t>
            </w:r>
          </w:p>
        </w:tc>
        <w:tc>
          <w:tcPr>
            <w:tcW w:w="3231" w:type="dxa"/>
            <w:vMerge/>
            <w:tcBorders>
              <w:left w:val="single" w:sz="2" w:space="0" w:color="auto"/>
              <w:right w:val="double" w:sz="4" w:space="0" w:color="auto"/>
            </w:tcBorders>
          </w:tcPr>
          <w:p w14:paraId="5786B819" w14:textId="77777777" w:rsidR="000E1182" w:rsidRPr="000E1182" w:rsidRDefault="000E1182" w:rsidP="005027BE">
            <w:pPr>
              <w:jc w:val="center"/>
              <w:rPr>
                <w:rFonts w:asciiTheme="majorHAnsi" w:eastAsia="Times New Roman" w:hAnsiTheme="majorHAnsi" w:cs="Arial"/>
                <w:sz w:val="16"/>
                <w:szCs w:val="16"/>
              </w:rPr>
            </w:pPr>
          </w:p>
        </w:tc>
      </w:tr>
      <w:tr w:rsidR="000E1182" w:rsidRPr="000E1182" w14:paraId="3E356BA4" w14:textId="77777777" w:rsidTr="004148FA">
        <w:tc>
          <w:tcPr>
            <w:tcW w:w="3114" w:type="dxa"/>
            <w:tcBorders>
              <w:top w:val="single" w:sz="2" w:space="0" w:color="auto"/>
              <w:left w:val="double" w:sz="4" w:space="0" w:color="auto"/>
              <w:bottom w:val="single" w:sz="2" w:space="0" w:color="auto"/>
              <w:right w:val="single" w:sz="2" w:space="0" w:color="auto"/>
            </w:tcBorders>
          </w:tcPr>
          <w:p w14:paraId="5E883258" w14:textId="7BC32B02" w:rsidR="000E1182" w:rsidRPr="000E1182" w:rsidRDefault="000E1182" w:rsidP="005027BE">
            <w:pPr>
              <w:jc w:val="center"/>
              <w:rPr>
                <w:rFonts w:asciiTheme="majorHAnsi" w:eastAsia="Times New Roman" w:hAnsiTheme="majorHAnsi" w:cs="Arial"/>
                <w:b/>
                <w:sz w:val="16"/>
                <w:szCs w:val="16"/>
              </w:rPr>
            </w:pPr>
            <w:r w:rsidRPr="000E1182">
              <w:rPr>
                <w:rFonts w:asciiTheme="majorHAnsi" w:eastAsia="Times New Roman" w:hAnsiTheme="majorHAnsi" w:cs="Arial"/>
                <w:sz w:val="16"/>
                <w:szCs w:val="16"/>
              </w:rPr>
              <w:t>mars 2025 –</w:t>
            </w:r>
            <w:r w:rsidR="004148FA" w:rsidRPr="000E1182">
              <w:rPr>
                <w:rFonts w:asciiTheme="majorHAnsi" w:eastAsia="Times New Roman" w:hAnsiTheme="majorHAnsi" w:cs="Arial"/>
                <w:sz w:val="16"/>
                <w:szCs w:val="16"/>
              </w:rPr>
              <w:t xml:space="preserve"> </w:t>
            </w:r>
            <w:r w:rsidRPr="000E1182">
              <w:rPr>
                <w:rFonts w:asciiTheme="majorHAnsi" w:eastAsia="Times New Roman" w:hAnsiTheme="majorHAnsi" w:cs="Arial"/>
                <w:sz w:val="16"/>
                <w:szCs w:val="16"/>
              </w:rPr>
              <w:t>février 2026</w:t>
            </w:r>
          </w:p>
        </w:tc>
        <w:tc>
          <w:tcPr>
            <w:tcW w:w="2835" w:type="dxa"/>
            <w:tcBorders>
              <w:top w:val="single" w:sz="2" w:space="0" w:color="auto"/>
              <w:left w:val="single" w:sz="2" w:space="0" w:color="auto"/>
              <w:bottom w:val="single" w:sz="2" w:space="0" w:color="auto"/>
              <w:right w:val="single" w:sz="2" w:space="0" w:color="auto"/>
            </w:tcBorders>
          </w:tcPr>
          <w:p w14:paraId="2A003921" w14:textId="77777777" w:rsidR="000E1182" w:rsidRPr="000E1182" w:rsidRDefault="000E1182" w:rsidP="005027BE">
            <w:pPr>
              <w:jc w:val="center"/>
              <w:rPr>
                <w:rFonts w:asciiTheme="majorHAnsi" w:eastAsia="Times New Roman" w:hAnsiTheme="majorHAnsi" w:cs="Arial"/>
                <w:sz w:val="16"/>
                <w:szCs w:val="16"/>
              </w:rPr>
            </w:pPr>
            <w:r w:rsidRPr="000E1182">
              <w:rPr>
                <w:rFonts w:asciiTheme="majorHAnsi" w:eastAsia="Times New Roman" w:hAnsiTheme="majorHAnsi" w:cs="Arial"/>
                <w:sz w:val="16"/>
                <w:szCs w:val="16"/>
              </w:rPr>
              <w:t>3 500 tonnes</w:t>
            </w:r>
          </w:p>
        </w:tc>
        <w:tc>
          <w:tcPr>
            <w:tcW w:w="3231" w:type="dxa"/>
            <w:vMerge/>
            <w:tcBorders>
              <w:left w:val="single" w:sz="2" w:space="0" w:color="auto"/>
              <w:right w:val="double" w:sz="4" w:space="0" w:color="auto"/>
            </w:tcBorders>
          </w:tcPr>
          <w:p w14:paraId="659C74B0" w14:textId="77777777" w:rsidR="000E1182" w:rsidRPr="000E1182" w:rsidRDefault="000E1182" w:rsidP="005027BE">
            <w:pPr>
              <w:jc w:val="center"/>
              <w:rPr>
                <w:rFonts w:asciiTheme="majorHAnsi" w:eastAsia="Times New Roman" w:hAnsiTheme="majorHAnsi" w:cs="Arial"/>
                <w:sz w:val="16"/>
                <w:szCs w:val="16"/>
              </w:rPr>
            </w:pPr>
          </w:p>
        </w:tc>
      </w:tr>
      <w:tr w:rsidR="000E1182" w:rsidRPr="000E1182" w14:paraId="713C926D" w14:textId="77777777" w:rsidTr="004148FA">
        <w:tc>
          <w:tcPr>
            <w:tcW w:w="3114" w:type="dxa"/>
            <w:tcBorders>
              <w:top w:val="single" w:sz="2" w:space="0" w:color="auto"/>
              <w:left w:val="double" w:sz="4" w:space="0" w:color="auto"/>
              <w:bottom w:val="double" w:sz="4" w:space="0" w:color="auto"/>
              <w:right w:val="single" w:sz="2" w:space="0" w:color="auto"/>
            </w:tcBorders>
          </w:tcPr>
          <w:p w14:paraId="226F350B" w14:textId="4EE7D027" w:rsidR="000E1182" w:rsidRPr="000E1182" w:rsidRDefault="000E1182" w:rsidP="005027BE">
            <w:pPr>
              <w:jc w:val="center"/>
              <w:rPr>
                <w:rFonts w:asciiTheme="majorHAnsi" w:eastAsia="Times New Roman" w:hAnsiTheme="majorHAnsi" w:cs="Arial"/>
                <w:b/>
                <w:sz w:val="16"/>
                <w:szCs w:val="16"/>
              </w:rPr>
            </w:pPr>
            <w:r w:rsidRPr="000E1182">
              <w:rPr>
                <w:rFonts w:asciiTheme="majorHAnsi" w:eastAsia="Times New Roman" w:hAnsiTheme="majorHAnsi" w:cs="Arial"/>
                <w:sz w:val="16"/>
                <w:szCs w:val="16"/>
              </w:rPr>
              <w:t>mars 2026 –</w:t>
            </w:r>
            <w:r w:rsidR="004148FA" w:rsidRPr="000E1182">
              <w:rPr>
                <w:rFonts w:asciiTheme="majorHAnsi" w:eastAsia="Times New Roman" w:hAnsiTheme="majorHAnsi" w:cs="Arial"/>
                <w:sz w:val="16"/>
                <w:szCs w:val="16"/>
              </w:rPr>
              <w:t xml:space="preserve"> </w:t>
            </w:r>
            <w:r w:rsidRPr="000E1182">
              <w:rPr>
                <w:rFonts w:asciiTheme="majorHAnsi" w:eastAsia="Times New Roman" w:hAnsiTheme="majorHAnsi" w:cs="Arial"/>
                <w:sz w:val="16"/>
                <w:szCs w:val="16"/>
              </w:rPr>
              <w:t>février 2027</w:t>
            </w:r>
          </w:p>
        </w:tc>
        <w:tc>
          <w:tcPr>
            <w:tcW w:w="2835" w:type="dxa"/>
            <w:tcBorders>
              <w:top w:val="single" w:sz="2" w:space="0" w:color="auto"/>
              <w:left w:val="single" w:sz="2" w:space="0" w:color="auto"/>
              <w:bottom w:val="double" w:sz="4" w:space="0" w:color="auto"/>
              <w:right w:val="single" w:sz="2" w:space="0" w:color="auto"/>
            </w:tcBorders>
          </w:tcPr>
          <w:p w14:paraId="1F529EE5" w14:textId="77777777" w:rsidR="000E1182" w:rsidRPr="000E1182" w:rsidRDefault="000E1182" w:rsidP="005027BE">
            <w:pPr>
              <w:jc w:val="center"/>
              <w:rPr>
                <w:rFonts w:asciiTheme="majorHAnsi" w:eastAsia="Times New Roman" w:hAnsiTheme="majorHAnsi" w:cs="Arial"/>
                <w:sz w:val="16"/>
                <w:szCs w:val="16"/>
              </w:rPr>
            </w:pPr>
            <w:r w:rsidRPr="000E1182">
              <w:rPr>
                <w:rFonts w:asciiTheme="majorHAnsi" w:eastAsia="Times New Roman" w:hAnsiTheme="majorHAnsi" w:cs="Arial"/>
                <w:sz w:val="16"/>
                <w:szCs w:val="16"/>
              </w:rPr>
              <w:t>3 750 tonnes</w:t>
            </w:r>
          </w:p>
        </w:tc>
        <w:tc>
          <w:tcPr>
            <w:tcW w:w="3231" w:type="dxa"/>
            <w:vMerge/>
            <w:tcBorders>
              <w:left w:val="single" w:sz="2" w:space="0" w:color="auto"/>
              <w:bottom w:val="double" w:sz="4" w:space="0" w:color="auto"/>
              <w:right w:val="double" w:sz="4" w:space="0" w:color="auto"/>
            </w:tcBorders>
          </w:tcPr>
          <w:p w14:paraId="3FA67E00" w14:textId="77777777" w:rsidR="000E1182" w:rsidRPr="000E1182" w:rsidRDefault="000E1182" w:rsidP="005027BE">
            <w:pPr>
              <w:jc w:val="center"/>
              <w:rPr>
                <w:rFonts w:asciiTheme="majorHAnsi" w:eastAsia="Times New Roman" w:hAnsiTheme="majorHAnsi" w:cs="Arial"/>
                <w:sz w:val="16"/>
                <w:szCs w:val="16"/>
              </w:rPr>
            </w:pPr>
          </w:p>
        </w:tc>
      </w:tr>
    </w:tbl>
    <w:p w14:paraId="599CBD54" w14:textId="77777777" w:rsidR="000E1182" w:rsidRPr="000E1182" w:rsidRDefault="000E1182" w:rsidP="00877072">
      <w:pPr>
        <w:pStyle w:val="Heading2"/>
        <w:spacing w:before="240"/>
      </w:pPr>
      <w:r w:rsidRPr="000E1182">
        <w:t xml:space="preserve">Plan d'ajustement </w:t>
      </w:r>
    </w:p>
    <w:p w14:paraId="51522111" w14:textId="3F60E565" w:rsidR="000E1182" w:rsidRPr="000E1182" w:rsidRDefault="000E1182" w:rsidP="00D5139E">
      <w:pPr>
        <w:spacing w:after="240"/>
      </w:pPr>
      <w:r w:rsidRPr="000E1182">
        <w:t>La branche de production nationale a présenté un plan d'ajustement donnant un aperçu des actions qu</w:t>
      </w:r>
      <w:r w:rsidR="004148FA">
        <w:t>'</w:t>
      </w:r>
      <w:r w:rsidRPr="000E1182">
        <w:t>elle a envisagées d</w:t>
      </w:r>
      <w:r w:rsidR="004148FA">
        <w:t>'</w:t>
      </w:r>
      <w:r w:rsidRPr="000E1182">
        <w:t>entreprendre pour faciliter son ajustement aux conditions de concurrence avec les importations.</w:t>
      </w:r>
    </w:p>
    <w:p w14:paraId="56CB5B12" w14:textId="77777777" w:rsidR="000E1182" w:rsidRPr="000E1182" w:rsidRDefault="000E1182" w:rsidP="00E0133E">
      <w:pPr>
        <w:pStyle w:val="Heading2"/>
      </w:pPr>
      <w:r w:rsidRPr="000E1182">
        <w:t>Date de la consultation préalable avec les Membres ayant un intérêt substantiel en tant qu'exportateurs des marchandises</w:t>
      </w:r>
    </w:p>
    <w:p w14:paraId="5271AFD5" w14:textId="77777777" w:rsidR="000E1182" w:rsidRPr="000E1182" w:rsidRDefault="000E1182" w:rsidP="00D5139E">
      <w:pPr>
        <w:spacing w:after="240"/>
      </w:pPr>
      <w:r w:rsidRPr="000E1182">
        <w:t>Conformément à l'article 12:3 de l'Accord de l'OMC sur les sauvegardes, Madagascar est disposé à tenir des consultations avec les Membres ayant un intérêt substantiel en tant qu'exportateurs du produit considéré.</w:t>
      </w:r>
    </w:p>
    <w:p w14:paraId="5C34152F" w14:textId="027760C5" w:rsidR="000E1182" w:rsidRPr="000E1182" w:rsidRDefault="000E1182" w:rsidP="00D5139E">
      <w:pPr>
        <w:spacing w:after="240"/>
      </w:pPr>
      <w:r w:rsidRPr="000E1182">
        <w:t>La demande de consultation doit être adressée à Monsieur Le Directeur Général de l'</w:t>
      </w:r>
      <w:proofErr w:type="spellStart"/>
      <w:r w:rsidRPr="000E1182">
        <w:t>ANMCC</w:t>
      </w:r>
      <w:proofErr w:type="spellEnd"/>
      <w:r w:rsidRPr="000E1182">
        <w:t xml:space="preserve"> à l'adresse e-mail : </w:t>
      </w:r>
      <w:hyperlink r:id="rId8" w:history="1">
        <w:r w:rsidRPr="000E1182">
          <w:rPr>
            <w:color w:val="0000FF"/>
            <w:u w:val="single"/>
          </w:rPr>
          <w:t>dg@anmcc.mg</w:t>
        </w:r>
      </w:hyperlink>
      <w:r w:rsidRPr="000E1182">
        <w:t xml:space="preserve"> et </w:t>
      </w:r>
      <w:hyperlink r:id="rId9" w:history="1">
        <w:r w:rsidRPr="000E1182">
          <w:rPr>
            <w:color w:val="0000FF"/>
            <w:u w:val="single"/>
          </w:rPr>
          <w:t>dg.anmcc@gmail.com</w:t>
        </w:r>
      </w:hyperlink>
      <w:r w:rsidRPr="000E1182">
        <w:rPr>
          <w:color w:val="0000FF"/>
          <w:u w:val="single"/>
        </w:rPr>
        <w:t xml:space="preserve"> </w:t>
      </w:r>
      <w:r w:rsidRPr="000E1182">
        <w:t>.</w:t>
      </w:r>
    </w:p>
    <w:p w14:paraId="6AC39B5D" w14:textId="3F95BA68" w:rsidR="000E1182" w:rsidRPr="00E0133E" w:rsidRDefault="000E1182" w:rsidP="00E0133E">
      <w:pPr>
        <w:pStyle w:val="Heading1"/>
      </w:pPr>
      <w:r w:rsidRPr="000E1182">
        <w:t xml:space="preserve">NOTIFICATION AU TITRE DE L'ARTICLE 9, NOTE DE BAS DE PAGE 2, DE L'ACCORD SUR LES SAUVEGARDES, DE LA NON-APPLICATION D'UNE MESURE DE SAUVEGARDE AUX PAYS EN DÉVELOPPEMENT </w:t>
      </w:r>
    </w:p>
    <w:p w14:paraId="6D2C370B" w14:textId="77777777" w:rsidR="000E1182" w:rsidRPr="000E1182" w:rsidRDefault="000E1182" w:rsidP="00E0133E">
      <w:pPr>
        <w:pStyle w:val="Heading2"/>
      </w:pPr>
      <w:r w:rsidRPr="000E1182">
        <w:t xml:space="preserve">Désignation de la mesure </w:t>
      </w:r>
    </w:p>
    <w:p w14:paraId="7EADF21B" w14:textId="48B28718" w:rsidR="000E1182" w:rsidRPr="000E1182" w:rsidRDefault="000E1182" w:rsidP="00D5139E">
      <w:pPr>
        <w:spacing w:after="240"/>
        <w:rPr>
          <w:strike/>
        </w:rPr>
      </w:pPr>
      <w:r w:rsidRPr="000E1182">
        <w:t>La mesure de sauvegarde définitive prend la forme de contingent tarifaire de 3 000 tonnes au-delà duquel un droit additionnel de 18% fixe annuel devra être acquitté.</w:t>
      </w:r>
    </w:p>
    <w:p w14:paraId="722DE90C" w14:textId="77777777" w:rsidR="000E1182" w:rsidRPr="000E1182" w:rsidRDefault="000E1182" w:rsidP="00E0133E">
      <w:pPr>
        <w:pStyle w:val="Heading2"/>
      </w:pPr>
      <w:r w:rsidRPr="000E1182">
        <w:t xml:space="preserve">Produits visés par la mesure </w:t>
      </w:r>
    </w:p>
    <w:p w14:paraId="00381CF7" w14:textId="6F199B87" w:rsidR="000E1182" w:rsidRPr="000E1182" w:rsidRDefault="000E1182" w:rsidP="00D5139E">
      <w:pPr>
        <w:spacing w:after="240"/>
      </w:pPr>
      <w:r w:rsidRPr="000E1182">
        <w:t>Peintures à l</w:t>
      </w:r>
      <w:r w:rsidR="004148FA">
        <w:t>'</w:t>
      </w:r>
      <w:r w:rsidRPr="000E1182">
        <w:t>eau et à l</w:t>
      </w:r>
      <w:r w:rsidR="004148FA">
        <w:t>'</w:t>
      </w:r>
      <w:r w:rsidRPr="000E1182">
        <w:t xml:space="preserve">huile relevant des positions tarifaires : 3208 et 3209 du tarif des douanes de Madagascar. </w:t>
      </w:r>
    </w:p>
    <w:p w14:paraId="03BBE23C" w14:textId="1DC80B5F" w:rsidR="000E1182" w:rsidRPr="000E1182" w:rsidRDefault="000E1182" w:rsidP="00E0133E">
      <w:pPr>
        <w:pStyle w:val="Heading2"/>
      </w:pPr>
      <w:r w:rsidRPr="000E1182">
        <w:t>Pays en développement auxquels la mesure n'est pas appliquée au titre de l'article</w:t>
      </w:r>
      <w:r w:rsidR="00877072">
        <w:t> </w:t>
      </w:r>
      <w:r w:rsidRPr="000E1182">
        <w:t>9:1 de l'Accord sur les sauvegardes</w:t>
      </w:r>
    </w:p>
    <w:p w14:paraId="6F0FC047" w14:textId="04AD97D7" w:rsidR="000E1182" w:rsidRPr="00D5139E" w:rsidRDefault="000E1182" w:rsidP="00D5139E">
      <w:pPr>
        <w:spacing w:after="240"/>
        <w:rPr>
          <w:i/>
          <w:iCs/>
        </w:rPr>
      </w:pPr>
      <w:r w:rsidRPr="00D5139E">
        <w:rPr>
          <w:i/>
          <w:iCs/>
        </w:rPr>
        <w:t>Afghanistan</w:t>
      </w:r>
      <w:r w:rsidR="00877072">
        <w:rPr>
          <w:i/>
          <w:iCs/>
        </w:rPr>
        <w:t>;</w:t>
      </w:r>
      <w:r w:rsidRPr="00D5139E">
        <w:rPr>
          <w:i/>
          <w:iCs/>
        </w:rPr>
        <w:t xml:space="preserve"> Albanie</w:t>
      </w:r>
      <w:r w:rsidR="00877072">
        <w:rPr>
          <w:i/>
          <w:iCs/>
        </w:rPr>
        <w:t>;</w:t>
      </w:r>
      <w:r w:rsidRPr="00D5139E">
        <w:rPr>
          <w:i/>
          <w:iCs/>
        </w:rPr>
        <w:t xml:space="preserve"> Angola</w:t>
      </w:r>
      <w:r w:rsidR="00877072">
        <w:rPr>
          <w:i/>
          <w:iCs/>
        </w:rPr>
        <w:t>;</w:t>
      </w:r>
      <w:r w:rsidRPr="00D5139E">
        <w:rPr>
          <w:i/>
          <w:iCs/>
        </w:rPr>
        <w:t xml:space="preserve"> Antigua </w:t>
      </w:r>
      <w:r w:rsidR="00877072">
        <w:rPr>
          <w:i/>
          <w:iCs/>
        </w:rPr>
        <w:t>e</w:t>
      </w:r>
      <w:r w:rsidRPr="00D5139E">
        <w:rPr>
          <w:i/>
          <w:iCs/>
        </w:rPr>
        <w:t>t Barbuda</w:t>
      </w:r>
      <w:r w:rsidR="00877072">
        <w:rPr>
          <w:i/>
          <w:iCs/>
        </w:rPr>
        <w:t>;</w:t>
      </w:r>
      <w:r w:rsidRPr="00D5139E">
        <w:rPr>
          <w:i/>
          <w:iCs/>
        </w:rPr>
        <w:t xml:space="preserve"> Arabie </w:t>
      </w:r>
      <w:r w:rsidR="00877072">
        <w:rPr>
          <w:i/>
          <w:iCs/>
        </w:rPr>
        <w:t>s</w:t>
      </w:r>
      <w:r w:rsidRPr="00D5139E">
        <w:rPr>
          <w:i/>
          <w:iCs/>
        </w:rPr>
        <w:t>aoudite</w:t>
      </w:r>
      <w:r w:rsidR="00877072">
        <w:rPr>
          <w:i/>
          <w:iCs/>
        </w:rPr>
        <w:t>;</w:t>
      </w:r>
      <w:r w:rsidRPr="00D5139E">
        <w:rPr>
          <w:i/>
          <w:iCs/>
        </w:rPr>
        <w:t xml:space="preserve"> Argentine</w:t>
      </w:r>
      <w:r w:rsidR="00877072">
        <w:rPr>
          <w:i/>
          <w:iCs/>
        </w:rPr>
        <w:t>;</w:t>
      </w:r>
      <w:r w:rsidRPr="00D5139E">
        <w:rPr>
          <w:i/>
          <w:iCs/>
        </w:rPr>
        <w:t xml:space="preserve"> Arménie</w:t>
      </w:r>
      <w:r w:rsidR="00877072">
        <w:rPr>
          <w:i/>
          <w:iCs/>
        </w:rPr>
        <w:t>;</w:t>
      </w:r>
      <w:r w:rsidRPr="00D5139E">
        <w:rPr>
          <w:i/>
          <w:iCs/>
        </w:rPr>
        <w:t xml:space="preserve"> Bahreïn</w:t>
      </w:r>
      <w:r w:rsidR="00877072">
        <w:rPr>
          <w:i/>
          <w:iCs/>
        </w:rPr>
        <w:t>;</w:t>
      </w:r>
      <w:r w:rsidRPr="00D5139E">
        <w:rPr>
          <w:i/>
          <w:iCs/>
        </w:rPr>
        <w:t xml:space="preserve"> Bangladesh</w:t>
      </w:r>
      <w:r w:rsidR="00877072">
        <w:rPr>
          <w:i/>
          <w:iCs/>
        </w:rPr>
        <w:t>;</w:t>
      </w:r>
      <w:r w:rsidRPr="00D5139E">
        <w:rPr>
          <w:i/>
          <w:iCs/>
        </w:rPr>
        <w:t xml:space="preserve"> Barbade</w:t>
      </w:r>
      <w:r w:rsidR="00877072">
        <w:rPr>
          <w:i/>
          <w:iCs/>
        </w:rPr>
        <w:t>;</w:t>
      </w:r>
      <w:r w:rsidRPr="00D5139E">
        <w:rPr>
          <w:i/>
          <w:iCs/>
        </w:rPr>
        <w:t xml:space="preserve"> Belize</w:t>
      </w:r>
      <w:r w:rsidR="00877072">
        <w:rPr>
          <w:i/>
          <w:iCs/>
        </w:rPr>
        <w:t>;</w:t>
      </w:r>
      <w:r w:rsidRPr="00D5139E">
        <w:rPr>
          <w:i/>
          <w:iCs/>
        </w:rPr>
        <w:t xml:space="preserve"> Bénin</w:t>
      </w:r>
      <w:r w:rsidR="00877072">
        <w:rPr>
          <w:i/>
          <w:iCs/>
        </w:rPr>
        <w:t>;</w:t>
      </w:r>
      <w:r w:rsidRPr="00D5139E">
        <w:rPr>
          <w:i/>
          <w:iCs/>
        </w:rPr>
        <w:t xml:space="preserve"> Bolivie, État Plurinational</w:t>
      </w:r>
      <w:r w:rsidR="00877072">
        <w:rPr>
          <w:i/>
          <w:iCs/>
        </w:rPr>
        <w:t>;</w:t>
      </w:r>
      <w:r w:rsidRPr="00D5139E">
        <w:rPr>
          <w:i/>
          <w:iCs/>
        </w:rPr>
        <w:t xml:space="preserve"> Botswana</w:t>
      </w:r>
      <w:r w:rsidR="00877072">
        <w:rPr>
          <w:i/>
          <w:iCs/>
        </w:rPr>
        <w:t>;</w:t>
      </w:r>
      <w:r w:rsidRPr="00D5139E">
        <w:rPr>
          <w:i/>
          <w:iCs/>
        </w:rPr>
        <w:t xml:space="preserve"> Brésil</w:t>
      </w:r>
      <w:r w:rsidR="00877072">
        <w:rPr>
          <w:i/>
          <w:iCs/>
        </w:rPr>
        <w:t>;</w:t>
      </w:r>
      <w:r w:rsidRPr="00D5139E">
        <w:rPr>
          <w:i/>
          <w:iCs/>
        </w:rPr>
        <w:t xml:space="preserve"> Brunéi Darussalam</w:t>
      </w:r>
      <w:r w:rsidR="00877072">
        <w:rPr>
          <w:i/>
          <w:iCs/>
        </w:rPr>
        <w:t>;</w:t>
      </w:r>
      <w:r w:rsidRPr="00D5139E">
        <w:rPr>
          <w:i/>
          <w:iCs/>
        </w:rPr>
        <w:t xml:space="preserve"> Burkina Faso</w:t>
      </w:r>
      <w:r w:rsidR="00877072">
        <w:rPr>
          <w:i/>
          <w:iCs/>
        </w:rPr>
        <w:t>;</w:t>
      </w:r>
      <w:r w:rsidRPr="00D5139E">
        <w:rPr>
          <w:i/>
          <w:iCs/>
        </w:rPr>
        <w:t xml:space="preserve"> Burundi</w:t>
      </w:r>
      <w:r w:rsidR="00877072">
        <w:rPr>
          <w:i/>
          <w:iCs/>
        </w:rPr>
        <w:t>;</w:t>
      </w:r>
      <w:r w:rsidRPr="00D5139E">
        <w:rPr>
          <w:i/>
          <w:iCs/>
        </w:rPr>
        <w:t xml:space="preserve"> Cabo Verde</w:t>
      </w:r>
      <w:r w:rsidR="00877072">
        <w:rPr>
          <w:i/>
          <w:iCs/>
        </w:rPr>
        <w:t>;</w:t>
      </w:r>
      <w:r w:rsidRPr="00D5139E">
        <w:rPr>
          <w:i/>
          <w:iCs/>
        </w:rPr>
        <w:t xml:space="preserve"> Cambodge</w:t>
      </w:r>
      <w:r w:rsidR="00877072">
        <w:rPr>
          <w:i/>
          <w:iCs/>
        </w:rPr>
        <w:t>;</w:t>
      </w:r>
      <w:r w:rsidRPr="00D5139E">
        <w:rPr>
          <w:i/>
          <w:iCs/>
        </w:rPr>
        <w:t xml:space="preserve"> Cameroun</w:t>
      </w:r>
      <w:r w:rsidR="00877072">
        <w:rPr>
          <w:i/>
          <w:iCs/>
        </w:rPr>
        <w:t>;</w:t>
      </w:r>
      <w:r w:rsidRPr="00D5139E">
        <w:rPr>
          <w:i/>
          <w:iCs/>
        </w:rPr>
        <w:t xml:space="preserve"> Chili</w:t>
      </w:r>
      <w:r w:rsidR="00877072">
        <w:rPr>
          <w:i/>
          <w:iCs/>
        </w:rPr>
        <w:t>;</w:t>
      </w:r>
      <w:r w:rsidRPr="00D5139E">
        <w:rPr>
          <w:i/>
          <w:iCs/>
        </w:rPr>
        <w:t xml:space="preserve"> Colombie</w:t>
      </w:r>
      <w:r w:rsidR="00877072">
        <w:rPr>
          <w:i/>
          <w:iCs/>
        </w:rPr>
        <w:t>;</w:t>
      </w:r>
      <w:r w:rsidRPr="00D5139E">
        <w:rPr>
          <w:i/>
          <w:iCs/>
        </w:rPr>
        <w:t xml:space="preserve"> Congo</w:t>
      </w:r>
      <w:r w:rsidR="00877072">
        <w:rPr>
          <w:i/>
          <w:iCs/>
        </w:rPr>
        <w:t>;</w:t>
      </w:r>
      <w:r w:rsidRPr="00D5139E">
        <w:rPr>
          <w:i/>
          <w:iCs/>
        </w:rPr>
        <w:t xml:space="preserve"> Costa Rica</w:t>
      </w:r>
      <w:r w:rsidR="00877072">
        <w:rPr>
          <w:i/>
          <w:iCs/>
        </w:rPr>
        <w:t>;</w:t>
      </w:r>
      <w:r w:rsidRPr="00D5139E">
        <w:rPr>
          <w:i/>
          <w:iCs/>
        </w:rPr>
        <w:t xml:space="preserve"> Côte d</w:t>
      </w:r>
      <w:r w:rsidR="004148FA">
        <w:rPr>
          <w:i/>
          <w:iCs/>
        </w:rPr>
        <w:t>'</w:t>
      </w:r>
      <w:r w:rsidRPr="00D5139E">
        <w:rPr>
          <w:i/>
          <w:iCs/>
        </w:rPr>
        <w:t>Ivoire</w:t>
      </w:r>
      <w:r w:rsidR="00877072">
        <w:rPr>
          <w:i/>
          <w:iCs/>
        </w:rPr>
        <w:t>;</w:t>
      </w:r>
      <w:r w:rsidRPr="00D5139E">
        <w:rPr>
          <w:i/>
          <w:iCs/>
        </w:rPr>
        <w:t xml:space="preserve"> Cuba</w:t>
      </w:r>
      <w:r w:rsidR="00877072">
        <w:rPr>
          <w:i/>
          <w:iCs/>
        </w:rPr>
        <w:t>;</w:t>
      </w:r>
      <w:r w:rsidRPr="00D5139E">
        <w:rPr>
          <w:i/>
          <w:iCs/>
        </w:rPr>
        <w:t xml:space="preserve"> Djibouti</w:t>
      </w:r>
      <w:r w:rsidR="00877072">
        <w:rPr>
          <w:i/>
          <w:iCs/>
        </w:rPr>
        <w:t>;</w:t>
      </w:r>
      <w:r w:rsidRPr="00D5139E">
        <w:rPr>
          <w:i/>
          <w:iCs/>
        </w:rPr>
        <w:t xml:space="preserve"> Dominique</w:t>
      </w:r>
      <w:r w:rsidR="00877072">
        <w:rPr>
          <w:i/>
          <w:iCs/>
        </w:rPr>
        <w:t>;</w:t>
      </w:r>
      <w:r w:rsidRPr="00D5139E">
        <w:rPr>
          <w:i/>
          <w:iCs/>
        </w:rPr>
        <w:t xml:space="preserve"> El Salvador</w:t>
      </w:r>
      <w:r w:rsidR="00877072">
        <w:rPr>
          <w:i/>
          <w:iCs/>
        </w:rPr>
        <w:t>;</w:t>
      </w:r>
      <w:r w:rsidRPr="00D5139E">
        <w:rPr>
          <w:i/>
          <w:iCs/>
        </w:rPr>
        <w:t xml:space="preserve"> Émirats </w:t>
      </w:r>
      <w:r w:rsidR="00877072">
        <w:rPr>
          <w:i/>
          <w:iCs/>
        </w:rPr>
        <w:t>a</w:t>
      </w:r>
      <w:r w:rsidRPr="00D5139E">
        <w:rPr>
          <w:i/>
          <w:iCs/>
        </w:rPr>
        <w:t xml:space="preserve">rabes </w:t>
      </w:r>
      <w:r w:rsidR="00877072">
        <w:rPr>
          <w:i/>
          <w:iCs/>
        </w:rPr>
        <w:t>u</w:t>
      </w:r>
      <w:r w:rsidRPr="00D5139E">
        <w:rPr>
          <w:i/>
          <w:iCs/>
        </w:rPr>
        <w:t>nis</w:t>
      </w:r>
      <w:r w:rsidR="00877072">
        <w:rPr>
          <w:i/>
          <w:iCs/>
        </w:rPr>
        <w:t>;</w:t>
      </w:r>
      <w:r w:rsidRPr="00D5139E">
        <w:rPr>
          <w:i/>
          <w:iCs/>
        </w:rPr>
        <w:t xml:space="preserve"> Équateur</w:t>
      </w:r>
      <w:r w:rsidR="00877072">
        <w:rPr>
          <w:i/>
          <w:iCs/>
        </w:rPr>
        <w:t>;</w:t>
      </w:r>
      <w:r w:rsidRPr="00D5139E">
        <w:rPr>
          <w:i/>
          <w:iCs/>
        </w:rPr>
        <w:t xml:space="preserve"> Eswatini</w:t>
      </w:r>
      <w:r w:rsidR="00877072">
        <w:rPr>
          <w:i/>
          <w:iCs/>
        </w:rPr>
        <w:t>;</w:t>
      </w:r>
      <w:r w:rsidRPr="00D5139E">
        <w:rPr>
          <w:i/>
          <w:iCs/>
        </w:rPr>
        <w:t xml:space="preserve"> Ex-République </w:t>
      </w:r>
      <w:r w:rsidR="00877072">
        <w:rPr>
          <w:i/>
          <w:iCs/>
        </w:rPr>
        <w:t>y</w:t>
      </w:r>
      <w:r w:rsidRPr="00D5139E">
        <w:rPr>
          <w:i/>
          <w:iCs/>
        </w:rPr>
        <w:t xml:space="preserve">ougoslave </w:t>
      </w:r>
      <w:r w:rsidR="00877072">
        <w:rPr>
          <w:i/>
          <w:iCs/>
        </w:rPr>
        <w:t>d</w:t>
      </w:r>
      <w:r w:rsidRPr="00D5139E">
        <w:rPr>
          <w:i/>
          <w:iCs/>
        </w:rPr>
        <w:t>e Macédoine</w:t>
      </w:r>
      <w:r w:rsidR="00877072">
        <w:rPr>
          <w:i/>
          <w:iCs/>
        </w:rPr>
        <w:t>;</w:t>
      </w:r>
      <w:r w:rsidRPr="00D5139E">
        <w:rPr>
          <w:i/>
          <w:iCs/>
        </w:rPr>
        <w:t xml:space="preserve"> Fidji</w:t>
      </w:r>
      <w:r w:rsidR="00877072">
        <w:rPr>
          <w:i/>
          <w:iCs/>
        </w:rPr>
        <w:t>;</w:t>
      </w:r>
      <w:r w:rsidRPr="00D5139E">
        <w:rPr>
          <w:i/>
          <w:iCs/>
        </w:rPr>
        <w:t xml:space="preserve"> Gabon</w:t>
      </w:r>
      <w:r w:rsidR="00877072">
        <w:rPr>
          <w:i/>
          <w:iCs/>
        </w:rPr>
        <w:t>;</w:t>
      </w:r>
      <w:r w:rsidRPr="00D5139E">
        <w:rPr>
          <w:i/>
          <w:iCs/>
        </w:rPr>
        <w:t xml:space="preserve"> Gambie</w:t>
      </w:r>
      <w:r w:rsidR="00877072">
        <w:rPr>
          <w:i/>
          <w:iCs/>
        </w:rPr>
        <w:t>;</w:t>
      </w:r>
      <w:r w:rsidRPr="00D5139E">
        <w:rPr>
          <w:i/>
          <w:iCs/>
        </w:rPr>
        <w:t xml:space="preserve"> Géorgie</w:t>
      </w:r>
      <w:r w:rsidR="00877072">
        <w:rPr>
          <w:i/>
          <w:iCs/>
        </w:rPr>
        <w:t>;</w:t>
      </w:r>
      <w:r w:rsidRPr="00D5139E">
        <w:rPr>
          <w:i/>
          <w:iCs/>
        </w:rPr>
        <w:t xml:space="preserve"> Ghana</w:t>
      </w:r>
      <w:r w:rsidR="00877072">
        <w:rPr>
          <w:i/>
          <w:iCs/>
        </w:rPr>
        <w:t>;</w:t>
      </w:r>
      <w:r w:rsidRPr="00D5139E">
        <w:rPr>
          <w:i/>
          <w:iCs/>
        </w:rPr>
        <w:t xml:space="preserve"> Grenade</w:t>
      </w:r>
      <w:r w:rsidR="00877072">
        <w:rPr>
          <w:i/>
          <w:iCs/>
        </w:rPr>
        <w:t>;</w:t>
      </w:r>
      <w:r w:rsidRPr="00D5139E">
        <w:rPr>
          <w:i/>
          <w:iCs/>
        </w:rPr>
        <w:t xml:space="preserve"> Guatemala</w:t>
      </w:r>
      <w:r w:rsidR="00877072">
        <w:rPr>
          <w:i/>
          <w:iCs/>
        </w:rPr>
        <w:t>;</w:t>
      </w:r>
      <w:r w:rsidRPr="00D5139E">
        <w:rPr>
          <w:i/>
          <w:iCs/>
        </w:rPr>
        <w:t xml:space="preserve"> Guinée</w:t>
      </w:r>
      <w:r w:rsidR="00877072">
        <w:rPr>
          <w:i/>
          <w:iCs/>
        </w:rPr>
        <w:t>;</w:t>
      </w:r>
      <w:r w:rsidRPr="00D5139E">
        <w:rPr>
          <w:i/>
          <w:iCs/>
        </w:rPr>
        <w:t xml:space="preserve"> Guinée-Bissau</w:t>
      </w:r>
      <w:r w:rsidR="00877072">
        <w:rPr>
          <w:i/>
          <w:iCs/>
        </w:rPr>
        <w:t>;</w:t>
      </w:r>
      <w:r w:rsidRPr="00D5139E">
        <w:rPr>
          <w:i/>
          <w:iCs/>
        </w:rPr>
        <w:t xml:space="preserve"> Guyana</w:t>
      </w:r>
      <w:r w:rsidR="00877072">
        <w:rPr>
          <w:i/>
          <w:iCs/>
        </w:rPr>
        <w:t>;</w:t>
      </w:r>
      <w:r w:rsidRPr="00D5139E">
        <w:rPr>
          <w:i/>
          <w:iCs/>
        </w:rPr>
        <w:t xml:space="preserve"> Haïti</w:t>
      </w:r>
      <w:r w:rsidR="00877072">
        <w:rPr>
          <w:i/>
          <w:iCs/>
        </w:rPr>
        <w:t>;</w:t>
      </w:r>
      <w:r w:rsidRPr="00D5139E">
        <w:rPr>
          <w:i/>
          <w:iCs/>
        </w:rPr>
        <w:t xml:space="preserve"> Honduras</w:t>
      </w:r>
      <w:r w:rsidR="00877072">
        <w:rPr>
          <w:i/>
          <w:iCs/>
        </w:rPr>
        <w:t>;</w:t>
      </w:r>
      <w:r w:rsidRPr="00D5139E">
        <w:rPr>
          <w:i/>
          <w:iCs/>
        </w:rPr>
        <w:t xml:space="preserve"> Îles Salomon</w:t>
      </w:r>
      <w:r w:rsidR="00877072">
        <w:rPr>
          <w:i/>
          <w:iCs/>
        </w:rPr>
        <w:t>;</w:t>
      </w:r>
      <w:r w:rsidRPr="00D5139E">
        <w:rPr>
          <w:i/>
          <w:iCs/>
        </w:rPr>
        <w:t xml:space="preserve"> Indonésie</w:t>
      </w:r>
      <w:r w:rsidR="00877072">
        <w:rPr>
          <w:i/>
          <w:iCs/>
        </w:rPr>
        <w:t>;</w:t>
      </w:r>
      <w:r w:rsidRPr="00D5139E">
        <w:rPr>
          <w:i/>
          <w:iCs/>
        </w:rPr>
        <w:t xml:space="preserve"> Israël</w:t>
      </w:r>
      <w:r w:rsidR="00877072">
        <w:rPr>
          <w:i/>
          <w:iCs/>
        </w:rPr>
        <w:t>;</w:t>
      </w:r>
      <w:r w:rsidRPr="00D5139E">
        <w:rPr>
          <w:i/>
          <w:iCs/>
        </w:rPr>
        <w:t xml:space="preserve"> Jamaïque</w:t>
      </w:r>
      <w:r w:rsidR="00877072">
        <w:rPr>
          <w:i/>
          <w:iCs/>
        </w:rPr>
        <w:t>;</w:t>
      </w:r>
      <w:r w:rsidRPr="00D5139E">
        <w:rPr>
          <w:i/>
          <w:iCs/>
        </w:rPr>
        <w:t xml:space="preserve"> Jordanie</w:t>
      </w:r>
      <w:r w:rsidR="00877072">
        <w:rPr>
          <w:i/>
          <w:iCs/>
        </w:rPr>
        <w:t>;</w:t>
      </w:r>
      <w:r w:rsidRPr="00D5139E">
        <w:rPr>
          <w:i/>
          <w:iCs/>
        </w:rPr>
        <w:t xml:space="preserve"> Kazakhstan</w:t>
      </w:r>
      <w:r w:rsidR="00877072">
        <w:rPr>
          <w:i/>
          <w:iCs/>
        </w:rPr>
        <w:t>;</w:t>
      </w:r>
      <w:r w:rsidRPr="00D5139E">
        <w:rPr>
          <w:i/>
          <w:iCs/>
        </w:rPr>
        <w:t xml:space="preserve"> Kenya</w:t>
      </w:r>
      <w:r w:rsidR="00877072">
        <w:rPr>
          <w:i/>
          <w:iCs/>
        </w:rPr>
        <w:t>;</w:t>
      </w:r>
      <w:r w:rsidRPr="00D5139E">
        <w:rPr>
          <w:i/>
          <w:iCs/>
        </w:rPr>
        <w:t xml:space="preserve"> Koweït</w:t>
      </w:r>
      <w:r w:rsidR="00877072">
        <w:rPr>
          <w:i/>
          <w:iCs/>
        </w:rPr>
        <w:t>;</w:t>
      </w:r>
      <w:r w:rsidRPr="00D5139E">
        <w:rPr>
          <w:i/>
          <w:iCs/>
        </w:rPr>
        <w:t xml:space="preserve"> Lesotho</w:t>
      </w:r>
      <w:r w:rsidR="00877072">
        <w:rPr>
          <w:i/>
          <w:iCs/>
        </w:rPr>
        <w:t>;</w:t>
      </w:r>
      <w:r w:rsidRPr="00D5139E">
        <w:rPr>
          <w:i/>
          <w:iCs/>
        </w:rPr>
        <w:t xml:space="preserve"> Libéria</w:t>
      </w:r>
      <w:r w:rsidR="00877072">
        <w:rPr>
          <w:i/>
          <w:iCs/>
        </w:rPr>
        <w:t>;</w:t>
      </w:r>
      <w:r w:rsidRPr="00D5139E">
        <w:rPr>
          <w:i/>
          <w:iCs/>
        </w:rPr>
        <w:t xml:space="preserve"> Malaisie</w:t>
      </w:r>
      <w:r w:rsidR="00877072">
        <w:rPr>
          <w:i/>
          <w:iCs/>
        </w:rPr>
        <w:t>;</w:t>
      </w:r>
      <w:r w:rsidRPr="00D5139E">
        <w:rPr>
          <w:i/>
          <w:iCs/>
        </w:rPr>
        <w:t xml:space="preserve"> Malawi</w:t>
      </w:r>
      <w:r w:rsidR="00877072">
        <w:rPr>
          <w:i/>
          <w:iCs/>
        </w:rPr>
        <w:t>;</w:t>
      </w:r>
      <w:r w:rsidRPr="00D5139E">
        <w:rPr>
          <w:i/>
          <w:iCs/>
        </w:rPr>
        <w:t xml:space="preserve"> Maldives</w:t>
      </w:r>
      <w:r w:rsidR="00877072">
        <w:rPr>
          <w:i/>
          <w:iCs/>
        </w:rPr>
        <w:t>;</w:t>
      </w:r>
      <w:r w:rsidRPr="00D5139E">
        <w:rPr>
          <w:i/>
          <w:iCs/>
        </w:rPr>
        <w:t xml:space="preserve"> Mali</w:t>
      </w:r>
      <w:r w:rsidR="00877072">
        <w:rPr>
          <w:i/>
          <w:iCs/>
        </w:rPr>
        <w:t>;</w:t>
      </w:r>
      <w:r w:rsidRPr="00D5139E">
        <w:rPr>
          <w:i/>
          <w:iCs/>
        </w:rPr>
        <w:t xml:space="preserve"> Maroc</w:t>
      </w:r>
      <w:r w:rsidR="00877072">
        <w:rPr>
          <w:i/>
          <w:iCs/>
        </w:rPr>
        <w:t>;</w:t>
      </w:r>
      <w:r w:rsidRPr="00D5139E">
        <w:rPr>
          <w:i/>
          <w:iCs/>
        </w:rPr>
        <w:t xml:space="preserve"> Maurice</w:t>
      </w:r>
      <w:r w:rsidR="00877072">
        <w:rPr>
          <w:i/>
          <w:iCs/>
        </w:rPr>
        <w:t>;</w:t>
      </w:r>
      <w:r w:rsidRPr="00D5139E">
        <w:rPr>
          <w:i/>
          <w:iCs/>
        </w:rPr>
        <w:t xml:space="preserve"> Mauritanie</w:t>
      </w:r>
      <w:r w:rsidR="00877072">
        <w:rPr>
          <w:i/>
          <w:iCs/>
        </w:rPr>
        <w:t>;</w:t>
      </w:r>
      <w:r w:rsidRPr="00D5139E">
        <w:rPr>
          <w:i/>
          <w:iCs/>
        </w:rPr>
        <w:t xml:space="preserve"> Mexique</w:t>
      </w:r>
      <w:r w:rsidR="00877072">
        <w:rPr>
          <w:i/>
          <w:iCs/>
        </w:rPr>
        <w:t>;</w:t>
      </w:r>
      <w:r w:rsidRPr="00D5139E">
        <w:rPr>
          <w:i/>
          <w:iCs/>
        </w:rPr>
        <w:t xml:space="preserve"> Moldova</w:t>
      </w:r>
      <w:r w:rsidR="00877072">
        <w:rPr>
          <w:i/>
          <w:iCs/>
        </w:rPr>
        <w:t>;</w:t>
      </w:r>
      <w:r w:rsidRPr="00D5139E">
        <w:rPr>
          <w:i/>
          <w:iCs/>
        </w:rPr>
        <w:t xml:space="preserve"> Mongolie</w:t>
      </w:r>
      <w:r w:rsidR="00877072">
        <w:rPr>
          <w:i/>
          <w:iCs/>
        </w:rPr>
        <w:t>;</w:t>
      </w:r>
      <w:r w:rsidRPr="00D5139E">
        <w:rPr>
          <w:i/>
          <w:iCs/>
        </w:rPr>
        <w:t xml:space="preserve"> Monténégro</w:t>
      </w:r>
      <w:r w:rsidR="00877072">
        <w:rPr>
          <w:i/>
          <w:iCs/>
        </w:rPr>
        <w:t>;</w:t>
      </w:r>
      <w:r w:rsidRPr="00D5139E">
        <w:rPr>
          <w:i/>
          <w:iCs/>
        </w:rPr>
        <w:t xml:space="preserve"> Mozambique</w:t>
      </w:r>
      <w:r w:rsidR="00877072">
        <w:rPr>
          <w:i/>
          <w:iCs/>
        </w:rPr>
        <w:t>;</w:t>
      </w:r>
      <w:r w:rsidRPr="00D5139E">
        <w:rPr>
          <w:i/>
          <w:iCs/>
        </w:rPr>
        <w:t xml:space="preserve"> Myanmar</w:t>
      </w:r>
      <w:r w:rsidR="00877072">
        <w:rPr>
          <w:i/>
          <w:iCs/>
        </w:rPr>
        <w:t>;</w:t>
      </w:r>
      <w:r w:rsidRPr="00D5139E">
        <w:rPr>
          <w:i/>
          <w:iCs/>
        </w:rPr>
        <w:t xml:space="preserve"> Namibie</w:t>
      </w:r>
      <w:r w:rsidR="00877072">
        <w:rPr>
          <w:i/>
          <w:iCs/>
        </w:rPr>
        <w:t>;</w:t>
      </w:r>
      <w:r w:rsidRPr="00D5139E">
        <w:rPr>
          <w:i/>
          <w:iCs/>
        </w:rPr>
        <w:t xml:space="preserve"> Népal</w:t>
      </w:r>
      <w:r w:rsidR="00877072">
        <w:rPr>
          <w:i/>
          <w:iCs/>
        </w:rPr>
        <w:t>;</w:t>
      </w:r>
      <w:r w:rsidRPr="00D5139E">
        <w:rPr>
          <w:i/>
          <w:iCs/>
        </w:rPr>
        <w:t xml:space="preserve"> Nicaragua</w:t>
      </w:r>
      <w:r w:rsidR="00877072">
        <w:rPr>
          <w:i/>
          <w:iCs/>
        </w:rPr>
        <w:t>;</w:t>
      </w:r>
      <w:r w:rsidRPr="00D5139E">
        <w:rPr>
          <w:i/>
          <w:iCs/>
        </w:rPr>
        <w:t xml:space="preserve"> Niger</w:t>
      </w:r>
      <w:r w:rsidR="00877072">
        <w:rPr>
          <w:i/>
          <w:iCs/>
        </w:rPr>
        <w:t>;</w:t>
      </w:r>
      <w:r w:rsidRPr="00D5139E">
        <w:rPr>
          <w:i/>
          <w:iCs/>
        </w:rPr>
        <w:t xml:space="preserve"> Oman</w:t>
      </w:r>
      <w:r w:rsidR="00877072">
        <w:rPr>
          <w:i/>
          <w:iCs/>
        </w:rPr>
        <w:t>;</w:t>
      </w:r>
      <w:r w:rsidRPr="00D5139E">
        <w:rPr>
          <w:i/>
          <w:iCs/>
        </w:rPr>
        <w:t xml:space="preserve"> Ouganda</w:t>
      </w:r>
      <w:r w:rsidR="00877072">
        <w:rPr>
          <w:i/>
          <w:iCs/>
        </w:rPr>
        <w:t>;</w:t>
      </w:r>
      <w:r w:rsidRPr="00D5139E">
        <w:rPr>
          <w:i/>
          <w:iCs/>
        </w:rPr>
        <w:t xml:space="preserve"> Pakistan</w:t>
      </w:r>
      <w:r w:rsidR="00877072">
        <w:rPr>
          <w:i/>
          <w:iCs/>
        </w:rPr>
        <w:t>;</w:t>
      </w:r>
      <w:r w:rsidRPr="00D5139E">
        <w:rPr>
          <w:i/>
          <w:iCs/>
        </w:rPr>
        <w:t xml:space="preserve"> Panama</w:t>
      </w:r>
      <w:r w:rsidR="00877072">
        <w:rPr>
          <w:i/>
          <w:iCs/>
        </w:rPr>
        <w:t>;</w:t>
      </w:r>
      <w:r w:rsidRPr="00D5139E">
        <w:rPr>
          <w:i/>
          <w:iCs/>
        </w:rPr>
        <w:t xml:space="preserve"> Papouasie-Nouvelle-Guinée</w:t>
      </w:r>
      <w:r w:rsidR="00877072">
        <w:rPr>
          <w:i/>
          <w:iCs/>
        </w:rPr>
        <w:t>;</w:t>
      </w:r>
      <w:r w:rsidRPr="00D5139E">
        <w:rPr>
          <w:i/>
          <w:iCs/>
        </w:rPr>
        <w:t xml:space="preserve"> Paraguay</w:t>
      </w:r>
      <w:r w:rsidR="00877072">
        <w:rPr>
          <w:i/>
          <w:iCs/>
        </w:rPr>
        <w:t>;</w:t>
      </w:r>
      <w:r w:rsidRPr="00D5139E">
        <w:rPr>
          <w:i/>
          <w:iCs/>
        </w:rPr>
        <w:t xml:space="preserve"> Pérou</w:t>
      </w:r>
      <w:r w:rsidR="00877072">
        <w:rPr>
          <w:i/>
          <w:iCs/>
        </w:rPr>
        <w:t>;</w:t>
      </w:r>
      <w:r w:rsidRPr="00D5139E">
        <w:rPr>
          <w:i/>
          <w:iCs/>
        </w:rPr>
        <w:t xml:space="preserve"> Philippines</w:t>
      </w:r>
      <w:r w:rsidR="00877072">
        <w:rPr>
          <w:i/>
          <w:iCs/>
        </w:rPr>
        <w:t>;</w:t>
      </w:r>
      <w:r w:rsidRPr="00D5139E">
        <w:rPr>
          <w:i/>
          <w:iCs/>
        </w:rPr>
        <w:t xml:space="preserve"> Qatar</w:t>
      </w:r>
      <w:r w:rsidR="00877072">
        <w:rPr>
          <w:i/>
          <w:iCs/>
        </w:rPr>
        <w:t>;</w:t>
      </w:r>
      <w:r w:rsidRPr="00D5139E">
        <w:rPr>
          <w:i/>
          <w:iCs/>
        </w:rPr>
        <w:t xml:space="preserve"> République </w:t>
      </w:r>
      <w:r w:rsidR="004148FA">
        <w:rPr>
          <w:i/>
          <w:iCs/>
        </w:rPr>
        <w:t>c</w:t>
      </w:r>
      <w:r w:rsidRPr="00D5139E">
        <w:rPr>
          <w:i/>
          <w:iCs/>
        </w:rPr>
        <w:t>entrafricaine</w:t>
      </w:r>
      <w:r w:rsidR="00877072">
        <w:rPr>
          <w:i/>
          <w:iCs/>
        </w:rPr>
        <w:t>;</w:t>
      </w:r>
      <w:r w:rsidRPr="00D5139E">
        <w:rPr>
          <w:i/>
          <w:iCs/>
        </w:rPr>
        <w:t xml:space="preserve"> République </w:t>
      </w:r>
      <w:r w:rsidR="004148FA">
        <w:rPr>
          <w:i/>
          <w:iCs/>
        </w:rPr>
        <w:t>d</w:t>
      </w:r>
      <w:r w:rsidRPr="00D5139E">
        <w:rPr>
          <w:i/>
          <w:iCs/>
        </w:rPr>
        <w:t xml:space="preserve">émocratique </w:t>
      </w:r>
      <w:r w:rsidR="004148FA">
        <w:rPr>
          <w:i/>
          <w:iCs/>
        </w:rPr>
        <w:t>d</w:t>
      </w:r>
      <w:r w:rsidRPr="00D5139E">
        <w:rPr>
          <w:i/>
          <w:iCs/>
        </w:rPr>
        <w:t>u Congo</w:t>
      </w:r>
      <w:r w:rsidR="00877072">
        <w:rPr>
          <w:i/>
          <w:iCs/>
        </w:rPr>
        <w:t>;</w:t>
      </w:r>
      <w:r w:rsidRPr="00D5139E">
        <w:rPr>
          <w:i/>
          <w:iCs/>
        </w:rPr>
        <w:t xml:space="preserve"> République </w:t>
      </w:r>
      <w:r w:rsidR="004148FA">
        <w:rPr>
          <w:i/>
          <w:iCs/>
        </w:rPr>
        <w:t>d</w:t>
      </w:r>
      <w:r w:rsidRPr="00D5139E">
        <w:rPr>
          <w:i/>
          <w:iCs/>
        </w:rPr>
        <w:t xml:space="preserve">émocratique </w:t>
      </w:r>
      <w:r w:rsidR="004148FA">
        <w:rPr>
          <w:i/>
          <w:iCs/>
        </w:rPr>
        <w:t>p</w:t>
      </w:r>
      <w:r w:rsidRPr="00D5139E">
        <w:rPr>
          <w:i/>
          <w:iCs/>
        </w:rPr>
        <w:t>opulaire Lao</w:t>
      </w:r>
      <w:r w:rsidR="00877072">
        <w:rPr>
          <w:i/>
          <w:iCs/>
        </w:rPr>
        <w:t>;</w:t>
      </w:r>
      <w:r w:rsidRPr="00D5139E">
        <w:rPr>
          <w:i/>
          <w:iCs/>
        </w:rPr>
        <w:t xml:space="preserve"> République</w:t>
      </w:r>
      <w:r w:rsidR="004148FA">
        <w:rPr>
          <w:i/>
          <w:iCs/>
        </w:rPr>
        <w:t> d</w:t>
      </w:r>
      <w:r w:rsidRPr="00D5139E">
        <w:rPr>
          <w:i/>
          <w:iCs/>
        </w:rPr>
        <w:t>ominicaine</w:t>
      </w:r>
      <w:r w:rsidR="00877072">
        <w:rPr>
          <w:i/>
          <w:iCs/>
        </w:rPr>
        <w:t>;</w:t>
      </w:r>
      <w:r w:rsidRPr="00D5139E">
        <w:rPr>
          <w:i/>
          <w:iCs/>
        </w:rPr>
        <w:t xml:space="preserve"> République </w:t>
      </w:r>
      <w:r w:rsidR="004148FA">
        <w:rPr>
          <w:i/>
          <w:iCs/>
        </w:rPr>
        <w:t>k</w:t>
      </w:r>
      <w:r w:rsidRPr="00D5139E">
        <w:rPr>
          <w:i/>
          <w:iCs/>
        </w:rPr>
        <w:t>irghize</w:t>
      </w:r>
      <w:r w:rsidR="00877072">
        <w:rPr>
          <w:i/>
          <w:iCs/>
        </w:rPr>
        <w:t>;</w:t>
      </w:r>
      <w:r w:rsidRPr="00D5139E">
        <w:rPr>
          <w:i/>
          <w:iCs/>
        </w:rPr>
        <w:t xml:space="preserve"> Rwanda</w:t>
      </w:r>
      <w:r w:rsidR="00877072">
        <w:rPr>
          <w:i/>
          <w:iCs/>
        </w:rPr>
        <w:t>;</w:t>
      </w:r>
      <w:r w:rsidRPr="00D5139E">
        <w:rPr>
          <w:i/>
          <w:iCs/>
        </w:rPr>
        <w:t xml:space="preserve"> Saint Vincent</w:t>
      </w:r>
      <w:r w:rsidR="004148FA">
        <w:rPr>
          <w:i/>
          <w:iCs/>
        </w:rPr>
        <w:noBreakHyphen/>
        <w:t>e</w:t>
      </w:r>
      <w:r w:rsidRPr="00D5139E">
        <w:rPr>
          <w:i/>
          <w:iCs/>
        </w:rPr>
        <w:t>t</w:t>
      </w:r>
      <w:r w:rsidR="004148FA">
        <w:rPr>
          <w:i/>
          <w:iCs/>
        </w:rPr>
        <w:noBreakHyphen/>
        <w:t>l</w:t>
      </w:r>
      <w:r w:rsidRPr="00D5139E">
        <w:rPr>
          <w:i/>
          <w:iCs/>
        </w:rPr>
        <w:t>es</w:t>
      </w:r>
      <w:r w:rsidR="004148FA">
        <w:rPr>
          <w:i/>
          <w:iCs/>
        </w:rPr>
        <w:noBreakHyphen/>
      </w:r>
      <w:r w:rsidRPr="00D5139E">
        <w:rPr>
          <w:i/>
          <w:iCs/>
        </w:rPr>
        <w:t>Grenadines</w:t>
      </w:r>
      <w:r w:rsidR="00877072">
        <w:rPr>
          <w:i/>
          <w:iCs/>
        </w:rPr>
        <w:t>;</w:t>
      </w:r>
      <w:r w:rsidRPr="00D5139E">
        <w:rPr>
          <w:i/>
          <w:iCs/>
        </w:rPr>
        <w:t xml:space="preserve"> Sainte</w:t>
      </w:r>
      <w:r w:rsidR="004148FA">
        <w:rPr>
          <w:i/>
          <w:iCs/>
        </w:rPr>
        <w:noBreakHyphen/>
      </w:r>
      <w:r w:rsidRPr="00D5139E">
        <w:rPr>
          <w:i/>
          <w:iCs/>
        </w:rPr>
        <w:t>Lucie</w:t>
      </w:r>
      <w:r w:rsidR="00877072">
        <w:rPr>
          <w:i/>
          <w:iCs/>
        </w:rPr>
        <w:t>;</w:t>
      </w:r>
      <w:r w:rsidRPr="00D5139E">
        <w:rPr>
          <w:i/>
          <w:iCs/>
        </w:rPr>
        <w:t xml:space="preserve"> Saint-Kitts-</w:t>
      </w:r>
      <w:r w:rsidR="004148FA">
        <w:rPr>
          <w:i/>
          <w:iCs/>
        </w:rPr>
        <w:t>e</w:t>
      </w:r>
      <w:r w:rsidRPr="00D5139E">
        <w:rPr>
          <w:i/>
          <w:iCs/>
        </w:rPr>
        <w:t>t-Nevis</w:t>
      </w:r>
      <w:r w:rsidR="00877072">
        <w:rPr>
          <w:i/>
          <w:iCs/>
        </w:rPr>
        <w:t>;</w:t>
      </w:r>
      <w:r w:rsidRPr="00D5139E">
        <w:rPr>
          <w:i/>
          <w:iCs/>
        </w:rPr>
        <w:t xml:space="preserve"> Samoa</w:t>
      </w:r>
      <w:r w:rsidR="00877072">
        <w:rPr>
          <w:i/>
          <w:iCs/>
        </w:rPr>
        <w:t>;</w:t>
      </w:r>
      <w:r w:rsidRPr="00D5139E">
        <w:rPr>
          <w:i/>
          <w:iCs/>
        </w:rPr>
        <w:t xml:space="preserve"> Sénégal</w:t>
      </w:r>
      <w:r w:rsidR="00877072">
        <w:rPr>
          <w:i/>
          <w:iCs/>
        </w:rPr>
        <w:t>;</w:t>
      </w:r>
      <w:r w:rsidRPr="00D5139E">
        <w:rPr>
          <w:i/>
          <w:iCs/>
        </w:rPr>
        <w:t xml:space="preserve"> Seychelles</w:t>
      </w:r>
      <w:r w:rsidR="00877072">
        <w:rPr>
          <w:i/>
          <w:iCs/>
        </w:rPr>
        <w:t>;</w:t>
      </w:r>
      <w:r w:rsidRPr="00D5139E">
        <w:rPr>
          <w:i/>
          <w:iCs/>
        </w:rPr>
        <w:t xml:space="preserve"> Sierra Leone</w:t>
      </w:r>
      <w:r w:rsidR="00877072">
        <w:rPr>
          <w:i/>
          <w:iCs/>
        </w:rPr>
        <w:t>;</w:t>
      </w:r>
      <w:r w:rsidRPr="00D5139E">
        <w:rPr>
          <w:i/>
          <w:iCs/>
        </w:rPr>
        <w:t xml:space="preserve"> Sri Lanka</w:t>
      </w:r>
      <w:r w:rsidR="00877072">
        <w:rPr>
          <w:i/>
          <w:iCs/>
        </w:rPr>
        <w:t>;</w:t>
      </w:r>
      <w:r w:rsidRPr="00D5139E">
        <w:rPr>
          <w:i/>
          <w:iCs/>
        </w:rPr>
        <w:t xml:space="preserve"> Suriname</w:t>
      </w:r>
      <w:r w:rsidR="00877072">
        <w:rPr>
          <w:i/>
          <w:iCs/>
        </w:rPr>
        <w:t>;</w:t>
      </w:r>
      <w:r w:rsidRPr="00D5139E">
        <w:rPr>
          <w:i/>
          <w:iCs/>
        </w:rPr>
        <w:t xml:space="preserve"> Tadjikistan</w:t>
      </w:r>
      <w:r w:rsidR="00877072">
        <w:rPr>
          <w:i/>
          <w:iCs/>
        </w:rPr>
        <w:t>;</w:t>
      </w:r>
      <w:r w:rsidRPr="00D5139E">
        <w:rPr>
          <w:i/>
          <w:iCs/>
        </w:rPr>
        <w:t xml:space="preserve"> Tanzanie</w:t>
      </w:r>
      <w:r w:rsidR="00877072">
        <w:rPr>
          <w:i/>
          <w:iCs/>
        </w:rPr>
        <w:t>;</w:t>
      </w:r>
      <w:r w:rsidRPr="00D5139E">
        <w:rPr>
          <w:i/>
          <w:iCs/>
        </w:rPr>
        <w:t xml:space="preserve"> Tchad</w:t>
      </w:r>
      <w:r w:rsidR="00877072">
        <w:rPr>
          <w:i/>
          <w:iCs/>
        </w:rPr>
        <w:t>;</w:t>
      </w:r>
      <w:r w:rsidRPr="00D5139E">
        <w:rPr>
          <w:i/>
          <w:iCs/>
        </w:rPr>
        <w:t xml:space="preserve"> Thaïlande</w:t>
      </w:r>
      <w:r w:rsidR="00877072">
        <w:rPr>
          <w:i/>
          <w:iCs/>
        </w:rPr>
        <w:t>;</w:t>
      </w:r>
      <w:r w:rsidRPr="00D5139E">
        <w:rPr>
          <w:i/>
          <w:iCs/>
        </w:rPr>
        <w:t xml:space="preserve"> Togo</w:t>
      </w:r>
      <w:r w:rsidR="00877072">
        <w:rPr>
          <w:i/>
          <w:iCs/>
        </w:rPr>
        <w:t>;</w:t>
      </w:r>
      <w:r w:rsidRPr="00D5139E">
        <w:rPr>
          <w:i/>
          <w:iCs/>
        </w:rPr>
        <w:t xml:space="preserve"> Tonga</w:t>
      </w:r>
      <w:r w:rsidR="00877072">
        <w:rPr>
          <w:i/>
          <w:iCs/>
        </w:rPr>
        <w:t>;</w:t>
      </w:r>
      <w:r w:rsidRPr="00D5139E">
        <w:rPr>
          <w:i/>
          <w:iCs/>
        </w:rPr>
        <w:t xml:space="preserve"> Trinité-</w:t>
      </w:r>
      <w:r w:rsidR="004148FA">
        <w:rPr>
          <w:i/>
          <w:iCs/>
        </w:rPr>
        <w:t>e</w:t>
      </w:r>
      <w:r w:rsidRPr="00D5139E">
        <w:rPr>
          <w:i/>
          <w:iCs/>
        </w:rPr>
        <w:t>t-Tobago</w:t>
      </w:r>
      <w:r w:rsidR="00877072">
        <w:rPr>
          <w:i/>
          <w:iCs/>
        </w:rPr>
        <w:t>;</w:t>
      </w:r>
      <w:r w:rsidRPr="00D5139E">
        <w:rPr>
          <w:i/>
          <w:iCs/>
        </w:rPr>
        <w:t xml:space="preserve"> Ukraine</w:t>
      </w:r>
      <w:r w:rsidR="00877072">
        <w:rPr>
          <w:i/>
          <w:iCs/>
        </w:rPr>
        <w:t>;</w:t>
      </w:r>
      <w:r w:rsidRPr="00D5139E">
        <w:rPr>
          <w:i/>
          <w:iCs/>
        </w:rPr>
        <w:t xml:space="preserve"> Uruguay</w:t>
      </w:r>
      <w:r w:rsidR="00877072">
        <w:rPr>
          <w:i/>
          <w:iCs/>
        </w:rPr>
        <w:t>;</w:t>
      </w:r>
      <w:r w:rsidRPr="00D5139E">
        <w:rPr>
          <w:i/>
          <w:iCs/>
        </w:rPr>
        <w:t xml:space="preserve"> Vanuatu</w:t>
      </w:r>
      <w:r w:rsidR="00877072">
        <w:rPr>
          <w:i/>
          <w:iCs/>
        </w:rPr>
        <w:t>;</w:t>
      </w:r>
      <w:r w:rsidRPr="00D5139E">
        <w:rPr>
          <w:i/>
          <w:iCs/>
        </w:rPr>
        <w:t xml:space="preserve"> Venezuela</w:t>
      </w:r>
      <w:r w:rsidR="00877072">
        <w:rPr>
          <w:i/>
          <w:iCs/>
        </w:rPr>
        <w:t>;</w:t>
      </w:r>
      <w:r w:rsidRPr="00D5139E">
        <w:rPr>
          <w:i/>
          <w:iCs/>
        </w:rPr>
        <w:t xml:space="preserve"> Viet Nam</w:t>
      </w:r>
      <w:r w:rsidR="00877072">
        <w:rPr>
          <w:i/>
          <w:iCs/>
        </w:rPr>
        <w:t>;</w:t>
      </w:r>
      <w:r w:rsidRPr="00D5139E">
        <w:rPr>
          <w:i/>
          <w:iCs/>
        </w:rPr>
        <w:t xml:space="preserve"> Yémen</w:t>
      </w:r>
      <w:r w:rsidR="00877072">
        <w:rPr>
          <w:i/>
          <w:iCs/>
        </w:rPr>
        <w:t>;</w:t>
      </w:r>
      <w:r w:rsidRPr="00D5139E">
        <w:rPr>
          <w:i/>
          <w:iCs/>
        </w:rPr>
        <w:t xml:space="preserve"> Zambie</w:t>
      </w:r>
      <w:r w:rsidR="00877072">
        <w:rPr>
          <w:i/>
          <w:iCs/>
        </w:rPr>
        <w:t>;</w:t>
      </w:r>
      <w:r w:rsidRPr="00D5139E">
        <w:rPr>
          <w:i/>
          <w:iCs/>
        </w:rPr>
        <w:t xml:space="preserve"> Zimbabwe.</w:t>
      </w:r>
    </w:p>
    <w:p w14:paraId="4A505E3A" w14:textId="77777777" w:rsidR="000E1182" w:rsidRPr="000E1182" w:rsidRDefault="000E1182" w:rsidP="00E0133E">
      <w:pPr>
        <w:pStyle w:val="Heading2"/>
      </w:pPr>
      <w:r w:rsidRPr="000E1182">
        <w:lastRenderedPageBreak/>
        <w:t xml:space="preserve">Renseignements supplémentaires </w:t>
      </w:r>
    </w:p>
    <w:p w14:paraId="083BA96C" w14:textId="0ECBB7D9" w:rsidR="000E1182" w:rsidRPr="000E1182" w:rsidRDefault="000E1182" w:rsidP="00D5139E">
      <w:pPr>
        <w:spacing w:after="240"/>
      </w:pPr>
      <w:r w:rsidRPr="000E1182">
        <w:t>Des renseignements concernant la décision d'appliquer la mesure de sauvegarde définitive aux produits visés peuvent être obtenus à l</w:t>
      </w:r>
      <w:r w:rsidR="004148FA">
        <w:t>'</w:t>
      </w:r>
      <w:r w:rsidRPr="000E1182">
        <w:t>adresse suivante :</w:t>
      </w:r>
    </w:p>
    <w:p w14:paraId="73DF393F" w14:textId="3EE383DD" w:rsidR="000E1182" w:rsidRPr="000E1182" w:rsidRDefault="000E1182" w:rsidP="005027BE">
      <w:pPr>
        <w:jc w:val="center"/>
        <w:rPr>
          <w:rFonts w:ascii="Arial" w:hAnsi="Arial" w:cs="Arial"/>
          <w:sz w:val="22"/>
        </w:rPr>
      </w:pPr>
      <w:r w:rsidRPr="000E1182">
        <w:rPr>
          <w:rFonts w:ascii="Arial" w:hAnsi="Arial" w:cs="Arial"/>
          <w:sz w:val="22"/>
        </w:rPr>
        <w:t>Monsieur Le Directeur Général de l</w:t>
      </w:r>
      <w:r w:rsidR="004148FA">
        <w:rPr>
          <w:rFonts w:ascii="Arial" w:hAnsi="Arial" w:cs="Arial"/>
          <w:sz w:val="22"/>
        </w:rPr>
        <w:t>'</w:t>
      </w:r>
      <w:proofErr w:type="spellStart"/>
      <w:r w:rsidRPr="000E1182">
        <w:rPr>
          <w:rFonts w:ascii="Arial" w:hAnsi="Arial" w:cs="Arial"/>
          <w:sz w:val="22"/>
        </w:rPr>
        <w:t>ANMCC</w:t>
      </w:r>
      <w:proofErr w:type="spellEnd"/>
    </w:p>
    <w:p w14:paraId="55A41BBF" w14:textId="77777777" w:rsidR="000E1182" w:rsidRPr="00456991" w:rsidRDefault="000E1182" w:rsidP="005027BE">
      <w:pPr>
        <w:jc w:val="center"/>
        <w:rPr>
          <w:rFonts w:ascii="Arial" w:hAnsi="Arial" w:cs="Arial"/>
          <w:sz w:val="22"/>
          <w:lang w:val="es-ES"/>
        </w:rPr>
      </w:pPr>
      <w:r w:rsidRPr="00456991">
        <w:rPr>
          <w:rFonts w:ascii="Arial" w:hAnsi="Arial" w:cs="Arial"/>
          <w:sz w:val="22"/>
          <w:lang w:val="es-ES"/>
        </w:rPr>
        <w:t>Enceinte Ex-Conquête Antanimena, Antananarivo 101 – Madagascar</w:t>
      </w:r>
    </w:p>
    <w:p w14:paraId="13C963F4" w14:textId="77777777" w:rsidR="000E1182" w:rsidRPr="000E1182" w:rsidRDefault="000E1182" w:rsidP="005027BE">
      <w:pPr>
        <w:jc w:val="center"/>
        <w:rPr>
          <w:rFonts w:ascii="Arial" w:hAnsi="Arial" w:cs="Arial"/>
          <w:sz w:val="22"/>
        </w:rPr>
      </w:pPr>
      <w:r w:rsidRPr="000E1182">
        <w:rPr>
          <w:rFonts w:ascii="Arial" w:hAnsi="Arial" w:cs="Arial"/>
          <w:b/>
          <w:bCs/>
          <w:sz w:val="22"/>
        </w:rPr>
        <w:t>Tel :</w:t>
      </w:r>
      <w:r w:rsidRPr="000E1182">
        <w:rPr>
          <w:rFonts w:ascii="Arial" w:hAnsi="Arial" w:cs="Arial"/>
          <w:sz w:val="22"/>
        </w:rPr>
        <w:t xml:space="preserve"> +261 34 05 441 41</w:t>
      </w:r>
    </w:p>
    <w:p w14:paraId="300C3AE5" w14:textId="77777777" w:rsidR="000E1182" w:rsidRPr="000E1182" w:rsidRDefault="000E1182" w:rsidP="005027BE">
      <w:pPr>
        <w:jc w:val="center"/>
        <w:rPr>
          <w:rFonts w:ascii="Calibri" w:hAnsi="Calibri"/>
          <w:color w:val="0000FF"/>
          <w:sz w:val="22"/>
          <w:u w:val="single"/>
        </w:rPr>
      </w:pPr>
      <w:r w:rsidRPr="000E1182">
        <w:rPr>
          <w:rFonts w:ascii="Arial" w:hAnsi="Arial" w:cs="Arial"/>
          <w:b/>
          <w:bCs/>
          <w:sz w:val="22"/>
        </w:rPr>
        <w:t>E-mail :</w:t>
      </w:r>
      <w:r w:rsidRPr="000E1182">
        <w:rPr>
          <w:rFonts w:ascii="Arial" w:hAnsi="Arial" w:cs="Arial"/>
          <w:sz w:val="22"/>
        </w:rPr>
        <w:t xml:space="preserve"> </w:t>
      </w:r>
      <w:hyperlink r:id="rId10" w:history="1">
        <w:r w:rsidRPr="000E1182">
          <w:rPr>
            <w:rFonts w:ascii="Arial" w:hAnsi="Arial" w:cs="Arial"/>
            <w:color w:val="0000FF"/>
            <w:sz w:val="22"/>
            <w:u w:val="single"/>
          </w:rPr>
          <w:t>dg.anmcc@gmail.com</w:t>
        </w:r>
      </w:hyperlink>
      <w:r w:rsidRPr="000E1182">
        <w:rPr>
          <w:rFonts w:ascii="Arial" w:hAnsi="Arial" w:cs="Arial"/>
          <w:sz w:val="22"/>
        </w:rPr>
        <w:t xml:space="preserve"> / </w:t>
      </w:r>
      <w:hyperlink r:id="rId11">
        <w:r w:rsidRPr="000E1182">
          <w:rPr>
            <w:rFonts w:ascii="Arial" w:hAnsi="Arial" w:cs="Arial"/>
            <w:color w:val="0000FF"/>
            <w:sz w:val="22"/>
            <w:u w:val="single"/>
          </w:rPr>
          <w:t>dg@anmcc.mg</w:t>
        </w:r>
      </w:hyperlink>
    </w:p>
    <w:p w14:paraId="09F6DFFD" w14:textId="69D58DF8" w:rsidR="000E1182" w:rsidRDefault="000E1182" w:rsidP="004148FA">
      <w:pPr>
        <w:jc w:val="center"/>
        <w:rPr>
          <w:rFonts w:ascii="Arial" w:hAnsi="Arial" w:cs="Arial"/>
          <w:sz w:val="22"/>
        </w:rPr>
      </w:pPr>
      <w:r w:rsidRPr="000E1182">
        <w:rPr>
          <w:rFonts w:ascii="Arial" w:hAnsi="Arial" w:cs="Arial"/>
          <w:b/>
          <w:bCs/>
          <w:sz w:val="22"/>
        </w:rPr>
        <w:t>Site :</w:t>
      </w:r>
      <w:r w:rsidRPr="000E1182">
        <w:rPr>
          <w:rFonts w:ascii="Arial" w:hAnsi="Arial" w:cs="Arial"/>
          <w:sz w:val="22"/>
        </w:rPr>
        <w:t xml:space="preserve"> </w:t>
      </w:r>
      <w:hyperlink r:id="rId12" w:history="1">
        <w:r w:rsidRPr="000E1182">
          <w:rPr>
            <w:rStyle w:val="Hyperlink"/>
            <w:rFonts w:ascii="Arial" w:hAnsi="Arial" w:cs="Arial"/>
            <w:sz w:val="22"/>
          </w:rPr>
          <w:t>www.anmcc.mg</w:t>
        </w:r>
      </w:hyperlink>
    </w:p>
    <w:p w14:paraId="40B4549C" w14:textId="611EC5A1" w:rsidR="004148FA" w:rsidRDefault="004148FA" w:rsidP="004148FA">
      <w:pPr>
        <w:jc w:val="center"/>
        <w:rPr>
          <w:rFonts w:ascii="Arial" w:hAnsi="Arial" w:cs="Arial"/>
          <w:sz w:val="22"/>
        </w:rPr>
      </w:pPr>
    </w:p>
    <w:p w14:paraId="74908CF9" w14:textId="687D2457" w:rsidR="004148FA" w:rsidRPr="004148FA" w:rsidRDefault="004148FA" w:rsidP="004148FA">
      <w:pPr>
        <w:jc w:val="center"/>
        <w:rPr>
          <w:rFonts w:ascii="Arial" w:hAnsi="Arial" w:cs="Arial"/>
          <w:sz w:val="22"/>
        </w:rPr>
      </w:pPr>
      <w:r>
        <w:rPr>
          <w:rFonts w:ascii="Arial" w:hAnsi="Arial" w:cs="Arial"/>
          <w:b/>
          <w:sz w:val="22"/>
        </w:rPr>
        <w:t>__________</w:t>
      </w:r>
    </w:p>
    <w:sectPr w:rsidR="004148FA" w:rsidRPr="004148FA" w:rsidSect="00880727">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3B03E" w14:textId="77777777" w:rsidR="00B962B2" w:rsidRDefault="00B962B2" w:rsidP="0002424F">
      <w:r>
        <w:separator/>
      </w:r>
    </w:p>
  </w:endnote>
  <w:endnote w:type="continuationSeparator" w:id="0">
    <w:p w14:paraId="06CCB489" w14:textId="77777777" w:rsidR="00B962B2" w:rsidRDefault="00B962B2" w:rsidP="0002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B10D" w14:textId="178B3C29" w:rsidR="00BE79CB" w:rsidRPr="00880727" w:rsidRDefault="00880727" w:rsidP="0088072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3FE6" w14:textId="7E7963F3" w:rsidR="00DD65B2" w:rsidRPr="00880727" w:rsidRDefault="00880727" w:rsidP="0088072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02F7" w14:textId="77777777" w:rsidR="00DD65B2" w:rsidRDefault="00DD65B2">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17043" w14:textId="77777777" w:rsidR="00B962B2" w:rsidRDefault="00B962B2" w:rsidP="0002424F">
      <w:r>
        <w:separator/>
      </w:r>
    </w:p>
  </w:footnote>
  <w:footnote w:type="continuationSeparator" w:id="0">
    <w:p w14:paraId="23B7E1E7" w14:textId="77777777" w:rsidR="00B962B2" w:rsidRDefault="00B962B2" w:rsidP="00024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DCFC" w14:textId="77777777" w:rsidR="00880727" w:rsidRPr="00880727" w:rsidRDefault="00880727" w:rsidP="00880727">
    <w:pPr>
      <w:pStyle w:val="Header"/>
      <w:pBdr>
        <w:bottom w:val="single" w:sz="4" w:space="1" w:color="auto"/>
      </w:pBdr>
      <w:tabs>
        <w:tab w:val="clear" w:pos="4513"/>
        <w:tab w:val="clear" w:pos="9027"/>
      </w:tabs>
      <w:jc w:val="center"/>
    </w:pPr>
    <w:r w:rsidRPr="00880727">
      <w:t>G/SG/N/8/</w:t>
    </w:r>
    <w:proofErr w:type="spellStart"/>
    <w:r w:rsidRPr="00880727">
      <w:t>MDG</w:t>
    </w:r>
    <w:proofErr w:type="spellEnd"/>
    <w:r w:rsidRPr="00880727">
      <w:t>/8 • G/SG/N/10/</w:t>
    </w:r>
    <w:proofErr w:type="spellStart"/>
    <w:r w:rsidRPr="00880727">
      <w:t>MDG</w:t>
    </w:r>
    <w:proofErr w:type="spellEnd"/>
    <w:r w:rsidRPr="00880727">
      <w:t>/8 • G/SG/N/11/</w:t>
    </w:r>
    <w:proofErr w:type="spellStart"/>
    <w:r w:rsidRPr="00880727">
      <w:t>MDG</w:t>
    </w:r>
    <w:proofErr w:type="spellEnd"/>
    <w:r w:rsidRPr="00880727">
      <w:t>/8/Suppl.1</w:t>
    </w:r>
  </w:p>
  <w:p w14:paraId="62047A24" w14:textId="77777777" w:rsidR="00880727" w:rsidRPr="00880727" w:rsidRDefault="00880727" w:rsidP="00880727">
    <w:pPr>
      <w:pStyle w:val="Header"/>
      <w:pBdr>
        <w:bottom w:val="single" w:sz="4" w:space="1" w:color="auto"/>
      </w:pBdr>
      <w:tabs>
        <w:tab w:val="clear" w:pos="4513"/>
        <w:tab w:val="clear" w:pos="9027"/>
      </w:tabs>
      <w:jc w:val="center"/>
    </w:pPr>
  </w:p>
  <w:p w14:paraId="2725660E" w14:textId="1B7E941A" w:rsidR="00880727" w:rsidRPr="00880727" w:rsidRDefault="00880727" w:rsidP="00880727">
    <w:pPr>
      <w:pStyle w:val="Header"/>
      <w:pBdr>
        <w:bottom w:val="single" w:sz="4" w:space="1" w:color="auto"/>
      </w:pBdr>
      <w:tabs>
        <w:tab w:val="clear" w:pos="4513"/>
        <w:tab w:val="clear" w:pos="9027"/>
      </w:tabs>
      <w:jc w:val="center"/>
    </w:pPr>
    <w:r w:rsidRPr="00880727">
      <w:t xml:space="preserve">- </w:t>
    </w:r>
    <w:r w:rsidRPr="00880727">
      <w:fldChar w:fldCharType="begin"/>
    </w:r>
    <w:r w:rsidRPr="00880727">
      <w:instrText xml:space="preserve"> PAGE </w:instrText>
    </w:r>
    <w:r w:rsidRPr="00880727">
      <w:fldChar w:fldCharType="separate"/>
    </w:r>
    <w:r w:rsidRPr="00880727">
      <w:rPr>
        <w:noProof/>
      </w:rPr>
      <w:t>2</w:t>
    </w:r>
    <w:r w:rsidRPr="00880727">
      <w:fldChar w:fldCharType="end"/>
    </w:r>
    <w:r w:rsidRPr="00880727">
      <w:t xml:space="preserve"> -</w:t>
    </w:r>
  </w:p>
  <w:p w14:paraId="3D455D1B" w14:textId="018A066E" w:rsidR="00BE79CB" w:rsidRPr="00880727" w:rsidRDefault="00BE79CB" w:rsidP="0088072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5579" w14:textId="77777777" w:rsidR="00880727" w:rsidRPr="00880727" w:rsidRDefault="00880727" w:rsidP="00880727">
    <w:pPr>
      <w:pStyle w:val="Header"/>
      <w:pBdr>
        <w:bottom w:val="single" w:sz="4" w:space="1" w:color="auto"/>
      </w:pBdr>
      <w:tabs>
        <w:tab w:val="clear" w:pos="4513"/>
        <w:tab w:val="clear" w:pos="9027"/>
      </w:tabs>
      <w:jc w:val="center"/>
    </w:pPr>
    <w:r w:rsidRPr="00880727">
      <w:t>G/SG/N/8/</w:t>
    </w:r>
    <w:proofErr w:type="spellStart"/>
    <w:r w:rsidRPr="00880727">
      <w:t>MDG</w:t>
    </w:r>
    <w:proofErr w:type="spellEnd"/>
    <w:r w:rsidRPr="00880727">
      <w:t>/8 • G/SG/N/10/</w:t>
    </w:r>
    <w:proofErr w:type="spellStart"/>
    <w:r w:rsidRPr="00880727">
      <w:t>MDG</w:t>
    </w:r>
    <w:proofErr w:type="spellEnd"/>
    <w:r w:rsidRPr="00880727">
      <w:t>/8 • G/SG/N/11/</w:t>
    </w:r>
    <w:proofErr w:type="spellStart"/>
    <w:r w:rsidRPr="00880727">
      <w:t>MDG</w:t>
    </w:r>
    <w:proofErr w:type="spellEnd"/>
    <w:r w:rsidRPr="00880727">
      <w:t>/8/Suppl.1</w:t>
    </w:r>
  </w:p>
  <w:p w14:paraId="3BD1FAA9" w14:textId="77777777" w:rsidR="00880727" w:rsidRPr="00880727" w:rsidRDefault="00880727" w:rsidP="00880727">
    <w:pPr>
      <w:pStyle w:val="Header"/>
      <w:pBdr>
        <w:bottom w:val="single" w:sz="4" w:space="1" w:color="auto"/>
      </w:pBdr>
      <w:tabs>
        <w:tab w:val="clear" w:pos="4513"/>
        <w:tab w:val="clear" w:pos="9027"/>
      </w:tabs>
      <w:jc w:val="center"/>
    </w:pPr>
  </w:p>
  <w:p w14:paraId="478ACEBA" w14:textId="7DFBB169" w:rsidR="00880727" w:rsidRPr="00880727" w:rsidRDefault="00880727" w:rsidP="00880727">
    <w:pPr>
      <w:pStyle w:val="Header"/>
      <w:pBdr>
        <w:bottom w:val="single" w:sz="4" w:space="1" w:color="auto"/>
      </w:pBdr>
      <w:tabs>
        <w:tab w:val="clear" w:pos="4513"/>
        <w:tab w:val="clear" w:pos="9027"/>
      </w:tabs>
      <w:jc w:val="center"/>
    </w:pPr>
    <w:r w:rsidRPr="00880727">
      <w:t xml:space="preserve">- </w:t>
    </w:r>
    <w:r w:rsidRPr="00880727">
      <w:fldChar w:fldCharType="begin"/>
    </w:r>
    <w:r w:rsidRPr="00880727">
      <w:instrText xml:space="preserve"> PAGE </w:instrText>
    </w:r>
    <w:r w:rsidRPr="00880727">
      <w:fldChar w:fldCharType="separate"/>
    </w:r>
    <w:r w:rsidRPr="00880727">
      <w:rPr>
        <w:noProof/>
      </w:rPr>
      <w:t>5</w:t>
    </w:r>
    <w:r w:rsidRPr="00880727">
      <w:fldChar w:fldCharType="end"/>
    </w:r>
    <w:r w:rsidRPr="00880727">
      <w:t xml:space="preserve"> -</w:t>
    </w:r>
  </w:p>
  <w:p w14:paraId="14CB3C4F" w14:textId="538F9D1A" w:rsidR="00DD65B2" w:rsidRPr="00880727" w:rsidRDefault="00DD65B2" w:rsidP="0088072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72B05" w:rsidRPr="00D82AF6" w14:paraId="093F70F3" w14:textId="77777777" w:rsidTr="00C30AD7">
      <w:trPr>
        <w:trHeight w:val="240"/>
        <w:jc w:val="center"/>
      </w:trPr>
      <w:tc>
        <w:tcPr>
          <w:tcW w:w="3794" w:type="dxa"/>
          <w:shd w:val="clear" w:color="auto" w:fill="FFFFFF"/>
          <w:tcMar>
            <w:left w:w="108" w:type="dxa"/>
            <w:right w:w="108" w:type="dxa"/>
          </w:tcMar>
          <w:vAlign w:val="center"/>
        </w:tcPr>
        <w:p w14:paraId="7E3653B4" w14:textId="77777777" w:rsidR="00172B05" w:rsidRPr="00D82AF6" w:rsidRDefault="00172B05" w:rsidP="00094155">
          <w:pPr>
            <w:rPr>
              <w:noProof/>
              <w:szCs w:val="18"/>
              <w:lang w:eastAsia="en-GB"/>
            </w:rPr>
          </w:pPr>
          <w:bookmarkStart w:id="0" w:name="bmkRestricted" w:colFirst="1" w:colLast="1"/>
        </w:p>
      </w:tc>
      <w:tc>
        <w:tcPr>
          <w:tcW w:w="5448" w:type="dxa"/>
          <w:gridSpan w:val="2"/>
          <w:shd w:val="clear" w:color="auto" w:fill="FFFFFF"/>
          <w:tcMar>
            <w:left w:w="108" w:type="dxa"/>
            <w:right w:w="108" w:type="dxa"/>
          </w:tcMar>
          <w:vAlign w:val="center"/>
        </w:tcPr>
        <w:p w14:paraId="0536253E" w14:textId="7F03BDCA" w:rsidR="00172B05" w:rsidRPr="00D82AF6" w:rsidRDefault="00880727" w:rsidP="00094155">
          <w:pPr>
            <w:jc w:val="right"/>
            <w:rPr>
              <w:b/>
              <w:color w:val="FF0000"/>
              <w:szCs w:val="18"/>
            </w:rPr>
          </w:pPr>
          <w:r>
            <w:rPr>
              <w:b/>
              <w:color w:val="FF0000"/>
              <w:szCs w:val="18"/>
            </w:rPr>
            <w:t xml:space="preserve"> </w:t>
          </w:r>
        </w:p>
      </w:tc>
    </w:tr>
    <w:bookmarkEnd w:id="0"/>
    <w:tr w:rsidR="00172B05" w:rsidRPr="00D82AF6" w14:paraId="65E28BDF" w14:textId="77777777" w:rsidTr="00C30AD7">
      <w:trPr>
        <w:trHeight w:val="213"/>
        <w:jc w:val="center"/>
      </w:trPr>
      <w:tc>
        <w:tcPr>
          <w:tcW w:w="3794" w:type="dxa"/>
          <w:vMerge w:val="restart"/>
          <w:shd w:val="clear" w:color="auto" w:fill="FFFFFF"/>
          <w:tcMar>
            <w:left w:w="0" w:type="dxa"/>
            <w:right w:w="0" w:type="dxa"/>
          </w:tcMar>
        </w:tcPr>
        <w:p w14:paraId="61DCE14F" w14:textId="77777777" w:rsidR="00172B05" w:rsidRPr="00D82AF6" w:rsidRDefault="00172B05" w:rsidP="00094155">
          <w:pPr>
            <w:jc w:val="left"/>
            <w:rPr>
              <w:szCs w:val="18"/>
            </w:rPr>
          </w:pPr>
          <w:r w:rsidRPr="00D82AF6">
            <w:rPr>
              <w:noProof/>
              <w:szCs w:val="18"/>
              <w:lang w:val="en-US"/>
            </w:rPr>
            <w:drawing>
              <wp:inline distT="0" distB="0" distL="0" distR="0" wp14:anchorId="5DCE37FF" wp14:editId="4B47070E">
                <wp:extent cx="2386330" cy="72707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2386330" cy="727075"/>
                        </a:xfrm>
                        <a:prstGeom prst="rect">
                          <a:avLst/>
                        </a:prstGeom>
                      </pic:spPr>
                    </pic:pic>
                  </a:graphicData>
                </a:graphic>
              </wp:inline>
            </w:drawing>
          </w:r>
        </w:p>
      </w:tc>
      <w:tc>
        <w:tcPr>
          <w:tcW w:w="5448" w:type="dxa"/>
          <w:gridSpan w:val="2"/>
          <w:shd w:val="clear" w:color="auto" w:fill="FFFFFF"/>
          <w:tcMar>
            <w:left w:w="108" w:type="dxa"/>
            <w:right w:w="108" w:type="dxa"/>
          </w:tcMar>
        </w:tcPr>
        <w:p w14:paraId="71BC7507" w14:textId="77777777" w:rsidR="00172B05" w:rsidRPr="00D82AF6" w:rsidRDefault="00172B05" w:rsidP="00094155">
          <w:pPr>
            <w:jc w:val="right"/>
            <w:rPr>
              <w:b/>
              <w:szCs w:val="18"/>
            </w:rPr>
          </w:pPr>
        </w:p>
      </w:tc>
    </w:tr>
    <w:tr w:rsidR="00172B05" w:rsidRPr="00456991" w14:paraId="559578D0" w14:textId="77777777" w:rsidTr="00C30AD7">
      <w:trPr>
        <w:trHeight w:val="868"/>
        <w:jc w:val="center"/>
      </w:trPr>
      <w:tc>
        <w:tcPr>
          <w:tcW w:w="3794" w:type="dxa"/>
          <w:vMerge/>
          <w:shd w:val="clear" w:color="auto" w:fill="FFFFFF"/>
          <w:tcMar>
            <w:left w:w="108" w:type="dxa"/>
            <w:right w:w="108" w:type="dxa"/>
          </w:tcMar>
        </w:tcPr>
        <w:p w14:paraId="3F1CCD71" w14:textId="77777777" w:rsidR="00172B05" w:rsidRPr="00D82AF6" w:rsidRDefault="00172B05" w:rsidP="00094155">
          <w:pPr>
            <w:jc w:val="left"/>
            <w:rPr>
              <w:noProof/>
              <w:szCs w:val="18"/>
              <w:lang w:eastAsia="en-GB"/>
            </w:rPr>
          </w:pPr>
        </w:p>
      </w:tc>
      <w:tc>
        <w:tcPr>
          <w:tcW w:w="5448" w:type="dxa"/>
          <w:gridSpan w:val="2"/>
          <w:shd w:val="clear" w:color="auto" w:fill="FFFFFF"/>
          <w:tcMar>
            <w:left w:w="108" w:type="dxa"/>
            <w:right w:w="108" w:type="dxa"/>
          </w:tcMar>
        </w:tcPr>
        <w:p w14:paraId="44F1B9B0" w14:textId="77777777" w:rsidR="00880727" w:rsidRDefault="00880727" w:rsidP="00094155">
          <w:pPr>
            <w:jc w:val="right"/>
            <w:rPr>
              <w:b/>
              <w:szCs w:val="18"/>
            </w:rPr>
          </w:pPr>
          <w:bookmarkStart w:id="1" w:name="bmkSymbols"/>
          <w:r>
            <w:rPr>
              <w:b/>
              <w:szCs w:val="18"/>
            </w:rPr>
            <w:t>G/SG/N/8/</w:t>
          </w:r>
          <w:proofErr w:type="spellStart"/>
          <w:r>
            <w:rPr>
              <w:b/>
              <w:szCs w:val="18"/>
            </w:rPr>
            <w:t>MDG</w:t>
          </w:r>
          <w:proofErr w:type="spellEnd"/>
          <w:r>
            <w:rPr>
              <w:b/>
              <w:szCs w:val="18"/>
            </w:rPr>
            <w:t>/8</w:t>
          </w:r>
        </w:p>
        <w:p w14:paraId="67067392" w14:textId="77777777" w:rsidR="00880727" w:rsidRDefault="00880727" w:rsidP="00094155">
          <w:pPr>
            <w:jc w:val="right"/>
            <w:rPr>
              <w:b/>
              <w:szCs w:val="18"/>
            </w:rPr>
          </w:pPr>
          <w:r>
            <w:rPr>
              <w:b/>
              <w:szCs w:val="18"/>
            </w:rPr>
            <w:t>G/SG/N/10/</w:t>
          </w:r>
          <w:proofErr w:type="spellStart"/>
          <w:r>
            <w:rPr>
              <w:b/>
              <w:szCs w:val="18"/>
            </w:rPr>
            <w:t>MDG</w:t>
          </w:r>
          <w:proofErr w:type="spellEnd"/>
          <w:r>
            <w:rPr>
              <w:b/>
              <w:szCs w:val="18"/>
            </w:rPr>
            <w:t>/8</w:t>
          </w:r>
        </w:p>
        <w:p w14:paraId="13DAD558" w14:textId="77777777" w:rsidR="00880727" w:rsidRPr="00456991" w:rsidRDefault="00880727" w:rsidP="00094155">
          <w:pPr>
            <w:jc w:val="right"/>
            <w:rPr>
              <w:b/>
              <w:szCs w:val="18"/>
              <w:lang w:val="en-GB"/>
            </w:rPr>
          </w:pPr>
          <w:r w:rsidRPr="00456991">
            <w:rPr>
              <w:b/>
              <w:szCs w:val="18"/>
              <w:lang w:val="en-GB"/>
            </w:rPr>
            <w:t>G/SG/N/11/</w:t>
          </w:r>
          <w:proofErr w:type="spellStart"/>
          <w:r w:rsidRPr="00456991">
            <w:rPr>
              <w:b/>
              <w:szCs w:val="18"/>
              <w:lang w:val="en-GB"/>
            </w:rPr>
            <w:t>MDG</w:t>
          </w:r>
          <w:proofErr w:type="spellEnd"/>
          <w:r w:rsidRPr="00456991">
            <w:rPr>
              <w:b/>
              <w:szCs w:val="18"/>
              <w:lang w:val="en-GB"/>
            </w:rPr>
            <w:t>/8/Suppl.1</w:t>
          </w:r>
        </w:p>
        <w:bookmarkEnd w:id="1"/>
        <w:p w14:paraId="24DD370B" w14:textId="7D8C8BC4" w:rsidR="00172B05" w:rsidRPr="00456991" w:rsidRDefault="00172B05" w:rsidP="00094155">
          <w:pPr>
            <w:jc w:val="right"/>
            <w:rPr>
              <w:b/>
              <w:szCs w:val="18"/>
              <w:lang w:val="en-GB"/>
            </w:rPr>
          </w:pPr>
        </w:p>
      </w:tc>
    </w:tr>
    <w:tr w:rsidR="00172B05" w:rsidRPr="00D82AF6" w14:paraId="37655C4E" w14:textId="77777777" w:rsidTr="00C30AD7">
      <w:trPr>
        <w:trHeight w:val="240"/>
        <w:jc w:val="center"/>
      </w:trPr>
      <w:tc>
        <w:tcPr>
          <w:tcW w:w="3794" w:type="dxa"/>
          <w:vMerge/>
          <w:shd w:val="clear" w:color="auto" w:fill="FFFFFF"/>
          <w:tcMar>
            <w:left w:w="108" w:type="dxa"/>
            <w:right w:w="108" w:type="dxa"/>
          </w:tcMar>
          <w:vAlign w:val="center"/>
        </w:tcPr>
        <w:p w14:paraId="624898E7" w14:textId="77777777" w:rsidR="00172B05" w:rsidRPr="00456991" w:rsidRDefault="00172B05" w:rsidP="00094155">
          <w:pPr>
            <w:rPr>
              <w:szCs w:val="18"/>
              <w:lang w:val="en-GB"/>
            </w:rPr>
          </w:pPr>
        </w:p>
      </w:tc>
      <w:tc>
        <w:tcPr>
          <w:tcW w:w="5448" w:type="dxa"/>
          <w:gridSpan w:val="2"/>
          <w:shd w:val="clear" w:color="auto" w:fill="FFFFFF"/>
          <w:tcMar>
            <w:left w:w="108" w:type="dxa"/>
            <w:right w:w="108" w:type="dxa"/>
          </w:tcMar>
          <w:vAlign w:val="center"/>
        </w:tcPr>
        <w:p w14:paraId="161ED1DA" w14:textId="77777777" w:rsidR="00172B05" w:rsidRPr="00D82AF6" w:rsidRDefault="00B962B2" w:rsidP="00094155">
          <w:pPr>
            <w:jc w:val="right"/>
            <w:rPr>
              <w:szCs w:val="18"/>
            </w:rPr>
          </w:pPr>
          <w:r>
            <w:rPr>
              <w:szCs w:val="18"/>
            </w:rPr>
            <w:t>10 mars 2023</w:t>
          </w:r>
        </w:p>
      </w:tc>
    </w:tr>
    <w:tr w:rsidR="00172B05" w:rsidRPr="00D82AF6" w14:paraId="5937A2F9" w14:textId="77777777" w:rsidTr="00C30AD7">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692FA72" w14:textId="2930E8D9" w:rsidR="00172B05" w:rsidRPr="00D82AF6" w:rsidRDefault="00172B05" w:rsidP="00094155">
          <w:pPr>
            <w:jc w:val="left"/>
            <w:rPr>
              <w:b/>
              <w:szCs w:val="18"/>
            </w:rPr>
          </w:pPr>
          <w:bookmarkStart w:id="2" w:name="bmkSerial" w:colFirst="0" w:colLast="0"/>
          <w:r w:rsidRPr="00D82AF6">
            <w:rPr>
              <w:color w:val="FF0000"/>
              <w:szCs w:val="18"/>
            </w:rPr>
            <w:t>(</w:t>
          </w:r>
          <w:r w:rsidR="00805A23">
            <w:rPr>
              <w:color w:val="FF0000"/>
              <w:szCs w:val="18"/>
            </w:rPr>
            <w:t>23</w:t>
          </w:r>
          <w:r w:rsidRPr="00D82AF6">
            <w:rPr>
              <w:color w:val="FF0000"/>
              <w:szCs w:val="18"/>
            </w:rPr>
            <w:t>-</w:t>
          </w:r>
          <w:r w:rsidR="00456991">
            <w:rPr>
              <w:color w:val="FF0000"/>
              <w:szCs w:val="18"/>
            </w:rPr>
            <w:t>1812</w:t>
          </w:r>
          <w:r w:rsidRPr="00D82AF6">
            <w:rPr>
              <w:color w:val="FF0000"/>
              <w:szCs w:val="18"/>
            </w:rPr>
            <w:t>)</w:t>
          </w:r>
        </w:p>
      </w:tc>
      <w:tc>
        <w:tcPr>
          <w:tcW w:w="3325" w:type="dxa"/>
          <w:tcBorders>
            <w:bottom w:val="single" w:sz="4" w:space="0" w:color="auto"/>
          </w:tcBorders>
          <w:tcMar>
            <w:top w:w="0" w:type="dxa"/>
            <w:left w:w="108" w:type="dxa"/>
            <w:bottom w:w="57" w:type="dxa"/>
            <w:right w:w="108" w:type="dxa"/>
          </w:tcMar>
          <w:vAlign w:val="bottom"/>
        </w:tcPr>
        <w:p w14:paraId="0F9EC6A7" w14:textId="77777777" w:rsidR="00172B05" w:rsidRPr="00D82AF6" w:rsidRDefault="00172B05" w:rsidP="00094155">
          <w:pPr>
            <w:jc w:val="right"/>
            <w:rPr>
              <w:szCs w:val="18"/>
            </w:rPr>
          </w:pPr>
          <w:bookmarkStart w:id="3" w:name="bmkTotPages"/>
          <w:r w:rsidRPr="00D82AF6">
            <w:rPr>
              <w:bCs/>
              <w:szCs w:val="18"/>
            </w:rPr>
            <w:t xml:space="preserve">Page: </w:t>
          </w:r>
          <w:r w:rsidRPr="00D82AF6">
            <w:rPr>
              <w:bCs/>
              <w:szCs w:val="18"/>
            </w:rPr>
            <w:fldChar w:fldCharType="begin"/>
          </w:r>
          <w:r w:rsidRPr="00D82AF6">
            <w:rPr>
              <w:bCs/>
              <w:szCs w:val="18"/>
            </w:rPr>
            <w:instrText xml:space="preserve"> PAGE  \* Arabic  \* MERGEFORMAT </w:instrText>
          </w:r>
          <w:r w:rsidRPr="00D82AF6">
            <w:rPr>
              <w:bCs/>
              <w:szCs w:val="18"/>
            </w:rPr>
            <w:fldChar w:fldCharType="separate"/>
          </w:r>
          <w:r w:rsidR="002C73E8">
            <w:rPr>
              <w:bCs/>
              <w:noProof/>
              <w:szCs w:val="18"/>
            </w:rPr>
            <w:t>1</w:t>
          </w:r>
          <w:r w:rsidRPr="00D82AF6">
            <w:rPr>
              <w:bCs/>
              <w:szCs w:val="18"/>
            </w:rPr>
            <w:fldChar w:fldCharType="end"/>
          </w:r>
          <w:r w:rsidRPr="00D82AF6">
            <w:rPr>
              <w:bCs/>
              <w:szCs w:val="18"/>
            </w:rPr>
            <w:t>/</w:t>
          </w:r>
          <w:r w:rsidRPr="00D82AF6">
            <w:rPr>
              <w:bCs/>
              <w:szCs w:val="18"/>
            </w:rPr>
            <w:fldChar w:fldCharType="begin"/>
          </w:r>
          <w:r w:rsidRPr="00D82AF6">
            <w:rPr>
              <w:bCs/>
              <w:szCs w:val="18"/>
            </w:rPr>
            <w:instrText xml:space="preserve"> NUMPAGES  \* Arabic  \* MERGEFORMAT </w:instrText>
          </w:r>
          <w:r w:rsidRPr="00D82AF6">
            <w:rPr>
              <w:bCs/>
              <w:szCs w:val="18"/>
            </w:rPr>
            <w:fldChar w:fldCharType="separate"/>
          </w:r>
          <w:r w:rsidR="002C73E8">
            <w:rPr>
              <w:bCs/>
              <w:noProof/>
              <w:szCs w:val="18"/>
            </w:rPr>
            <w:t>1</w:t>
          </w:r>
          <w:r w:rsidRPr="00D82AF6">
            <w:rPr>
              <w:bCs/>
              <w:szCs w:val="18"/>
            </w:rPr>
            <w:fldChar w:fldCharType="end"/>
          </w:r>
          <w:bookmarkEnd w:id="3"/>
        </w:p>
      </w:tc>
    </w:tr>
    <w:tr w:rsidR="00172B05" w:rsidRPr="00D82AF6" w14:paraId="7E8DCE54" w14:textId="77777777" w:rsidTr="00C30AD7">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6740E09" w14:textId="5D47488D" w:rsidR="00172B05" w:rsidRPr="00D82AF6" w:rsidRDefault="00880727" w:rsidP="00094155">
          <w:pPr>
            <w:jc w:val="left"/>
            <w:rPr>
              <w:szCs w:val="18"/>
            </w:rPr>
          </w:pPr>
          <w:bookmarkStart w:id="4" w:name="bmkCommittee"/>
          <w:bookmarkStart w:id="5" w:name="bmkLanguage" w:colFirst="1" w:colLast="1"/>
          <w:bookmarkEnd w:id="2"/>
          <w:r>
            <w:rPr>
              <w:b/>
              <w:szCs w:val="18"/>
            </w:rPr>
            <w:t>Comité des sauvegardes</w:t>
          </w:r>
          <w:bookmarkEnd w:id="4"/>
        </w:p>
      </w:tc>
      <w:tc>
        <w:tcPr>
          <w:tcW w:w="3325" w:type="dxa"/>
          <w:tcBorders>
            <w:top w:val="single" w:sz="4" w:space="0" w:color="auto"/>
          </w:tcBorders>
          <w:tcMar>
            <w:top w:w="113" w:type="dxa"/>
            <w:left w:w="108" w:type="dxa"/>
            <w:bottom w:w="57" w:type="dxa"/>
            <w:right w:w="108" w:type="dxa"/>
          </w:tcMar>
          <w:vAlign w:val="center"/>
        </w:tcPr>
        <w:p w14:paraId="6D4B5877" w14:textId="78DC1D26" w:rsidR="00172B05" w:rsidRPr="00D82AF6" w:rsidRDefault="00880727" w:rsidP="00094155">
          <w:pPr>
            <w:jc w:val="right"/>
            <w:rPr>
              <w:bCs/>
              <w:szCs w:val="18"/>
            </w:rPr>
          </w:pPr>
          <w:r>
            <w:rPr>
              <w:szCs w:val="18"/>
            </w:rPr>
            <w:t>Original: français</w:t>
          </w:r>
        </w:p>
      </w:tc>
    </w:tr>
    <w:bookmarkEnd w:id="5"/>
  </w:tbl>
  <w:p w14:paraId="21316B85" w14:textId="77777777" w:rsidR="00DD65B2"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58D2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0407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62D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85AEA6E"/>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49BE8CC4"/>
    <w:lvl w:ilvl="0">
      <w:start w:val="1"/>
      <w:numFmt w:val="decimal"/>
      <w:pStyle w:val="ListNumber"/>
      <w:lvlText w:val="%1."/>
      <w:lvlJc w:val="left"/>
      <w:pPr>
        <w:tabs>
          <w:tab w:val="num" w:pos="360"/>
        </w:tabs>
        <w:ind w:left="360" w:hanging="360"/>
      </w:pPr>
    </w:lvl>
  </w:abstractNum>
  <w:abstractNum w:abstractNumId="5" w15:restartNumberingAfterBreak="0">
    <w:nsid w:val="0000001A"/>
    <w:multiLevelType w:val="hybridMultilevel"/>
    <w:tmpl w:val="93CEED8E"/>
    <w:lvl w:ilvl="0" w:tplc="040C0013">
      <w:start w:val="1"/>
      <w:numFmt w:val="upperRoman"/>
      <w:lvlText w:val="%1."/>
      <w:lvlJc w:val="right"/>
      <w:pPr>
        <w:ind w:left="502" w:hanging="360"/>
      </w:pPr>
    </w:lvl>
    <w:lvl w:ilvl="1" w:tplc="040C0019">
      <w:start w:val="1"/>
      <w:numFmt w:val="lowerLetter"/>
      <w:lvlText w:val="%2."/>
      <w:lvlJc w:val="left"/>
      <w:pPr>
        <w:ind w:left="1222" w:hanging="360"/>
      </w:pPr>
    </w:lvl>
    <w:lvl w:ilvl="2" w:tplc="040C001B">
      <w:start w:val="1"/>
      <w:numFmt w:val="lowerRoman"/>
      <w:lvlText w:val="%3."/>
      <w:lvlJc w:val="right"/>
      <w:pPr>
        <w:ind w:left="1942" w:hanging="180"/>
      </w:pPr>
    </w:lvl>
    <w:lvl w:ilvl="3" w:tplc="040C000F">
      <w:start w:val="1"/>
      <w:numFmt w:val="decimal"/>
      <w:lvlText w:val="%4."/>
      <w:lvlJc w:val="left"/>
      <w:pPr>
        <w:ind w:left="2662" w:hanging="360"/>
      </w:pPr>
    </w:lvl>
    <w:lvl w:ilvl="4" w:tplc="040C0019">
      <w:start w:val="1"/>
      <w:numFmt w:val="lowerLetter"/>
      <w:lvlText w:val="%5."/>
      <w:lvlJc w:val="left"/>
      <w:pPr>
        <w:ind w:left="3382" w:hanging="360"/>
      </w:pPr>
    </w:lvl>
    <w:lvl w:ilvl="5" w:tplc="040C001B">
      <w:start w:val="1"/>
      <w:numFmt w:val="lowerRoman"/>
      <w:lvlText w:val="%6."/>
      <w:lvlJc w:val="right"/>
      <w:pPr>
        <w:ind w:left="4102" w:hanging="180"/>
      </w:pPr>
    </w:lvl>
    <w:lvl w:ilvl="6" w:tplc="040C000F">
      <w:start w:val="1"/>
      <w:numFmt w:val="decimal"/>
      <w:lvlText w:val="%7."/>
      <w:lvlJc w:val="left"/>
      <w:pPr>
        <w:ind w:left="4822" w:hanging="360"/>
      </w:pPr>
    </w:lvl>
    <w:lvl w:ilvl="7" w:tplc="040C0019">
      <w:start w:val="1"/>
      <w:numFmt w:val="lowerLetter"/>
      <w:lvlText w:val="%8."/>
      <w:lvlJc w:val="left"/>
      <w:pPr>
        <w:ind w:left="5542" w:hanging="360"/>
      </w:pPr>
    </w:lvl>
    <w:lvl w:ilvl="8" w:tplc="040C001B">
      <w:start w:val="1"/>
      <w:numFmt w:val="lowerRoman"/>
      <w:lvlText w:val="%9."/>
      <w:lvlJc w:val="right"/>
      <w:pPr>
        <w:ind w:left="6262" w:hanging="180"/>
      </w:pPr>
    </w:lvl>
  </w:abstractNum>
  <w:abstractNum w:abstractNumId="6" w15:restartNumberingAfterBreak="0">
    <w:nsid w:val="00AD262C"/>
    <w:multiLevelType w:val="hybridMultilevel"/>
    <w:tmpl w:val="25244E2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45142D6"/>
    <w:multiLevelType w:val="hybridMultilevel"/>
    <w:tmpl w:val="923CAF1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D73D69"/>
    <w:multiLevelType w:val="hybridMultilevel"/>
    <w:tmpl w:val="6F488EE4"/>
    <w:lvl w:ilvl="0" w:tplc="9A2287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9A5927"/>
    <w:multiLevelType w:val="hybridMultilevel"/>
    <w:tmpl w:val="DE584F5E"/>
    <w:lvl w:ilvl="0" w:tplc="A4C0FF02">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14364B"/>
    <w:multiLevelType w:val="hybridMultilevel"/>
    <w:tmpl w:val="19DA342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4A0C7A"/>
    <w:multiLevelType w:val="hybridMultilevel"/>
    <w:tmpl w:val="A3AEDEAC"/>
    <w:lvl w:ilvl="0" w:tplc="888016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614640"/>
    <w:multiLevelType w:val="hybridMultilevel"/>
    <w:tmpl w:val="AF468112"/>
    <w:lvl w:ilvl="0" w:tplc="E7B0DAA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193E0F"/>
    <w:multiLevelType w:val="hybridMultilevel"/>
    <w:tmpl w:val="0632F6B8"/>
    <w:lvl w:ilvl="0" w:tplc="E7B0DAA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A759CE"/>
    <w:multiLevelType w:val="multilevel"/>
    <w:tmpl w:val="2516333A"/>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lowerRoman"/>
      <w:lvlText w:val="%4."/>
      <w:lvlJc w:val="left"/>
      <w:pPr>
        <w:ind w:left="360" w:hanging="36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15:restartNumberingAfterBreak="0">
    <w:nsid w:val="25241120"/>
    <w:multiLevelType w:val="hybridMultilevel"/>
    <w:tmpl w:val="64966CBE"/>
    <w:lvl w:ilvl="0" w:tplc="6D0A715E">
      <w:start w:val="1"/>
      <w:numFmt w:val="bullet"/>
      <w:lvlText w:val="-"/>
      <w:lvlJc w:val="left"/>
      <w:pPr>
        <w:ind w:left="720" w:hanging="360"/>
      </w:pPr>
      <w:rPr>
        <w:rFonts w:ascii="Adobe Arabic" w:hAnsi="Adobe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464910"/>
    <w:multiLevelType w:val="hybridMultilevel"/>
    <w:tmpl w:val="55562EE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2C979C3"/>
    <w:multiLevelType w:val="hybridMultilevel"/>
    <w:tmpl w:val="4F2CB22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7305F07"/>
    <w:multiLevelType w:val="hybridMultilevel"/>
    <w:tmpl w:val="BF385D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5C7593"/>
    <w:multiLevelType w:val="hybridMultilevel"/>
    <w:tmpl w:val="B8B483E0"/>
    <w:lvl w:ilvl="0" w:tplc="716820D6">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A74D19"/>
    <w:multiLevelType w:val="hybridMultilevel"/>
    <w:tmpl w:val="F05EE7FA"/>
    <w:lvl w:ilvl="0" w:tplc="E7B0DAA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F916CE"/>
    <w:multiLevelType w:val="hybridMultilevel"/>
    <w:tmpl w:val="DD721AE4"/>
    <w:lvl w:ilvl="0" w:tplc="E7B0DAA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8341B1"/>
    <w:multiLevelType w:val="hybridMultilevel"/>
    <w:tmpl w:val="DB12C7E4"/>
    <w:lvl w:ilvl="0" w:tplc="F59E571E">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25" w15:restartNumberingAfterBreak="0">
    <w:nsid w:val="56820D7C"/>
    <w:multiLevelType w:val="hybridMultilevel"/>
    <w:tmpl w:val="EC1CB08A"/>
    <w:lvl w:ilvl="0" w:tplc="81FAB38C">
      <w:start w:val="3"/>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27" w15:restartNumberingAfterBreak="0">
    <w:nsid w:val="5B6578F8"/>
    <w:multiLevelType w:val="hybridMultilevel"/>
    <w:tmpl w:val="0548F44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DF26A1C"/>
    <w:multiLevelType w:val="hybridMultilevel"/>
    <w:tmpl w:val="DE644D16"/>
    <w:lvl w:ilvl="0" w:tplc="9EE8DCAA">
      <w:start w:val="1"/>
      <w:numFmt w:val="decimal"/>
      <w:lvlText w:val="%1."/>
      <w:lvlJc w:val="left"/>
      <w:pPr>
        <w:ind w:left="500" w:hanging="284"/>
      </w:pPr>
      <w:rPr>
        <w:rFonts w:ascii="Arial" w:eastAsia="Arial" w:hAnsi="Arial" w:cs="Arial" w:hint="default"/>
        <w:b/>
        <w:bCs/>
        <w:spacing w:val="0"/>
        <w:w w:val="99"/>
        <w:sz w:val="22"/>
        <w:szCs w:val="22"/>
        <w:lang w:val="fr-FR" w:eastAsia="en-US" w:bidi="ar-SA"/>
      </w:rPr>
    </w:lvl>
    <w:lvl w:ilvl="1" w:tplc="03C60D7E">
      <w:start w:val="1"/>
      <w:numFmt w:val="lowerRoman"/>
      <w:lvlText w:val="%2."/>
      <w:lvlJc w:val="left"/>
      <w:pPr>
        <w:ind w:left="1789" w:hanging="721"/>
        <w:jc w:val="right"/>
      </w:pPr>
      <w:rPr>
        <w:rFonts w:ascii="Arial" w:eastAsia="Arial" w:hAnsi="Arial" w:cs="Arial" w:hint="default"/>
        <w:b/>
        <w:bCs/>
        <w:spacing w:val="-2"/>
        <w:w w:val="100"/>
        <w:sz w:val="22"/>
        <w:szCs w:val="22"/>
        <w:lang w:val="fr-FR" w:eastAsia="en-US" w:bidi="ar-SA"/>
      </w:rPr>
    </w:lvl>
    <w:lvl w:ilvl="2" w:tplc="18EC677A">
      <w:numFmt w:val="bullet"/>
      <w:lvlText w:val="•"/>
      <w:lvlJc w:val="left"/>
      <w:pPr>
        <w:ind w:left="1780" w:hanging="721"/>
      </w:pPr>
      <w:rPr>
        <w:rFonts w:hint="default"/>
        <w:lang w:val="fr-FR" w:eastAsia="en-US" w:bidi="ar-SA"/>
      </w:rPr>
    </w:lvl>
    <w:lvl w:ilvl="3" w:tplc="4F3AC1D2">
      <w:numFmt w:val="bullet"/>
      <w:lvlText w:val="•"/>
      <w:lvlJc w:val="left"/>
      <w:pPr>
        <w:ind w:left="2802" w:hanging="721"/>
      </w:pPr>
      <w:rPr>
        <w:rFonts w:hint="default"/>
        <w:lang w:val="fr-FR" w:eastAsia="en-US" w:bidi="ar-SA"/>
      </w:rPr>
    </w:lvl>
    <w:lvl w:ilvl="4" w:tplc="20188462">
      <w:numFmt w:val="bullet"/>
      <w:lvlText w:val="•"/>
      <w:lvlJc w:val="left"/>
      <w:pPr>
        <w:ind w:left="3825" w:hanging="721"/>
      </w:pPr>
      <w:rPr>
        <w:rFonts w:hint="default"/>
        <w:lang w:val="fr-FR" w:eastAsia="en-US" w:bidi="ar-SA"/>
      </w:rPr>
    </w:lvl>
    <w:lvl w:ilvl="5" w:tplc="4DA8A968">
      <w:numFmt w:val="bullet"/>
      <w:lvlText w:val="•"/>
      <w:lvlJc w:val="left"/>
      <w:pPr>
        <w:ind w:left="4847" w:hanging="721"/>
      </w:pPr>
      <w:rPr>
        <w:rFonts w:hint="default"/>
        <w:lang w:val="fr-FR" w:eastAsia="en-US" w:bidi="ar-SA"/>
      </w:rPr>
    </w:lvl>
    <w:lvl w:ilvl="6" w:tplc="7FAC4788">
      <w:numFmt w:val="bullet"/>
      <w:lvlText w:val="•"/>
      <w:lvlJc w:val="left"/>
      <w:pPr>
        <w:ind w:left="5870" w:hanging="721"/>
      </w:pPr>
      <w:rPr>
        <w:rFonts w:hint="default"/>
        <w:lang w:val="fr-FR" w:eastAsia="en-US" w:bidi="ar-SA"/>
      </w:rPr>
    </w:lvl>
    <w:lvl w:ilvl="7" w:tplc="BCC2D35E">
      <w:numFmt w:val="bullet"/>
      <w:lvlText w:val="•"/>
      <w:lvlJc w:val="left"/>
      <w:pPr>
        <w:ind w:left="6892" w:hanging="721"/>
      </w:pPr>
      <w:rPr>
        <w:rFonts w:hint="default"/>
        <w:lang w:val="fr-FR" w:eastAsia="en-US" w:bidi="ar-SA"/>
      </w:rPr>
    </w:lvl>
    <w:lvl w:ilvl="8" w:tplc="5CEC1F64">
      <w:numFmt w:val="bullet"/>
      <w:lvlText w:val="•"/>
      <w:lvlJc w:val="left"/>
      <w:pPr>
        <w:ind w:left="7915" w:hanging="721"/>
      </w:pPr>
      <w:rPr>
        <w:rFonts w:hint="default"/>
        <w:lang w:val="fr-FR" w:eastAsia="en-US" w:bidi="ar-SA"/>
      </w:rPr>
    </w:lvl>
  </w:abstractNum>
  <w:abstractNum w:abstractNumId="29" w15:restartNumberingAfterBreak="0">
    <w:nsid w:val="60E3383D"/>
    <w:multiLevelType w:val="multilevel"/>
    <w:tmpl w:val="00FC0F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8FB38E2"/>
    <w:multiLevelType w:val="hybridMultilevel"/>
    <w:tmpl w:val="E910C81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2C7B7E"/>
    <w:multiLevelType w:val="hybridMultilevel"/>
    <w:tmpl w:val="3764568E"/>
    <w:lvl w:ilvl="0" w:tplc="E7B0DAA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3454914">
    <w:abstractNumId w:val="4"/>
  </w:num>
  <w:num w:numId="2" w16cid:durableId="1249268913">
    <w:abstractNumId w:val="3"/>
  </w:num>
  <w:num w:numId="3" w16cid:durableId="670184139">
    <w:abstractNumId w:val="2"/>
  </w:num>
  <w:num w:numId="4" w16cid:durableId="1498421762">
    <w:abstractNumId w:val="1"/>
  </w:num>
  <w:num w:numId="5" w16cid:durableId="1368405287">
    <w:abstractNumId w:val="0"/>
  </w:num>
  <w:num w:numId="6" w16cid:durableId="1319964911">
    <w:abstractNumId w:val="26"/>
  </w:num>
  <w:num w:numId="7" w16cid:durableId="807017407">
    <w:abstractNumId w:val="24"/>
  </w:num>
  <w:num w:numId="8" w16cid:durableId="1815414648">
    <w:abstractNumId w:val="30"/>
  </w:num>
  <w:num w:numId="9" w16cid:durableId="13686041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8070109">
    <w:abstractNumId w:val="5"/>
  </w:num>
  <w:num w:numId="11" w16cid:durableId="350188999">
    <w:abstractNumId w:val="16"/>
  </w:num>
  <w:num w:numId="12" w16cid:durableId="296419709">
    <w:abstractNumId w:val="28"/>
  </w:num>
  <w:num w:numId="13" w16cid:durableId="974798377">
    <w:abstractNumId w:val="29"/>
  </w:num>
  <w:num w:numId="14" w16cid:durableId="1869294418">
    <w:abstractNumId w:val="27"/>
  </w:num>
  <w:num w:numId="15" w16cid:durableId="458961083">
    <w:abstractNumId w:val="8"/>
  </w:num>
  <w:num w:numId="16" w16cid:durableId="804274512">
    <w:abstractNumId w:val="32"/>
  </w:num>
  <w:num w:numId="17" w16cid:durableId="1865749973">
    <w:abstractNumId w:val="15"/>
  </w:num>
  <w:num w:numId="18" w16cid:durableId="1648045092">
    <w:abstractNumId w:val="13"/>
  </w:num>
  <w:num w:numId="19" w16cid:durableId="32779687">
    <w:abstractNumId w:val="14"/>
  </w:num>
  <w:num w:numId="20" w16cid:durableId="1967657018">
    <w:abstractNumId w:val="19"/>
  </w:num>
  <w:num w:numId="21" w16cid:durableId="1846901695">
    <w:abstractNumId w:val="11"/>
  </w:num>
  <w:num w:numId="22" w16cid:durableId="980156670">
    <w:abstractNumId w:val="23"/>
  </w:num>
  <w:num w:numId="23" w16cid:durableId="527763201">
    <w:abstractNumId w:val="17"/>
  </w:num>
  <w:num w:numId="24" w16cid:durableId="283271632">
    <w:abstractNumId w:val="20"/>
  </w:num>
  <w:num w:numId="25" w16cid:durableId="1466661821">
    <w:abstractNumId w:val="25"/>
  </w:num>
  <w:num w:numId="26" w16cid:durableId="1016469408">
    <w:abstractNumId w:val="7"/>
  </w:num>
  <w:num w:numId="27" w16cid:durableId="1732734139">
    <w:abstractNumId w:val="6"/>
  </w:num>
  <w:num w:numId="28" w16cid:durableId="1398362627">
    <w:abstractNumId w:val="10"/>
  </w:num>
  <w:num w:numId="29" w16cid:durableId="140344970">
    <w:abstractNumId w:val="18"/>
  </w:num>
  <w:num w:numId="30" w16cid:durableId="1345787979">
    <w:abstractNumId w:val="12"/>
  </w:num>
  <w:num w:numId="31" w16cid:durableId="997002415">
    <w:abstractNumId w:val="21"/>
  </w:num>
  <w:num w:numId="32" w16cid:durableId="19286176">
    <w:abstractNumId w:val="31"/>
  </w:num>
  <w:num w:numId="33" w16cid:durableId="179323375">
    <w:abstractNumId w:val="22"/>
  </w:num>
  <w:num w:numId="34" w16cid:durableId="279456174">
    <w:abstractNumId w:val="26"/>
  </w:num>
  <w:num w:numId="35" w16cid:durableId="678889341">
    <w:abstractNumId w:val="26"/>
  </w:num>
  <w:num w:numId="36" w16cid:durableId="968517355">
    <w:abstractNumId w:val="26"/>
  </w:num>
  <w:num w:numId="37" w16cid:durableId="1646818105">
    <w:abstractNumId w:val="26"/>
  </w:num>
  <w:num w:numId="38" w16cid:durableId="1890653224">
    <w:abstractNumId w:val="26"/>
  </w:num>
  <w:num w:numId="39" w16cid:durableId="1053848143">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2B2"/>
    <w:rsid w:val="000074D5"/>
    <w:rsid w:val="0002424F"/>
    <w:rsid w:val="000330CB"/>
    <w:rsid w:val="00067D73"/>
    <w:rsid w:val="00071B26"/>
    <w:rsid w:val="000A7098"/>
    <w:rsid w:val="000C3951"/>
    <w:rsid w:val="000C724C"/>
    <w:rsid w:val="000D23F0"/>
    <w:rsid w:val="000E1182"/>
    <w:rsid w:val="000E24C5"/>
    <w:rsid w:val="000F3D5B"/>
    <w:rsid w:val="00104D9E"/>
    <w:rsid w:val="00114B29"/>
    <w:rsid w:val="001171A2"/>
    <w:rsid w:val="00120B96"/>
    <w:rsid w:val="001273FC"/>
    <w:rsid w:val="001338F0"/>
    <w:rsid w:val="0014012F"/>
    <w:rsid w:val="00172B05"/>
    <w:rsid w:val="001B50DF"/>
    <w:rsid w:val="001D7618"/>
    <w:rsid w:val="001F6508"/>
    <w:rsid w:val="002149CB"/>
    <w:rsid w:val="002242B5"/>
    <w:rsid w:val="00255119"/>
    <w:rsid w:val="00287066"/>
    <w:rsid w:val="00295BF7"/>
    <w:rsid w:val="002C73E8"/>
    <w:rsid w:val="002D5A5B"/>
    <w:rsid w:val="003267CD"/>
    <w:rsid w:val="00334600"/>
    <w:rsid w:val="00337700"/>
    <w:rsid w:val="003422F5"/>
    <w:rsid w:val="00342A86"/>
    <w:rsid w:val="003553C7"/>
    <w:rsid w:val="0037122B"/>
    <w:rsid w:val="00371F55"/>
    <w:rsid w:val="003A0E78"/>
    <w:rsid w:val="003A19CB"/>
    <w:rsid w:val="003B6D4C"/>
    <w:rsid w:val="003C0EE2"/>
    <w:rsid w:val="003F0353"/>
    <w:rsid w:val="00410C09"/>
    <w:rsid w:val="004148FA"/>
    <w:rsid w:val="0043612A"/>
    <w:rsid w:val="00442199"/>
    <w:rsid w:val="00456991"/>
    <w:rsid w:val="004A030D"/>
    <w:rsid w:val="004D5FBF"/>
    <w:rsid w:val="005027BE"/>
    <w:rsid w:val="005631BA"/>
    <w:rsid w:val="00571EE1"/>
    <w:rsid w:val="00585782"/>
    <w:rsid w:val="00592965"/>
    <w:rsid w:val="005B571A"/>
    <w:rsid w:val="005C6D4E"/>
    <w:rsid w:val="005D21E5"/>
    <w:rsid w:val="005E14C9"/>
    <w:rsid w:val="006248DB"/>
    <w:rsid w:val="00674833"/>
    <w:rsid w:val="006A41F1"/>
    <w:rsid w:val="006A4BAD"/>
    <w:rsid w:val="006E0C67"/>
    <w:rsid w:val="006E5050"/>
    <w:rsid w:val="00727F5B"/>
    <w:rsid w:val="00735ADA"/>
    <w:rsid w:val="00795114"/>
    <w:rsid w:val="007A761F"/>
    <w:rsid w:val="007B4290"/>
    <w:rsid w:val="007B7BB1"/>
    <w:rsid w:val="007C4766"/>
    <w:rsid w:val="007D39B5"/>
    <w:rsid w:val="00805A23"/>
    <w:rsid w:val="00817E7E"/>
    <w:rsid w:val="00834FB6"/>
    <w:rsid w:val="008402D9"/>
    <w:rsid w:val="00842D59"/>
    <w:rsid w:val="0085388D"/>
    <w:rsid w:val="00877072"/>
    <w:rsid w:val="00880727"/>
    <w:rsid w:val="00885409"/>
    <w:rsid w:val="00894675"/>
    <w:rsid w:val="008A1305"/>
    <w:rsid w:val="008C6AD2"/>
    <w:rsid w:val="00903A6F"/>
    <w:rsid w:val="009112F2"/>
    <w:rsid w:val="0091417D"/>
    <w:rsid w:val="009304CB"/>
    <w:rsid w:val="009322BB"/>
    <w:rsid w:val="0093775F"/>
    <w:rsid w:val="00966CFA"/>
    <w:rsid w:val="009A0D78"/>
    <w:rsid w:val="009B035B"/>
    <w:rsid w:val="009D63FB"/>
    <w:rsid w:val="009F3C58"/>
    <w:rsid w:val="009F491D"/>
    <w:rsid w:val="00A047EB"/>
    <w:rsid w:val="00A21DC7"/>
    <w:rsid w:val="00A37C79"/>
    <w:rsid w:val="00A46611"/>
    <w:rsid w:val="00A60556"/>
    <w:rsid w:val="00A67526"/>
    <w:rsid w:val="00A73F8C"/>
    <w:rsid w:val="00AC7C4D"/>
    <w:rsid w:val="00AD1003"/>
    <w:rsid w:val="00AE3C0C"/>
    <w:rsid w:val="00AF33E8"/>
    <w:rsid w:val="00B016F2"/>
    <w:rsid w:val="00B24B85"/>
    <w:rsid w:val="00B30392"/>
    <w:rsid w:val="00B45F9E"/>
    <w:rsid w:val="00B46156"/>
    <w:rsid w:val="00B50024"/>
    <w:rsid w:val="00B83FE6"/>
    <w:rsid w:val="00B86771"/>
    <w:rsid w:val="00B962B2"/>
    <w:rsid w:val="00BA31BF"/>
    <w:rsid w:val="00BC11FF"/>
    <w:rsid w:val="00BC17E5"/>
    <w:rsid w:val="00BC2650"/>
    <w:rsid w:val="00BE79CB"/>
    <w:rsid w:val="00C162BB"/>
    <w:rsid w:val="00C30AD7"/>
    <w:rsid w:val="00C34F2D"/>
    <w:rsid w:val="00C45B8E"/>
    <w:rsid w:val="00C47345"/>
    <w:rsid w:val="00C65229"/>
    <w:rsid w:val="00C67AA4"/>
    <w:rsid w:val="00C71274"/>
    <w:rsid w:val="00CB2591"/>
    <w:rsid w:val="00CD0195"/>
    <w:rsid w:val="00CD5EC3"/>
    <w:rsid w:val="00CE1C9D"/>
    <w:rsid w:val="00D420F2"/>
    <w:rsid w:val="00D5139E"/>
    <w:rsid w:val="00D65AF6"/>
    <w:rsid w:val="00D66DCB"/>
    <w:rsid w:val="00D66F5C"/>
    <w:rsid w:val="00D82AF6"/>
    <w:rsid w:val="00DB47DD"/>
    <w:rsid w:val="00DB7CB0"/>
    <w:rsid w:val="00DD1BF7"/>
    <w:rsid w:val="00DD65B2"/>
    <w:rsid w:val="00E0133E"/>
    <w:rsid w:val="00E205CA"/>
    <w:rsid w:val="00E464CD"/>
    <w:rsid w:val="00E46BDE"/>
    <w:rsid w:val="00E63267"/>
    <w:rsid w:val="00E80F91"/>
    <w:rsid w:val="00E81A56"/>
    <w:rsid w:val="00E827D3"/>
    <w:rsid w:val="00E864B3"/>
    <w:rsid w:val="00E9705F"/>
    <w:rsid w:val="00E97806"/>
    <w:rsid w:val="00EA1572"/>
    <w:rsid w:val="00EA27E2"/>
    <w:rsid w:val="00EB1D8F"/>
    <w:rsid w:val="00EB4982"/>
    <w:rsid w:val="00EE26BA"/>
    <w:rsid w:val="00EE50B7"/>
    <w:rsid w:val="00F11625"/>
    <w:rsid w:val="00F325A3"/>
    <w:rsid w:val="00F6594D"/>
    <w:rsid w:val="00F84BAB"/>
    <w:rsid w:val="00F854DF"/>
    <w:rsid w:val="00F94FC2"/>
    <w:rsid w:val="00FB29A7"/>
    <w:rsid w:val="00FB5902"/>
    <w:rsid w:val="00FC4ECA"/>
    <w:rsid w:val="00FE550F"/>
    <w:rsid w:val="00FF07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1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39E"/>
    <w:pPr>
      <w:jc w:val="both"/>
    </w:pPr>
    <w:rPr>
      <w:rFonts w:ascii="Verdana" w:hAnsi="Verdana"/>
      <w:sz w:val="18"/>
      <w:szCs w:val="22"/>
      <w:lang w:val="fr-FR" w:eastAsia="en-US"/>
    </w:rPr>
  </w:style>
  <w:style w:type="paragraph" w:styleId="Heading1">
    <w:name w:val="heading 1"/>
    <w:basedOn w:val="Normal"/>
    <w:next w:val="Heading2"/>
    <w:link w:val="Heading1Char"/>
    <w:uiPriority w:val="2"/>
    <w:qFormat/>
    <w:rsid w:val="00D420F2"/>
    <w:pPr>
      <w:keepNext/>
      <w:keepLines/>
      <w:numPr>
        <w:numId w:val="6"/>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D420F2"/>
    <w:pPr>
      <w:keepNext/>
      <w:keepLines/>
      <w:numPr>
        <w:ilvl w:val="1"/>
        <w:numId w:val="6"/>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D420F2"/>
    <w:pPr>
      <w:keepNext/>
      <w:keepLines/>
      <w:numPr>
        <w:ilvl w:val="2"/>
        <w:numId w:val="6"/>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D420F2"/>
    <w:pPr>
      <w:keepNext/>
      <w:keepLines/>
      <w:numPr>
        <w:ilvl w:val="3"/>
        <w:numId w:val="6"/>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D420F2"/>
    <w:pPr>
      <w:keepNext/>
      <w:keepLines/>
      <w:numPr>
        <w:ilvl w:val="4"/>
        <w:numId w:val="6"/>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D420F2"/>
    <w:pPr>
      <w:keepNext/>
      <w:keepLines/>
      <w:numPr>
        <w:ilvl w:val="5"/>
        <w:numId w:val="6"/>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D420F2"/>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D420F2"/>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D420F2"/>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420F2"/>
    <w:rPr>
      <w:rFonts w:ascii="Verdana" w:eastAsiaTheme="majorEastAsia" w:hAnsi="Verdana" w:cstheme="majorBidi"/>
      <w:b/>
      <w:bCs/>
      <w:caps/>
      <w:color w:val="006283"/>
      <w:sz w:val="18"/>
      <w:szCs w:val="28"/>
      <w:lang w:val="fr-FR" w:eastAsia="en-US"/>
    </w:rPr>
  </w:style>
  <w:style w:type="character" w:customStyle="1" w:styleId="Heading5Char">
    <w:name w:val="Heading 5 Char"/>
    <w:basedOn w:val="DefaultParagraphFont"/>
    <w:link w:val="Heading5"/>
    <w:uiPriority w:val="2"/>
    <w:rsid w:val="00D420F2"/>
    <w:rPr>
      <w:rFonts w:ascii="Verdana" w:eastAsiaTheme="majorEastAsia" w:hAnsi="Verdana" w:cstheme="majorBidi"/>
      <w:b/>
      <w:color w:val="006283"/>
      <w:sz w:val="18"/>
      <w:szCs w:val="22"/>
      <w:lang w:val="fr-FR" w:eastAsia="en-US"/>
    </w:rPr>
  </w:style>
  <w:style w:type="character" w:customStyle="1" w:styleId="Heading2Char">
    <w:name w:val="Heading 2 Char"/>
    <w:basedOn w:val="DefaultParagraphFont"/>
    <w:link w:val="Heading2"/>
    <w:uiPriority w:val="2"/>
    <w:rsid w:val="00D420F2"/>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D420F2"/>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D420F2"/>
    <w:rPr>
      <w:rFonts w:ascii="Verdana" w:eastAsiaTheme="majorEastAsia" w:hAnsi="Verdana" w:cstheme="majorBidi"/>
      <w:b/>
      <w:bCs/>
      <w:iCs/>
      <w:color w:val="006283"/>
      <w:sz w:val="18"/>
      <w:szCs w:val="22"/>
      <w:lang w:val="fr-FR" w:eastAsia="en-US"/>
    </w:rPr>
  </w:style>
  <w:style w:type="character" w:customStyle="1" w:styleId="Heading6Char">
    <w:name w:val="Heading 6 Char"/>
    <w:basedOn w:val="DefaultParagraphFont"/>
    <w:link w:val="Heading6"/>
    <w:uiPriority w:val="2"/>
    <w:rsid w:val="00D420F2"/>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D420F2"/>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D420F2"/>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D420F2"/>
    <w:rPr>
      <w:rFonts w:ascii="Verdana" w:eastAsiaTheme="majorEastAsia" w:hAnsi="Verdana" w:cstheme="majorBidi"/>
      <w:b/>
      <w:iCs/>
      <w:color w:val="006283"/>
      <w:sz w:val="18"/>
      <w:u w:val="single"/>
      <w:lang w:val="fr-FR" w:eastAsia="en-US"/>
    </w:rPr>
  </w:style>
  <w:style w:type="paragraph" w:styleId="BalloonText">
    <w:name w:val="Balloon Text"/>
    <w:basedOn w:val="Normal"/>
    <w:link w:val="BalloonTextChar"/>
    <w:uiPriority w:val="99"/>
    <w:semiHidden/>
    <w:unhideWhenUsed/>
    <w:rsid w:val="00EA27E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A27E2"/>
    <w:rPr>
      <w:rFonts w:ascii="Tahoma" w:eastAsiaTheme="minorHAnsi" w:hAnsi="Tahoma" w:cs="Tahoma"/>
      <w:sz w:val="16"/>
      <w:szCs w:val="16"/>
      <w:lang w:val="fr-FR" w:eastAsia="en-US"/>
    </w:rPr>
  </w:style>
  <w:style w:type="paragraph" w:customStyle="1" w:styleId="Answer">
    <w:name w:val="Answer"/>
    <w:basedOn w:val="Normal"/>
    <w:link w:val="AnswerChar"/>
    <w:uiPriority w:val="6"/>
    <w:qFormat/>
    <w:rsid w:val="00EA27E2"/>
    <w:pPr>
      <w:spacing w:after="240"/>
      <w:ind w:left="1077"/>
    </w:pPr>
  </w:style>
  <w:style w:type="character" w:customStyle="1" w:styleId="AnswerChar">
    <w:name w:val="Answer Char"/>
    <w:link w:val="Answer"/>
    <w:uiPriority w:val="6"/>
    <w:rsid w:val="00EA27E2"/>
    <w:rPr>
      <w:rFonts w:ascii="Verdana" w:hAnsi="Verdana"/>
      <w:sz w:val="18"/>
      <w:szCs w:val="22"/>
      <w:lang w:val="fr-FR" w:eastAsia="en-US"/>
    </w:rPr>
  </w:style>
  <w:style w:type="paragraph" w:styleId="BodyText">
    <w:name w:val="Body Text"/>
    <w:basedOn w:val="Normal"/>
    <w:link w:val="BodyTextChar"/>
    <w:uiPriority w:val="1"/>
    <w:qFormat/>
    <w:rsid w:val="00EA27E2"/>
    <w:pPr>
      <w:numPr>
        <w:ilvl w:val="6"/>
        <w:numId w:val="6"/>
      </w:numPr>
      <w:spacing w:after="240"/>
    </w:pPr>
    <w:rPr>
      <w:rFonts w:eastAsiaTheme="minorHAnsi" w:cstheme="minorBidi"/>
    </w:rPr>
  </w:style>
  <w:style w:type="character" w:customStyle="1" w:styleId="BodyTextChar">
    <w:name w:val="Body Text Char"/>
    <w:basedOn w:val="DefaultParagraphFont"/>
    <w:link w:val="BodyText"/>
    <w:uiPriority w:val="1"/>
    <w:rsid w:val="00EA27E2"/>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EA27E2"/>
    <w:pPr>
      <w:numPr>
        <w:ilvl w:val="7"/>
        <w:numId w:val="6"/>
      </w:numPr>
      <w:spacing w:after="240"/>
    </w:pPr>
    <w:rPr>
      <w:rFonts w:eastAsiaTheme="minorHAnsi" w:cstheme="minorBidi"/>
    </w:rPr>
  </w:style>
  <w:style w:type="character" w:customStyle="1" w:styleId="BodyText2Char">
    <w:name w:val="Body Text 2 Char"/>
    <w:basedOn w:val="DefaultParagraphFont"/>
    <w:link w:val="BodyText2"/>
    <w:uiPriority w:val="1"/>
    <w:rsid w:val="00EA27E2"/>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EA27E2"/>
    <w:pPr>
      <w:numPr>
        <w:ilvl w:val="8"/>
        <w:numId w:val="6"/>
      </w:numPr>
      <w:spacing w:after="240"/>
    </w:pPr>
    <w:rPr>
      <w:rFonts w:eastAsiaTheme="minorHAnsi" w:cstheme="minorBidi"/>
      <w:szCs w:val="16"/>
    </w:rPr>
  </w:style>
  <w:style w:type="character" w:customStyle="1" w:styleId="BodyText3Char">
    <w:name w:val="Body Text 3 Char"/>
    <w:basedOn w:val="DefaultParagraphFont"/>
    <w:link w:val="BodyText3"/>
    <w:uiPriority w:val="1"/>
    <w:rsid w:val="00EA27E2"/>
    <w:rPr>
      <w:rFonts w:ascii="Verdana" w:eastAsiaTheme="minorHAnsi" w:hAnsi="Verdana" w:cstheme="minorBidi"/>
      <w:sz w:val="18"/>
      <w:szCs w:val="16"/>
      <w:lang w:val="fr-FR" w:eastAsia="en-US"/>
    </w:rPr>
  </w:style>
  <w:style w:type="paragraph" w:styleId="Caption">
    <w:name w:val="caption"/>
    <w:basedOn w:val="Normal"/>
    <w:next w:val="Normal"/>
    <w:uiPriority w:val="6"/>
    <w:qFormat/>
    <w:rsid w:val="00D420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EA27E2"/>
    <w:rPr>
      <w:vertAlign w:val="superscript"/>
    </w:rPr>
  </w:style>
  <w:style w:type="paragraph" w:styleId="FootnoteText">
    <w:name w:val="footnote text"/>
    <w:basedOn w:val="Normal"/>
    <w:link w:val="FootnoteTextChar"/>
    <w:uiPriority w:val="5"/>
    <w:rsid w:val="00EA27E2"/>
    <w:pPr>
      <w:ind w:firstLine="567"/>
      <w:jc w:val="left"/>
    </w:pPr>
    <w:rPr>
      <w:sz w:val="16"/>
      <w:szCs w:val="18"/>
      <w:lang w:eastAsia="en-GB"/>
    </w:rPr>
  </w:style>
  <w:style w:type="character" w:customStyle="1" w:styleId="FootnoteTextChar">
    <w:name w:val="Footnote Text Char"/>
    <w:link w:val="FootnoteText"/>
    <w:uiPriority w:val="5"/>
    <w:rsid w:val="00EA27E2"/>
    <w:rPr>
      <w:rFonts w:ascii="Verdana" w:hAnsi="Verdana"/>
      <w:sz w:val="16"/>
      <w:szCs w:val="18"/>
      <w:lang w:val="fr-FR"/>
    </w:rPr>
  </w:style>
  <w:style w:type="paragraph" w:styleId="EndnoteText">
    <w:name w:val="endnote text"/>
    <w:basedOn w:val="FootnoteText"/>
    <w:link w:val="EndnoteTextChar"/>
    <w:uiPriority w:val="49"/>
    <w:rsid w:val="00EA27E2"/>
    <w:rPr>
      <w:szCs w:val="20"/>
    </w:rPr>
  </w:style>
  <w:style w:type="character" w:customStyle="1" w:styleId="EndnoteTextChar">
    <w:name w:val="Endnote Text Char"/>
    <w:link w:val="EndnoteText"/>
    <w:uiPriority w:val="99"/>
    <w:rsid w:val="00EA27E2"/>
    <w:rPr>
      <w:rFonts w:ascii="Verdana" w:hAnsi="Verdana"/>
      <w:sz w:val="16"/>
      <w:lang w:val="fr-FR"/>
    </w:rPr>
  </w:style>
  <w:style w:type="paragraph" w:customStyle="1" w:styleId="FollowUp">
    <w:name w:val="FollowUp"/>
    <w:basedOn w:val="Normal"/>
    <w:link w:val="FollowUpChar"/>
    <w:uiPriority w:val="6"/>
    <w:qFormat/>
    <w:rsid w:val="00EA27E2"/>
    <w:pPr>
      <w:spacing w:after="240"/>
      <w:ind w:left="720"/>
    </w:pPr>
    <w:rPr>
      <w:i/>
    </w:rPr>
  </w:style>
  <w:style w:type="character" w:customStyle="1" w:styleId="FollowUpChar">
    <w:name w:val="FollowUp Char"/>
    <w:link w:val="FollowUp"/>
    <w:uiPriority w:val="6"/>
    <w:rsid w:val="00EA27E2"/>
    <w:rPr>
      <w:rFonts w:ascii="Verdana" w:hAnsi="Verdana"/>
      <w:i/>
      <w:sz w:val="18"/>
      <w:szCs w:val="22"/>
      <w:lang w:val="fr-FR" w:eastAsia="en-US"/>
    </w:rPr>
  </w:style>
  <w:style w:type="paragraph" w:styleId="Footer">
    <w:name w:val="footer"/>
    <w:basedOn w:val="Normal"/>
    <w:link w:val="FooterChar"/>
    <w:uiPriority w:val="3"/>
    <w:rsid w:val="00EA27E2"/>
    <w:pPr>
      <w:tabs>
        <w:tab w:val="center" w:pos="4513"/>
        <w:tab w:val="right" w:pos="9027"/>
      </w:tabs>
    </w:pPr>
    <w:rPr>
      <w:szCs w:val="18"/>
      <w:lang w:eastAsia="en-GB"/>
    </w:rPr>
  </w:style>
  <w:style w:type="character" w:customStyle="1" w:styleId="FooterChar">
    <w:name w:val="Footer Char"/>
    <w:link w:val="Footer"/>
    <w:uiPriority w:val="5"/>
    <w:rsid w:val="00EA27E2"/>
    <w:rPr>
      <w:rFonts w:ascii="Verdana" w:hAnsi="Verdana"/>
      <w:sz w:val="18"/>
      <w:szCs w:val="18"/>
      <w:lang w:val="fr-FR"/>
    </w:rPr>
  </w:style>
  <w:style w:type="paragraph" w:customStyle="1" w:styleId="FootnoteQuotation">
    <w:name w:val="Footnote Quotation"/>
    <w:basedOn w:val="FootnoteText"/>
    <w:uiPriority w:val="5"/>
    <w:rsid w:val="00EA27E2"/>
    <w:pPr>
      <w:ind w:left="567" w:right="567" w:firstLine="0"/>
    </w:pPr>
  </w:style>
  <w:style w:type="character" w:styleId="FootnoteReference">
    <w:name w:val="footnote reference"/>
    <w:uiPriority w:val="5"/>
    <w:rsid w:val="00EA27E2"/>
    <w:rPr>
      <w:vertAlign w:val="superscript"/>
    </w:rPr>
  </w:style>
  <w:style w:type="paragraph" w:styleId="Header">
    <w:name w:val="header"/>
    <w:basedOn w:val="Normal"/>
    <w:link w:val="HeaderChar"/>
    <w:uiPriority w:val="3"/>
    <w:rsid w:val="00EA27E2"/>
    <w:pPr>
      <w:tabs>
        <w:tab w:val="center" w:pos="4513"/>
        <w:tab w:val="right" w:pos="9027"/>
      </w:tabs>
      <w:jc w:val="left"/>
    </w:pPr>
    <w:rPr>
      <w:szCs w:val="18"/>
      <w:lang w:eastAsia="en-GB"/>
    </w:rPr>
  </w:style>
  <w:style w:type="character" w:customStyle="1" w:styleId="HeaderChar">
    <w:name w:val="Header Char"/>
    <w:link w:val="Header"/>
    <w:uiPriority w:val="5"/>
    <w:rsid w:val="00EA27E2"/>
    <w:rPr>
      <w:rFonts w:ascii="Verdana" w:hAnsi="Verdana"/>
      <w:sz w:val="18"/>
      <w:szCs w:val="18"/>
      <w:lang w:val="fr-FR"/>
    </w:rPr>
  </w:style>
  <w:style w:type="numbering" w:customStyle="1" w:styleId="LegalHeadings">
    <w:name w:val="LegalHeadings"/>
    <w:uiPriority w:val="99"/>
    <w:rsid w:val="00EA27E2"/>
    <w:pPr>
      <w:numPr>
        <w:numId w:val="6"/>
      </w:numPr>
    </w:pPr>
  </w:style>
  <w:style w:type="paragraph" w:styleId="ListBullet">
    <w:name w:val="List Bullet"/>
    <w:basedOn w:val="Normal"/>
    <w:uiPriority w:val="1"/>
    <w:rsid w:val="00EA27E2"/>
    <w:pPr>
      <w:numPr>
        <w:numId w:val="7"/>
      </w:numPr>
      <w:spacing w:after="240"/>
    </w:pPr>
    <w:rPr>
      <w:rFonts w:eastAsiaTheme="minorHAnsi" w:cstheme="minorBidi"/>
    </w:rPr>
  </w:style>
  <w:style w:type="paragraph" w:styleId="ListBullet2">
    <w:name w:val="List Bullet 2"/>
    <w:basedOn w:val="Normal"/>
    <w:uiPriority w:val="1"/>
    <w:rsid w:val="00EA27E2"/>
    <w:pPr>
      <w:numPr>
        <w:ilvl w:val="1"/>
        <w:numId w:val="7"/>
      </w:numPr>
      <w:spacing w:after="240"/>
    </w:pPr>
    <w:rPr>
      <w:rFonts w:eastAsiaTheme="minorHAnsi" w:cstheme="minorBidi"/>
    </w:rPr>
  </w:style>
  <w:style w:type="paragraph" w:styleId="ListBullet3">
    <w:name w:val="List Bullet 3"/>
    <w:basedOn w:val="Normal"/>
    <w:uiPriority w:val="1"/>
    <w:rsid w:val="00EA27E2"/>
    <w:pPr>
      <w:numPr>
        <w:ilvl w:val="2"/>
        <w:numId w:val="7"/>
      </w:numPr>
      <w:spacing w:after="240"/>
    </w:pPr>
    <w:rPr>
      <w:rFonts w:eastAsiaTheme="minorHAnsi" w:cstheme="minorBidi"/>
    </w:rPr>
  </w:style>
  <w:style w:type="paragraph" w:styleId="ListBullet4">
    <w:name w:val="List Bullet 4"/>
    <w:basedOn w:val="Normal"/>
    <w:uiPriority w:val="1"/>
    <w:rsid w:val="00EA27E2"/>
    <w:pPr>
      <w:numPr>
        <w:ilvl w:val="3"/>
        <w:numId w:val="7"/>
      </w:numPr>
      <w:spacing w:after="240"/>
    </w:pPr>
    <w:rPr>
      <w:rFonts w:eastAsiaTheme="minorHAnsi" w:cstheme="minorBidi"/>
    </w:rPr>
  </w:style>
  <w:style w:type="paragraph" w:styleId="ListBullet5">
    <w:name w:val="List Bullet 5"/>
    <w:basedOn w:val="Normal"/>
    <w:uiPriority w:val="1"/>
    <w:rsid w:val="00EA27E2"/>
    <w:pPr>
      <w:numPr>
        <w:ilvl w:val="4"/>
        <w:numId w:val="7"/>
      </w:numPr>
      <w:spacing w:after="240"/>
    </w:pPr>
    <w:rPr>
      <w:rFonts w:eastAsiaTheme="minorHAnsi" w:cstheme="minorBidi"/>
    </w:rPr>
  </w:style>
  <w:style w:type="paragraph" w:styleId="ListParagraph">
    <w:name w:val="List Paragraph"/>
    <w:basedOn w:val="Normal"/>
    <w:uiPriority w:val="59"/>
    <w:semiHidden/>
    <w:qFormat/>
    <w:rsid w:val="00EA27E2"/>
    <w:pPr>
      <w:ind w:left="720"/>
      <w:contextualSpacing/>
    </w:pPr>
    <w:rPr>
      <w:rFonts w:eastAsiaTheme="minorHAnsi" w:cstheme="minorBidi"/>
    </w:rPr>
  </w:style>
  <w:style w:type="numbering" w:customStyle="1" w:styleId="ListBullets">
    <w:name w:val="ListBullets"/>
    <w:uiPriority w:val="99"/>
    <w:rsid w:val="00EA27E2"/>
    <w:pPr>
      <w:numPr>
        <w:numId w:val="7"/>
      </w:numPr>
    </w:pPr>
  </w:style>
  <w:style w:type="paragraph" w:customStyle="1" w:styleId="Quotation">
    <w:name w:val="Quotation"/>
    <w:basedOn w:val="Normal"/>
    <w:uiPriority w:val="5"/>
    <w:qFormat/>
    <w:rsid w:val="00EA27E2"/>
    <w:pPr>
      <w:spacing w:after="240"/>
      <w:ind w:left="567" w:right="567"/>
    </w:pPr>
    <w:rPr>
      <w:szCs w:val="18"/>
      <w:lang w:eastAsia="en-GB"/>
    </w:rPr>
  </w:style>
  <w:style w:type="paragraph" w:customStyle="1" w:styleId="QuotationDouble">
    <w:name w:val="Quotation Double"/>
    <w:basedOn w:val="Normal"/>
    <w:uiPriority w:val="5"/>
    <w:qFormat/>
    <w:rsid w:val="00EA27E2"/>
    <w:pPr>
      <w:spacing w:after="240"/>
      <w:ind w:left="1134" w:right="1134"/>
    </w:pPr>
    <w:rPr>
      <w:szCs w:val="18"/>
      <w:lang w:eastAsia="en-GB"/>
    </w:rPr>
  </w:style>
  <w:style w:type="paragraph" w:styleId="Subtitle">
    <w:name w:val="Subtitle"/>
    <w:basedOn w:val="Normal"/>
    <w:next w:val="Normal"/>
    <w:link w:val="SubtitleChar"/>
    <w:uiPriority w:val="6"/>
    <w:qFormat/>
    <w:rsid w:val="00EA27E2"/>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A27E2"/>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D420F2"/>
    <w:pPr>
      <w:spacing w:after="240"/>
      <w:outlineLvl w:val="0"/>
    </w:pPr>
    <w:rPr>
      <w:b/>
      <w:caps/>
      <w:color w:val="006283"/>
    </w:rPr>
  </w:style>
  <w:style w:type="paragraph" w:customStyle="1" w:styleId="SummarySubheader">
    <w:name w:val="SummarySubheader"/>
    <w:basedOn w:val="Normal"/>
    <w:uiPriority w:val="4"/>
    <w:qFormat/>
    <w:rsid w:val="00EE26BA"/>
    <w:pPr>
      <w:spacing w:after="240"/>
      <w:outlineLvl w:val="1"/>
    </w:pPr>
    <w:rPr>
      <w:rFonts w:eastAsiaTheme="minorHAnsi" w:cstheme="minorBidi"/>
      <w:b/>
      <w:color w:val="006283"/>
    </w:rPr>
  </w:style>
  <w:style w:type="paragraph" w:customStyle="1" w:styleId="SummaryText">
    <w:name w:val="SummaryText"/>
    <w:basedOn w:val="Normal"/>
    <w:uiPriority w:val="4"/>
    <w:qFormat/>
    <w:rsid w:val="006A41F1"/>
    <w:pPr>
      <w:numPr>
        <w:numId w:val="8"/>
      </w:numPr>
      <w:spacing w:after="240"/>
      <w:ind w:left="0" w:firstLine="0"/>
    </w:pPr>
  </w:style>
  <w:style w:type="paragraph" w:styleId="TableofAuthorities">
    <w:name w:val="table of authorities"/>
    <w:basedOn w:val="Normal"/>
    <w:next w:val="Normal"/>
    <w:uiPriority w:val="39"/>
    <w:rsid w:val="00EA27E2"/>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EA27E2"/>
    <w:pPr>
      <w:tabs>
        <w:tab w:val="left" w:pos="567"/>
        <w:tab w:val="right" w:leader="dot" w:pos="9027"/>
      </w:tabs>
      <w:spacing w:after="120"/>
      <w:ind w:right="720"/>
    </w:pPr>
    <w:rPr>
      <w:rFonts w:eastAsia="Times New Roman"/>
      <w:szCs w:val="20"/>
      <w:lang w:eastAsia="en-GB"/>
    </w:rPr>
  </w:style>
  <w:style w:type="paragraph" w:styleId="Title">
    <w:name w:val="Title"/>
    <w:basedOn w:val="Normal"/>
    <w:next w:val="Normal"/>
    <w:link w:val="TitleChar"/>
    <w:uiPriority w:val="5"/>
    <w:qFormat/>
    <w:rsid w:val="00D420F2"/>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D420F2"/>
    <w:rPr>
      <w:rFonts w:ascii="Verdana" w:eastAsiaTheme="majorEastAsia" w:hAnsi="Verdana" w:cstheme="majorBidi"/>
      <w:b/>
      <w:caps/>
      <w:color w:val="006283"/>
      <w:kern w:val="28"/>
      <w:sz w:val="18"/>
      <w:szCs w:val="52"/>
      <w:lang w:val="fr-FR" w:eastAsia="en-US"/>
    </w:rPr>
  </w:style>
  <w:style w:type="paragraph" w:customStyle="1" w:styleId="Title2">
    <w:name w:val="Title 2"/>
    <w:basedOn w:val="Normal"/>
    <w:next w:val="Normal"/>
    <w:uiPriority w:val="5"/>
    <w:qFormat/>
    <w:rsid w:val="00D420F2"/>
    <w:pPr>
      <w:spacing w:after="360"/>
      <w:jc w:val="center"/>
    </w:pPr>
    <w:rPr>
      <w:caps/>
      <w:color w:val="006283"/>
      <w:szCs w:val="18"/>
      <w:lang w:eastAsia="en-GB"/>
    </w:rPr>
  </w:style>
  <w:style w:type="paragraph" w:customStyle="1" w:styleId="Title3">
    <w:name w:val="Title 3"/>
    <w:basedOn w:val="Normal"/>
    <w:next w:val="Normal"/>
    <w:uiPriority w:val="5"/>
    <w:qFormat/>
    <w:rsid w:val="00D420F2"/>
    <w:pPr>
      <w:spacing w:after="360"/>
      <w:jc w:val="center"/>
    </w:pPr>
    <w:rPr>
      <w:i/>
      <w:color w:val="006283"/>
      <w:szCs w:val="18"/>
      <w:lang w:eastAsia="en-GB"/>
    </w:rPr>
  </w:style>
  <w:style w:type="paragraph" w:customStyle="1" w:styleId="TitleCountry">
    <w:name w:val="Title Country"/>
    <w:basedOn w:val="Normal"/>
    <w:next w:val="Normal"/>
    <w:uiPriority w:val="5"/>
    <w:qFormat/>
    <w:rsid w:val="00D420F2"/>
    <w:pPr>
      <w:spacing w:after="360"/>
      <w:jc w:val="center"/>
    </w:pPr>
    <w:rPr>
      <w:smallCaps/>
      <w:color w:val="006283"/>
      <w:szCs w:val="18"/>
      <w:lang w:eastAsia="en-GB"/>
    </w:rPr>
  </w:style>
  <w:style w:type="paragraph" w:styleId="TOC1">
    <w:name w:val="toc 1"/>
    <w:basedOn w:val="Normal"/>
    <w:next w:val="Normal"/>
    <w:autoRedefine/>
    <w:uiPriority w:val="39"/>
    <w:rsid w:val="00EA27E2"/>
    <w:pPr>
      <w:tabs>
        <w:tab w:val="right" w:leader="dot" w:pos="9027"/>
      </w:tabs>
      <w:spacing w:before="120" w:after="120"/>
      <w:jc w:val="left"/>
    </w:pPr>
    <w:rPr>
      <w:b/>
      <w:caps/>
      <w:szCs w:val="18"/>
      <w:lang w:eastAsia="en-GB"/>
    </w:rPr>
  </w:style>
  <w:style w:type="paragraph" w:styleId="TOC2">
    <w:name w:val="toc 2"/>
    <w:basedOn w:val="Normal"/>
    <w:next w:val="Normal"/>
    <w:autoRedefine/>
    <w:uiPriority w:val="39"/>
    <w:rsid w:val="00EA27E2"/>
    <w:pPr>
      <w:tabs>
        <w:tab w:val="right" w:leader="dot" w:pos="9027"/>
      </w:tabs>
      <w:spacing w:before="120" w:after="120"/>
      <w:jc w:val="left"/>
    </w:pPr>
    <w:rPr>
      <w:szCs w:val="18"/>
      <w:lang w:eastAsia="en-GB"/>
    </w:rPr>
  </w:style>
  <w:style w:type="paragraph" w:styleId="TOC3">
    <w:name w:val="toc 3"/>
    <w:basedOn w:val="Normal"/>
    <w:next w:val="Normal"/>
    <w:autoRedefine/>
    <w:uiPriority w:val="39"/>
    <w:rsid w:val="00EA27E2"/>
    <w:pPr>
      <w:tabs>
        <w:tab w:val="right" w:leader="dot" w:pos="9027"/>
      </w:tabs>
      <w:spacing w:before="120" w:after="120"/>
      <w:jc w:val="left"/>
    </w:pPr>
    <w:rPr>
      <w:szCs w:val="18"/>
      <w:lang w:eastAsia="en-GB"/>
    </w:rPr>
  </w:style>
  <w:style w:type="paragraph" w:styleId="TOC4">
    <w:name w:val="toc 4"/>
    <w:basedOn w:val="Normal"/>
    <w:next w:val="Normal"/>
    <w:autoRedefine/>
    <w:uiPriority w:val="39"/>
    <w:rsid w:val="00EA27E2"/>
    <w:pPr>
      <w:tabs>
        <w:tab w:val="right" w:leader="dot" w:pos="9027"/>
      </w:tabs>
      <w:spacing w:before="120" w:after="120"/>
      <w:jc w:val="left"/>
    </w:pPr>
    <w:rPr>
      <w:szCs w:val="18"/>
      <w:lang w:eastAsia="en-GB"/>
    </w:rPr>
  </w:style>
  <w:style w:type="paragraph" w:styleId="TOC5">
    <w:name w:val="toc 5"/>
    <w:basedOn w:val="Normal"/>
    <w:next w:val="Normal"/>
    <w:autoRedefine/>
    <w:uiPriority w:val="39"/>
    <w:rsid w:val="00EA27E2"/>
    <w:pPr>
      <w:tabs>
        <w:tab w:val="right" w:leader="dot" w:pos="9027"/>
      </w:tabs>
      <w:spacing w:before="120" w:after="120"/>
      <w:jc w:val="left"/>
    </w:pPr>
    <w:rPr>
      <w:szCs w:val="18"/>
      <w:lang w:eastAsia="en-GB"/>
    </w:rPr>
  </w:style>
  <w:style w:type="paragraph" w:styleId="TOC6">
    <w:name w:val="toc 6"/>
    <w:basedOn w:val="Normal"/>
    <w:next w:val="Normal"/>
    <w:autoRedefine/>
    <w:uiPriority w:val="39"/>
    <w:rsid w:val="00EA27E2"/>
    <w:pPr>
      <w:tabs>
        <w:tab w:val="right" w:leader="dot" w:pos="9027"/>
      </w:tabs>
      <w:spacing w:before="120" w:after="120"/>
      <w:jc w:val="left"/>
    </w:pPr>
    <w:rPr>
      <w:szCs w:val="18"/>
      <w:lang w:eastAsia="en-GB"/>
    </w:rPr>
  </w:style>
  <w:style w:type="paragraph" w:styleId="TOC7">
    <w:name w:val="toc 7"/>
    <w:basedOn w:val="Normal"/>
    <w:next w:val="Normal"/>
    <w:autoRedefine/>
    <w:uiPriority w:val="39"/>
    <w:rsid w:val="00EA27E2"/>
    <w:pPr>
      <w:tabs>
        <w:tab w:val="left" w:pos="851"/>
        <w:tab w:val="right" w:leader="dot" w:pos="9027"/>
      </w:tabs>
      <w:spacing w:before="120" w:after="120"/>
      <w:ind w:left="567"/>
      <w:jc w:val="left"/>
    </w:pPr>
    <w:rPr>
      <w:szCs w:val="18"/>
      <w:lang w:eastAsia="en-GB"/>
    </w:rPr>
  </w:style>
  <w:style w:type="paragraph" w:styleId="TOC8">
    <w:name w:val="toc 8"/>
    <w:basedOn w:val="Normal"/>
    <w:next w:val="Normal"/>
    <w:autoRedefine/>
    <w:uiPriority w:val="39"/>
    <w:rsid w:val="00EA27E2"/>
    <w:pPr>
      <w:tabs>
        <w:tab w:val="left" w:pos="851"/>
        <w:tab w:val="left" w:pos="1134"/>
        <w:tab w:val="right" w:leader="dot" w:pos="9027"/>
      </w:tabs>
      <w:spacing w:before="120" w:after="120"/>
      <w:ind w:left="850"/>
      <w:jc w:val="left"/>
    </w:pPr>
    <w:rPr>
      <w:szCs w:val="18"/>
      <w:lang w:eastAsia="en-GB"/>
    </w:rPr>
  </w:style>
  <w:style w:type="paragraph" w:styleId="TOC9">
    <w:name w:val="toc 9"/>
    <w:basedOn w:val="Normal"/>
    <w:next w:val="Normal"/>
    <w:autoRedefine/>
    <w:uiPriority w:val="39"/>
    <w:rsid w:val="00EA27E2"/>
    <w:pPr>
      <w:tabs>
        <w:tab w:val="left" w:pos="851"/>
        <w:tab w:val="left" w:pos="1134"/>
        <w:tab w:val="left" w:pos="1418"/>
        <w:tab w:val="right" w:leader="dot" w:pos="9027"/>
      </w:tabs>
      <w:spacing w:before="120" w:after="120"/>
      <w:ind w:left="1134"/>
      <w:jc w:val="left"/>
    </w:pPr>
    <w:rPr>
      <w:szCs w:val="18"/>
      <w:lang w:eastAsia="en-GB"/>
    </w:rPr>
  </w:style>
  <w:style w:type="paragraph" w:styleId="TOCHeading">
    <w:name w:val="TOC Heading"/>
    <w:basedOn w:val="Normal"/>
    <w:next w:val="Normal"/>
    <w:uiPriority w:val="39"/>
    <w:qFormat/>
    <w:rsid w:val="00EA27E2"/>
    <w:pPr>
      <w:spacing w:before="240"/>
      <w:jc w:val="center"/>
    </w:pPr>
    <w:rPr>
      <w:rFonts w:eastAsia="Times New Roman"/>
      <w:b/>
      <w:bCs/>
      <w:szCs w:val="28"/>
      <w:lang w:eastAsia="en-GB"/>
    </w:rPr>
  </w:style>
  <w:style w:type="table" w:customStyle="1" w:styleId="WTOBox1">
    <w:name w:val="WTOBox1"/>
    <w:basedOn w:val="TableNormal"/>
    <w:uiPriority w:val="99"/>
    <w:rsid w:val="00E827D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E827D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EA27E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EE26BA"/>
    <w:pPr>
      <w:keepNext/>
      <w:keepLines/>
      <w:spacing w:after="240"/>
      <w:jc w:val="left"/>
    </w:pPr>
    <w:rPr>
      <w:rFonts w:eastAsia="Times New Roman"/>
      <w:b/>
      <w:caps/>
      <w:color w:val="006283"/>
      <w:sz w:val="28"/>
    </w:rPr>
  </w:style>
  <w:style w:type="table" w:styleId="TableGrid">
    <w:name w:val="Table Grid"/>
    <w:basedOn w:val="TableNormal"/>
    <w:uiPriority w:val="59"/>
    <w:rsid w:val="0029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rsid w:val="00D420F2"/>
    <w:pPr>
      <w:spacing w:before="120"/>
    </w:pPr>
    <w:rPr>
      <w:rFonts w:asciiTheme="majorHAnsi" w:eastAsiaTheme="majorEastAsia" w:hAnsiTheme="majorHAnsi" w:cstheme="majorBidi"/>
      <w:b/>
      <w:bCs/>
      <w:szCs w:val="24"/>
    </w:rPr>
  </w:style>
  <w:style w:type="paragraph" w:customStyle="1" w:styleId="NoteText">
    <w:name w:val="Note Text"/>
    <w:basedOn w:val="Normal"/>
    <w:uiPriority w:val="4"/>
    <w:qFormat/>
    <w:rsid w:val="003553C7"/>
    <w:pPr>
      <w:tabs>
        <w:tab w:val="left" w:pos="851"/>
      </w:tabs>
      <w:ind w:left="851" w:hanging="851"/>
      <w:jc w:val="left"/>
    </w:pPr>
    <w:rPr>
      <w:sz w:val="16"/>
    </w:rPr>
  </w:style>
  <w:style w:type="character" w:styleId="Hyperlink">
    <w:name w:val="Hyperlink"/>
    <w:basedOn w:val="DefaultParagraphFont"/>
    <w:uiPriority w:val="9"/>
    <w:unhideWhenUsed/>
    <w:rsid w:val="000E24C5"/>
    <w:rPr>
      <w:color w:val="0000FF" w:themeColor="hyperlink"/>
      <w:u w:val="single"/>
    </w:rPr>
  </w:style>
  <w:style w:type="paragraph" w:styleId="Bibliography">
    <w:name w:val="Bibliography"/>
    <w:basedOn w:val="Normal"/>
    <w:next w:val="Normal"/>
    <w:uiPriority w:val="49"/>
    <w:semiHidden/>
    <w:unhideWhenUsed/>
    <w:rsid w:val="00F6594D"/>
  </w:style>
  <w:style w:type="paragraph" w:styleId="BlockText">
    <w:name w:val="Block Text"/>
    <w:basedOn w:val="Normal"/>
    <w:uiPriority w:val="99"/>
    <w:semiHidden/>
    <w:unhideWhenUsed/>
    <w:rsid w:val="00F6594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F6594D"/>
    <w:pPr>
      <w:numPr>
        <w:ilvl w:val="0"/>
        <w:numId w:val="0"/>
      </w:numPr>
      <w:spacing w:after="0"/>
      <w:ind w:firstLine="360"/>
    </w:pPr>
    <w:rPr>
      <w:rFonts w:eastAsia="Calibri" w:cs="Times New Roman"/>
    </w:rPr>
  </w:style>
  <w:style w:type="character" w:customStyle="1" w:styleId="BodyTextFirstIndentChar">
    <w:name w:val="Body Text First Indent Char"/>
    <w:basedOn w:val="BodyTextChar"/>
    <w:link w:val="BodyTextFirstIndent"/>
    <w:uiPriority w:val="99"/>
    <w:semiHidden/>
    <w:rsid w:val="00F6594D"/>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F6594D"/>
    <w:pPr>
      <w:spacing w:after="120"/>
      <w:ind w:left="283"/>
    </w:pPr>
  </w:style>
  <w:style w:type="character" w:customStyle="1" w:styleId="BodyTextIndentChar">
    <w:name w:val="Body Text Indent Char"/>
    <w:basedOn w:val="DefaultParagraphFont"/>
    <w:link w:val="BodyTextIndent"/>
    <w:uiPriority w:val="99"/>
    <w:semiHidden/>
    <w:rsid w:val="00F6594D"/>
    <w:rPr>
      <w:rFonts w:ascii="Verdana" w:hAnsi="Verdana"/>
      <w:sz w:val="18"/>
      <w:szCs w:val="22"/>
      <w:lang w:val="fr-FR" w:eastAsia="en-US"/>
    </w:rPr>
  </w:style>
  <w:style w:type="paragraph" w:styleId="BodyTextFirstIndent2">
    <w:name w:val="Body Text First Indent 2"/>
    <w:basedOn w:val="BodyTextIndent"/>
    <w:link w:val="BodyTextFirstIndent2Char"/>
    <w:uiPriority w:val="99"/>
    <w:semiHidden/>
    <w:unhideWhenUsed/>
    <w:rsid w:val="00F6594D"/>
    <w:pPr>
      <w:spacing w:after="0"/>
      <w:ind w:left="360" w:firstLine="360"/>
    </w:pPr>
  </w:style>
  <w:style w:type="character" w:customStyle="1" w:styleId="BodyTextFirstIndent2Char">
    <w:name w:val="Body Text First Indent 2 Char"/>
    <w:basedOn w:val="BodyTextIndentChar"/>
    <w:link w:val="BodyTextFirstIndent2"/>
    <w:uiPriority w:val="99"/>
    <w:semiHidden/>
    <w:rsid w:val="00F6594D"/>
    <w:rPr>
      <w:rFonts w:ascii="Verdana" w:hAnsi="Verdana"/>
      <w:sz w:val="18"/>
      <w:szCs w:val="22"/>
      <w:lang w:val="fr-FR" w:eastAsia="en-US"/>
    </w:rPr>
  </w:style>
  <w:style w:type="paragraph" w:styleId="BodyTextIndent2">
    <w:name w:val="Body Text Indent 2"/>
    <w:basedOn w:val="Normal"/>
    <w:link w:val="BodyTextIndent2Char"/>
    <w:uiPriority w:val="99"/>
    <w:semiHidden/>
    <w:unhideWhenUsed/>
    <w:rsid w:val="00F6594D"/>
    <w:pPr>
      <w:spacing w:after="120" w:line="480" w:lineRule="auto"/>
      <w:ind w:left="283"/>
    </w:pPr>
  </w:style>
  <w:style w:type="character" w:customStyle="1" w:styleId="BodyTextIndent2Char">
    <w:name w:val="Body Text Indent 2 Char"/>
    <w:basedOn w:val="DefaultParagraphFont"/>
    <w:link w:val="BodyTextIndent2"/>
    <w:uiPriority w:val="99"/>
    <w:semiHidden/>
    <w:rsid w:val="00F6594D"/>
    <w:rPr>
      <w:rFonts w:ascii="Verdana" w:hAnsi="Verdana"/>
      <w:sz w:val="18"/>
      <w:szCs w:val="22"/>
      <w:lang w:val="fr-FR" w:eastAsia="en-US"/>
    </w:rPr>
  </w:style>
  <w:style w:type="paragraph" w:styleId="BodyTextIndent3">
    <w:name w:val="Body Text Indent 3"/>
    <w:basedOn w:val="Normal"/>
    <w:link w:val="BodyTextIndent3Char"/>
    <w:uiPriority w:val="99"/>
    <w:semiHidden/>
    <w:unhideWhenUsed/>
    <w:rsid w:val="00F6594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6594D"/>
    <w:rPr>
      <w:rFonts w:ascii="Verdana" w:hAnsi="Verdana"/>
      <w:sz w:val="16"/>
      <w:szCs w:val="16"/>
      <w:lang w:val="fr-FR" w:eastAsia="en-US"/>
    </w:rPr>
  </w:style>
  <w:style w:type="character" w:styleId="BookTitle">
    <w:name w:val="Book Title"/>
    <w:basedOn w:val="DefaultParagraphFont"/>
    <w:uiPriority w:val="99"/>
    <w:semiHidden/>
    <w:unhideWhenUsed/>
    <w:qFormat/>
    <w:rsid w:val="00F6594D"/>
    <w:rPr>
      <w:b/>
      <w:bCs/>
      <w:smallCaps/>
      <w:spacing w:val="5"/>
    </w:rPr>
  </w:style>
  <w:style w:type="paragraph" w:styleId="Closing">
    <w:name w:val="Closing"/>
    <w:basedOn w:val="Normal"/>
    <w:link w:val="ClosingChar"/>
    <w:uiPriority w:val="99"/>
    <w:semiHidden/>
    <w:unhideWhenUsed/>
    <w:rsid w:val="00F6594D"/>
    <w:pPr>
      <w:ind w:left="4252"/>
    </w:pPr>
  </w:style>
  <w:style w:type="character" w:customStyle="1" w:styleId="ClosingChar">
    <w:name w:val="Closing Char"/>
    <w:basedOn w:val="DefaultParagraphFont"/>
    <w:link w:val="Closing"/>
    <w:uiPriority w:val="99"/>
    <w:semiHidden/>
    <w:rsid w:val="00F6594D"/>
    <w:rPr>
      <w:rFonts w:ascii="Verdana" w:hAnsi="Verdana"/>
      <w:sz w:val="18"/>
      <w:szCs w:val="22"/>
      <w:lang w:val="fr-FR" w:eastAsia="en-US"/>
    </w:rPr>
  </w:style>
  <w:style w:type="character" w:styleId="CommentReference">
    <w:name w:val="annotation reference"/>
    <w:basedOn w:val="DefaultParagraphFont"/>
    <w:uiPriority w:val="99"/>
    <w:semiHidden/>
    <w:unhideWhenUsed/>
    <w:rsid w:val="00F6594D"/>
    <w:rPr>
      <w:sz w:val="16"/>
      <w:szCs w:val="16"/>
    </w:rPr>
  </w:style>
  <w:style w:type="paragraph" w:styleId="CommentText">
    <w:name w:val="annotation text"/>
    <w:basedOn w:val="Normal"/>
    <w:link w:val="CommentTextChar"/>
    <w:uiPriority w:val="99"/>
    <w:unhideWhenUsed/>
    <w:rsid w:val="00F6594D"/>
    <w:rPr>
      <w:sz w:val="20"/>
      <w:szCs w:val="20"/>
    </w:rPr>
  </w:style>
  <w:style w:type="character" w:customStyle="1" w:styleId="CommentTextChar">
    <w:name w:val="Comment Text Char"/>
    <w:basedOn w:val="DefaultParagraphFont"/>
    <w:link w:val="CommentText"/>
    <w:uiPriority w:val="99"/>
    <w:semiHidden/>
    <w:rsid w:val="00F6594D"/>
    <w:rPr>
      <w:rFonts w:ascii="Verdana" w:hAnsi="Verdana"/>
      <w:lang w:val="fr-FR" w:eastAsia="en-US"/>
    </w:rPr>
  </w:style>
  <w:style w:type="paragraph" w:styleId="CommentSubject">
    <w:name w:val="annotation subject"/>
    <w:basedOn w:val="CommentText"/>
    <w:next w:val="CommentText"/>
    <w:link w:val="CommentSubjectChar"/>
    <w:uiPriority w:val="99"/>
    <w:unhideWhenUsed/>
    <w:rsid w:val="00F6594D"/>
    <w:rPr>
      <w:b/>
      <w:bCs/>
    </w:rPr>
  </w:style>
  <w:style w:type="character" w:customStyle="1" w:styleId="CommentSubjectChar">
    <w:name w:val="Comment Subject Char"/>
    <w:basedOn w:val="CommentTextChar"/>
    <w:link w:val="CommentSubject"/>
    <w:uiPriority w:val="99"/>
    <w:semiHidden/>
    <w:rsid w:val="00F6594D"/>
    <w:rPr>
      <w:rFonts w:ascii="Verdana" w:hAnsi="Verdana"/>
      <w:b/>
      <w:bCs/>
      <w:lang w:val="fr-FR" w:eastAsia="en-US"/>
    </w:rPr>
  </w:style>
  <w:style w:type="paragraph" w:styleId="Date">
    <w:name w:val="Date"/>
    <w:basedOn w:val="Normal"/>
    <w:next w:val="Normal"/>
    <w:link w:val="DateChar"/>
    <w:uiPriority w:val="99"/>
    <w:semiHidden/>
    <w:unhideWhenUsed/>
    <w:rsid w:val="00F6594D"/>
  </w:style>
  <w:style w:type="character" w:customStyle="1" w:styleId="DateChar">
    <w:name w:val="Date Char"/>
    <w:basedOn w:val="DefaultParagraphFont"/>
    <w:link w:val="Date"/>
    <w:uiPriority w:val="99"/>
    <w:semiHidden/>
    <w:rsid w:val="00F6594D"/>
    <w:rPr>
      <w:rFonts w:ascii="Verdana" w:hAnsi="Verdana"/>
      <w:sz w:val="18"/>
      <w:szCs w:val="22"/>
      <w:lang w:val="fr-FR" w:eastAsia="en-US"/>
    </w:rPr>
  </w:style>
  <w:style w:type="paragraph" w:styleId="DocumentMap">
    <w:name w:val="Document Map"/>
    <w:basedOn w:val="Normal"/>
    <w:link w:val="DocumentMapChar"/>
    <w:uiPriority w:val="99"/>
    <w:semiHidden/>
    <w:unhideWhenUsed/>
    <w:rsid w:val="00F6594D"/>
    <w:rPr>
      <w:rFonts w:ascii="Tahoma" w:hAnsi="Tahoma" w:cs="Tahoma"/>
      <w:sz w:val="16"/>
      <w:szCs w:val="16"/>
    </w:rPr>
  </w:style>
  <w:style w:type="character" w:customStyle="1" w:styleId="DocumentMapChar">
    <w:name w:val="Document Map Char"/>
    <w:basedOn w:val="DefaultParagraphFont"/>
    <w:link w:val="DocumentMap"/>
    <w:uiPriority w:val="99"/>
    <w:semiHidden/>
    <w:rsid w:val="00F6594D"/>
    <w:rPr>
      <w:rFonts w:ascii="Tahoma" w:hAnsi="Tahoma" w:cs="Tahoma"/>
      <w:sz w:val="16"/>
      <w:szCs w:val="16"/>
      <w:lang w:val="fr-FR" w:eastAsia="en-US"/>
    </w:rPr>
  </w:style>
  <w:style w:type="paragraph" w:styleId="E-mailSignature">
    <w:name w:val="E-mail Signature"/>
    <w:basedOn w:val="Normal"/>
    <w:link w:val="E-mailSignatureChar"/>
    <w:uiPriority w:val="99"/>
    <w:semiHidden/>
    <w:unhideWhenUsed/>
    <w:rsid w:val="00F6594D"/>
  </w:style>
  <w:style w:type="character" w:customStyle="1" w:styleId="E-mailSignatureChar">
    <w:name w:val="E-mail Signature Char"/>
    <w:basedOn w:val="DefaultParagraphFont"/>
    <w:link w:val="E-mailSignature"/>
    <w:uiPriority w:val="99"/>
    <w:semiHidden/>
    <w:rsid w:val="00F6594D"/>
    <w:rPr>
      <w:rFonts w:ascii="Verdana" w:hAnsi="Verdana"/>
      <w:sz w:val="18"/>
      <w:szCs w:val="22"/>
      <w:lang w:val="fr-FR" w:eastAsia="en-US"/>
    </w:rPr>
  </w:style>
  <w:style w:type="character" w:styleId="Emphasis">
    <w:name w:val="Emphasis"/>
    <w:basedOn w:val="DefaultParagraphFont"/>
    <w:uiPriority w:val="99"/>
    <w:semiHidden/>
    <w:unhideWhenUsed/>
    <w:qFormat/>
    <w:rsid w:val="00F6594D"/>
    <w:rPr>
      <w:i/>
      <w:iCs/>
    </w:rPr>
  </w:style>
  <w:style w:type="paragraph" w:styleId="EnvelopeAddress">
    <w:name w:val="envelope address"/>
    <w:basedOn w:val="Normal"/>
    <w:uiPriority w:val="99"/>
    <w:semiHidden/>
    <w:unhideWhenUsed/>
    <w:rsid w:val="00F6594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6594D"/>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F6594D"/>
    <w:rPr>
      <w:color w:val="800080" w:themeColor="followedHyperlink"/>
      <w:u w:val="single"/>
    </w:rPr>
  </w:style>
  <w:style w:type="character" w:styleId="HTMLAcronym">
    <w:name w:val="HTML Acronym"/>
    <w:basedOn w:val="DefaultParagraphFont"/>
    <w:uiPriority w:val="99"/>
    <w:semiHidden/>
    <w:unhideWhenUsed/>
    <w:rsid w:val="00F6594D"/>
  </w:style>
  <w:style w:type="paragraph" w:styleId="HTMLAddress">
    <w:name w:val="HTML Address"/>
    <w:basedOn w:val="Normal"/>
    <w:link w:val="HTMLAddressChar"/>
    <w:uiPriority w:val="99"/>
    <w:semiHidden/>
    <w:unhideWhenUsed/>
    <w:rsid w:val="00F6594D"/>
    <w:rPr>
      <w:i/>
      <w:iCs/>
    </w:rPr>
  </w:style>
  <w:style w:type="character" w:customStyle="1" w:styleId="HTMLAddressChar">
    <w:name w:val="HTML Address Char"/>
    <w:basedOn w:val="DefaultParagraphFont"/>
    <w:link w:val="HTMLAddress"/>
    <w:uiPriority w:val="99"/>
    <w:semiHidden/>
    <w:rsid w:val="00F6594D"/>
    <w:rPr>
      <w:rFonts w:ascii="Verdana" w:hAnsi="Verdana"/>
      <w:i/>
      <w:iCs/>
      <w:sz w:val="18"/>
      <w:szCs w:val="22"/>
      <w:lang w:val="fr-FR" w:eastAsia="en-US"/>
    </w:rPr>
  </w:style>
  <w:style w:type="character" w:styleId="HTMLCite">
    <w:name w:val="HTML Cite"/>
    <w:basedOn w:val="DefaultParagraphFont"/>
    <w:uiPriority w:val="99"/>
    <w:semiHidden/>
    <w:unhideWhenUsed/>
    <w:rsid w:val="00F6594D"/>
    <w:rPr>
      <w:i/>
      <w:iCs/>
    </w:rPr>
  </w:style>
  <w:style w:type="character" w:styleId="HTMLCode">
    <w:name w:val="HTML Code"/>
    <w:basedOn w:val="DefaultParagraphFont"/>
    <w:uiPriority w:val="99"/>
    <w:semiHidden/>
    <w:unhideWhenUsed/>
    <w:rsid w:val="00F6594D"/>
    <w:rPr>
      <w:rFonts w:ascii="Consolas" w:hAnsi="Consolas" w:cs="Consolas"/>
      <w:sz w:val="20"/>
      <w:szCs w:val="20"/>
    </w:rPr>
  </w:style>
  <w:style w:type="character" w:styleId="HTMLDefinition">
    <w:name w:val="HTML Definition"/>
    <w:basedOn w:val="DefaultParagraphFont"/>
    <w:uiPriority w:val="99"/>
    <w:semiHidden/>
    <w:unhideWhenUsed/>
    <w:rsid w:val="00F6594D"/>
    <w:rPr>
      <w:i/>
      <w:iCs/>
    </w:rPr>
  </w:style>
  <w:style w:type="character" w:styleId="HTMLKeyboard">
    <w:name w:val="HTML Keyboard"/>
    <w:basedOn w:val="DefaultParagraphFont"/>
    <w:uiPriority w:val="99"/>
    <w:semiHidden/>
    <w:unhideWhenUsed/>
    <w:rsid w:val="00F6594D"/>
    <w:rPr>
      <w:rFonts w:ascii="Consolas" w:hAnsi="Consolas" w:cs="Consolas"/>
      <w:sz w:val="20"/>
      <w:szCs w:val="20"/>
    </w:rPr>
  </w:style>
  <w:style w:type="paragraph" w:styleId="HTMLPreformatted">
    <w:name w:val="HTML Preformatted"/>
    <w:basedOn w:val="Normal"/>
    <w:link w:val="HTMLPreformattedChar"/>
    <w:uiPriority w:val="99"/>
    <w:semiHidden/>
    <w:unhideWhenUsed/>
    <w:rsid w:val="00F6594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6594D"/>
    <w:rPr>
      <w:rFonts w:ascii="Consolas" w:hAnsi="Consolas" w:cs="Consolas"/>
      <w:lang w:val="fr-FR" w:eastAsia="en-US"/>
    </w:rPr>
  </w:style>
  <w:style w:type="character" w:styleId="HTMLSample">
    <w:name w:val="HTML Sample"/>
    <w:basedOn w:val="DefaultParagraphFont"/>
    <w:uiPriority w:val="99"/>
    <w:semiHidden/>
    <w:unhideWhenUsed/>
    <w:rsid w:val="00F6594D"/>
    <w:rPr>
      <w:rFonts w:ascii="Consolas" w:hAnsi="Consolas" w:cs="Consolas"/>
      <w:sz w:val="24"/>
      <w:szCs w:val="24"/>
    </w:rPr>
  </w:style>
  <w:style w:type="character" w:styleId="HTMLTypewriter">
    <w:name w:val="HTML Typewriter"/>
    <w:basedOn w:val="DefaultParagraphFont"/>
    <w:uiPriority w:val="99"/>
    <w:semiHidden/>
    <w:unhideWhenUsed/>
    <w:rsid w:val="00F6594D"/>
    <w:rPr>
      <w:rFonts w:ascii="Consolas" w:hAnsi="Consolas" w:cs="Consolas"/>
      <w:sz w:val="20"/>
      <w:szCs w:val="20"/>
    </w:rPr>
  </w:style>
  <w:style w:type="character" w:styleId="HTMLVariable">
    <w:name w:val="HTML Variable"/>
    <w:basedOn w:val="DefaultParagraphFont"/>
    <w:uiPriority w:val="99"/>
    <w:semiHidden/>
    <w:unhideWhenUsed/>
    <w:rsid w:val="00F6594D"/>
    <w:rPr>
      <w:i/>
      <w:iCs/>
    </w:rPr>
  </w:style>
  <w:style w:type="paragraph" w:styleId="Index1">
    <w:name w:val="index 1"/>
    <w:basedOn w:val="Normal"/>
    <w:next w:val="Normal"/>
    <w:autoRedefine/>
    <w:uiPriority w:val="99"/>
    <w:semiHidden/>
    <w:unhideWhenUsed/>
    <w:rsid w:val="00F6594D"/>
    <w:pPr>
      <w:ind w:left="180" w:hanging="180"/>
    </w:pPr>
  </w:style>
  <w:style w:type="paragraph" w:styleId="Index2">
    <w:name w:val="index 2"/>
    <w:basedOn w:val="Normal"/>
    <w:next w:val="Normal"/>
    <w:autoRedefine/>
    <w:uiPriority w:val="99"/>
    <w:semiHidden/>
    <w:unhideWhenUsed/>
    <w:rsid w:val="00F6594D"/>
    <w:pPr>
      <w:ind w:left="360" w:hanging="180"/>
    </w:pPr>
  </w:style>
  <w:style w:type="paragraph" w:styleId="Index3">
    <w:name w:val="index 3"/>
    <w:basedOn w:val="Normal"/>
    <w:next w:val="Normal"/>
    <w:autoRedefine/>
    <w:uiPriority w:val="99"/>
    <w:semiHidden/>
    <w:unhideWhenUsed/>
    <w:rsid w:val="00F6594D"/>
    <w:pPr>
      <w:ind w:left="540" w:hanging="180"/>
    </w:pPr>
  </w:style>
  <w:style w:type="paragraph" w:styleId="Index4">
    <w:name w:val="index 4"/>
    <w:basedOn w:val="Normal"/>
    <w:next w:val="Normal"/>
    <w:autoRedefine/>
    <w:uiPriority w:val="99"/>
    <w:semiHidden/>
    <w:unhideWhenUsed/>
    <w:rsid w:val="00F6594D"/>
    <w:pPr>
      <w:ind w:left="720" w:hanging="180"/>
    </w:pPr>
  </w:style>
  <w:style w:type="paragraph" w:styleId="Index5">
    <w:name w:val="index 5"/>
    <w:basedOn w:val="Normal"/>
    <w:next w:val="Normal"/>
    <w:autoRedefine/>
    <w:uiPriority w:val="99"/>
    <w:semiHidden/>
    <w:unhideWhenUsed/>
    <w:rsid w:val="00F6594D"/>
    <w:pPr>
      <w:ind w:left="900" w:hanging="180"/>
    </w:pPr>
  </w:style>
  <w:style w:type="paragraph" w:styleId="Index6">
    <w:name w:val="index 6"/>
    <w:basedOn w:val="Normal"/>
    <w:next w:val="Normal"/>
    <w:autoRedefine/>
    <w:uiPriority w:val="99"/>
    <w:semiHidden/>
    <w:unhideWhenUsed/>
    <w:rsid w:val="00F6594D"/>
    <w:pPr>
      <w:ind w:left="1080" w:hanging="180"/>
    </w:pPr>
  </w:style>
  <w:style w:type="paragraph" w:styleId="Index7">
    <w:name w:val="index 7"/>
    <w:basedOn w:val="Normal"/>
    <w:next w:val="Normal"/>
    <w:autoRedefine/>
    <w:uiPriority w:val="99"/>
    <w:semiHidden/>
    <w:unhideWhenUsed/>
    <w:rsid w:val="00F6594D"/>
    <w:pPr>
      <w:ind w:left="1260" w:hanging="180"/>
    </w:pPr>
  </w:style>
  <w:style w:type="paragraph" w:styleId="Index8">
    <w:name w:val="index 8"/>
    <w:basedOn w:val="Normal"/>
    <w:next w:val="Normal"/>
    <w:autoRedefine/>
    <w:uiPriority w:val="99"/>
    <w:semiHidden/>
    <w:unhideWhenUsed/>
    <w:rsid w:val="00F6594D"/>
    <w:pPr>
      <w:ind w:left="1440" w:hanging="180"/>
    </w:pPr>
  </w:style>
  <w:style w:type="paragraph" w:styleId="Index9">
    <w:name w:val="index 9"/>
    <w:basedOn w:val="Normal"/>
    <w:next w:val="Normal"/>
    <w:autoRedefine/>
    <w:uiPriority w:val="99"/>
    <w:semiHidden/>
    <w:unhideWhenUsed/>
    <w:rsid w:val="00F6594D"/>
    <w:pPr>
      <w:ind w:left="1620" w:hanging="180"/>
    </w:pPr>
  </w:style>
  <w:style w:type="paragraph" w:styleId="IndexHeading">
    <w:name w:val="index heading"/>
    <w:basedOn w:val="Normal"/>
    <w:next w:val="Index1"/>
    <w:uiPriority w:val="99"/>
    <w:semiHidden/>
    <w:unhideWhenUsed/>
    <w:rsid w:val="00F6594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qFormat/>
    <w:rsid w:val="00F6594D"/>
    <w:rPr>
      <w:b/>
      <w:bCs/>
      <w:i/>
      <w:iCs/>
      <w:color w:val="4F81BD" w:themeColor="accent1"/>
    </w:rPr>
  </w:style>
  <w:style w:type="paragraph" w:styleId="IntenseQuote">
    <w:name w:val="Intense Quote"/>
    <w:basedOn w:val="Normal"/>
    <w:next w:val="Normal"/>
    <w:link w:val="IntenseQuoteChar"/>
    <w:uiPriority w:val="59"/>
    <w:semiHidden/>
    <w:unhideWhenUsed/>
    <w:qFormat/>
    <w:rsid w:val="00F6594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F6594D"/>
    <w:rPr>
      <w:rFonts w:ascii="Verdana" w:hAnsi="Verdana"/>
      <w:b/>
      <w:bCs/>
      <w:i/>
      <w:iCs/>
      <w:color w:val="4F81BD" w:themeColor="accent1"/>
      <w:sz w:val="18"/>
      <w:szCs w:val="22"/>
      <w:lang w:val="fr-FR" w:eastAsia="en-US"/>
    </w:rPr>
  </w:style>
  <w:style w:type="character" w:styleId="IntenseReference">
    <w:name w:val="Intense Reference"/>
    <w:basedOn w:val="DefaultParagraphFont"/>
    <w:uiPriority w:val="99"/>
    <w:semiHidden/>
    <w:unhideWhenUsed/>
    <w:qFormat/>
    <w:rsid w:val="00F6594D"/>
    <w:rPr>
      <w:b/>
      <w:bCs/>
      <w:smallCaps/>
      <w:color w:val="C0504D" w:themeColor="accent2"/>
      <w:spacing w:val="5"/>
      <w:u w:val="single"/>
    </w:rPr>
  </w:style>
  <w:style w:type="character" w:styleId="LineNumber">
    <w:name w:val="line number"/>
    <w:basedOn w:val="DefaultParagraphFont"/>
    <w:uiPriority w:val="99"/>
    <w:semiHidden/>
    <w:unhideWhenUsed/>
    <w:rsid w:val="00F6594D"/>
  </w:style>
  <w:style w:type="paragraph" w:styleId="List">
    <w:name w:val="List"/>
    <w:basedOn w:val="Normal"/>
    <w:uiPriority w:val="99"/>
    <w:semiHidden/>
    <w:unhideWhenUsed/>
    <w:rsid w:val="00F6594D"/>
    <w:pPr>
      <w:ind w:left="283" w:hanging="283"/>
      <w:contextualSpacing/>
    </w:pPr>
  </w:style>
  <w:style w:type="paragraph" w:styleId="List2">
    <w:name w:val="List 2"/>
    <w:basedOn w:val="Normal"/>
    <w:uiPriority w:val="99"/>
    <w:semiHidden/>
    <w:unhideWhenUsed/>
    <w:rsid w:val="00F6594D"/>
    <w:pPr>
      <w:ind w:left="566" w:hanging="283"/>
      <w:contextualSpacing/>
    </w:pPr>
  </w:style>
  <w:style w:type="paragraph" w:styleId="List3">
    <w:name w:val="List 3"/>
    <w:basedOn w:val="Normal"/>
    <w:uiPriority w:val="99"/>
    <w:semiHidden/>
    <w:unhideWhenUsed/>
    <w:rsid w:val="00F6594D"/>
    <w:pPr>
      <w:ind w:left="849" w:hanging="283"/>
      <w:contextualSpacing/>
    </w:pPr>
  </w:style>
  <w:style w:type="paragraph" w:styleId="List4">
    <w:name w:val="List 4"/>
    <w:basedOn w:val="Normal"/>
    <w:uiPriority w:val="99"/>
    <w:semiHidden/>
    <w:unhideWhenUsed/>
    <w:rsid w:val="00F6594D"/>
    <w:pPr>
      <w:ind w:left="1132" w:hanging="283"/>
      <w:contextualSpacing/>
    </w:pPr>
  </w:style>
  <w:style w:type="paragraph" w:styleId="List5">
    <w:name w:val="List 5"/>
    <w:basedOn w:val="Normal"/>
    <w:uiPriority w:val="99"/>
    <w:semiHidden/>
    <w:unhideWhenUsed/>
    <w:rsid w:val="00F6594D"/>
    <w:pPr>
      <w:ind w:left="1415" w:hanging="283"/>
      <w:contextualSpacing/>
    </w:pPr>
  </w:style>
  <w:style w:type="paragraph" w:styleId="ListContinue">
    <w:name w:val="List Continue"/>
    <w:basedOn w:val="Normal"/>
    <w:uiPriority w:val="99"/>
    <w:semiHidden/>
    <w:unhideWhenUsed/>
    <w:rsid w:val="00F6594D"/>
    <w:pPr>
      <w:spacing w:after="120"/>
      <w:ind w:left="283"/>
      <w:contextualSpacing/>
    </w:pPr>
  </w:style>
  <w:style w:type="paragraph" w:styleId="ListContinue2">
    <w:name w:val="List Continue 2"/>
    <w:basedOn w:val="Normal"/>
    <w:uiPriority w:val="99"/>
    <w:semiHidden/>
    <w:unhideWhenUsed/>
    <w:rsid w:val="00F6594D"/>
    <w:pPr>
      <w:spacing w:after="120"/>
      <w:ind w:left="566"/>
      <w:contextualSpacing/>
    </w:pPr>
  </w:style>
  <w:style w:type="paragraph" w:styleId="ListContinue3">
    <w:name w:val="List Continue 3"/>
    <w:basedOn w:val="Normal"/>
    <w:uiPriority w:val="99"/>
    <w:semiHidden/>
    <w:unhideWhenUsed/>
    <w:rsid w:val="00F6594D"/>
    <w:pPr>
      <w:spacing w:after="120"/>
      <w:ind w:left="849"/>
      <w:contextualSpacing/>
    </w:pPr>
  </w:style>
  <w:style w:type="paragraph" w:styleId="ListContinue4">
    <w:name w:val="List Continue 4"/>
    <w:basedOn w:val="Normal"/>
    <w:uiPriority w:val="99"/>
    <w:semiHidden/>
    <w:unhideWhenUsed/>
    <w:rsid w:val="00F6594D"/>
    <w:pPr>
      <w:spacing w:after="120"/>
      <w:ind w:left="1132"/>
      <w:contextualSpacing/>
    </w:pPr>
  </w:style>
  <w:style w:type="paragraph" w:styleId="ListContinue5">
    <w:name w:val="List Continue 5"/>
    <w:basedOn w:val="Normal"/>
    <w:uiPriority w:val="99"/>
    <w:semiHidden/>
    <w:unhideWhenUsed/>
    <w:rsid w:val="00F6594D"/>
    <w:pPr>
      <w:spacing w:after="120"/>
      <w:ind w:left="1415"/>
      <w:contextualSpacing/>
    </w:pPr>
  </w:style>
  <w:style w:type="paragraph" w:styleId="ListNumber">
    <w:name w:val="List Number"/>
    <w:basedOn w:val="Normal"/>
    <w:uiPriority w:val="49"/>
    <w:semiHidden/>
    <w:rsid w:val="00F6594D"/>
    <w:pPr>
      <w:numPr>
        <w:numId w:val="1"/>
      </w:numPr>
      <w:contextualSpacing/>
    </w:pPr>
  </w:style>
  <w:style w:type="paragraph" w:styleId="ListNumber2">
    <w:name w:val="List Number 2"/>
    <w:basedOn w:val="Normal"/>
    <w:uiPriority w:val="49"/>
    <w:semiHidden/>
    <w:rsid w:val="00F6594D"/>
    <w:pPr>
      <w:numPr>
        <w:numId w:val="2"/>
      </w:numPr>
      <w:contextualSpacing/>
    </w:pPr>
  </w:style>
  <w:style w:type="paragraph" w:styleId="ListNumber3">
    <w:name w:val="List Number 3"/>
    <w:basedOn w:val="Normal"/>
    <w:uiPriority w:val="49"/>
    <w:semiHidden/>
    <w:rsid w:val="00F6594D"/>
    <w:pPr>
      <w:numPr>
        <w:numId w:val="3"/>
      </w:numPr>
      <w:contextualSpacing/>
    </w:pPr>
  </w:style>
  <w:style w:type="paragraph" w:styleId="ListNumber4">
    <w:name w:val="List Number 4"/>
    <w:basedOn w:val="Normal"/>
    <w:uiPriority w:val="49"/>
    <w:semiHidden/>
    <w:rsid w:val="00F6594D"/>
    <w:pPr>
      <w:numPr>
        <w:numId w:val="4"/>
      </w:numPr>
      <w:contextualSpacing/>
    </w:pPr>
  </w:style>
  <w:style w:type="paragraph" w:styleId="ListNumber5">
    <w:name w:val="List Number 5"/>
    <w:basedOn w:val="Normal"/>
    <w:uiPriority w:val="49"/>
    <w:semiHidden/>
    <w:rsid w:val="00F6594D"/>
    <w:pPr>
      <w:numPr>
        <w:numId w:val="5"/>
      </w:numPr>
      <w:contextualSpacing/>
    </w:pPr>
  </w:style>
  <w:style w:type="paragraph" w:styleId="MacroText">
    <w:name w:val="macro"/>
    <w:link w:val="MacroTextChar"/>
    <w:uiPriority w:val="99"/>
    <w:semiHidden/>
    <w:unhideWhenUsed/>
    <w:rsid w:val="00F6594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MacroTextChar">
    <w:name w:val="Macro Text Char"/>
    <w:basedOn w:val="DefaultParagraphFont"/>
    <w:link w:val="MacroText"/>
    <w:uiPriority w:val="99"/>
    <w:semiHidden/>
    <w:rsid w:val="00F6594D"/>
    <w:rPr>
      <w:rFonts w:ascii="Consolas" w:hAnsi="Consolas" w:cs="Consolas"/>
      <w:lang w:val="fr-FR" w:eastAsia="en-US"/>
    </w:rPr>
  </w:style>
  <w:style w:type="paragraph" w:styleId="MessageHeader">
    <w:name w:val="Message Header"/>
    <w:basedOn w:val="Normal"/>
    <w:link w:val="MessageHeaderChar"/>
    <w:uiPriority w:val="99"/>
    <w:semiHidden/>
    <w:unhideWhenUsed/>
    <w:rsid w:val="00F6594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594D"/>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rsid w:val="00F6594D"/>
    <w:pPr>
      <w:jc w:val="both"/>
    </w:pPr>
    <w:rPr>
      <w:rFonts w:ascii="Verdana" w:hAnsi="Verdana"/>
      <w:sz w:val="18"/>
      <w:szCs w:val="22"/>
      <w:lang w:val="fr-FR" w:eastAsia="en-US"/>
    </w:rPr>
  </w:style>
  <w:style w:type="paragraph" w:styleId="NormalWeb">
    <w:name w:val="Normal (Web)"/>
    <w:basedOn w:val="Normal"/>
    <w:uiPriority w:val="99"/>
    <w:semiHidden/>
    <w:unhideWhenUsed/>
    <w:rsid w:val="00F6594D"/>
    <w:rPr>
      <w:rFonts w:ascii="Times New Roman" w:hAnsi="Times New Roman"/>
      <w:sz w:val="24"/>
      <w:szCs w:val="24"/>
    </w:rPr>
  </w:style>
  <w:style w:type="paragraph" w:styleId="NormalIndent">
    <w:name w:val="Normal Indent"/>
    <w:basedOn w:val="Normal"/>
    <w:uiPriority w:val="99"/>
    <w:semiHidden/>
    <w:unhideWhenUsed/>
    <w:rsid w:val="00F6594D"/>
    <w:pPr>
      <w:ind w:left="567"/>
    </w:pPr>
  </w:style>
  <w:style w:type="paragraph" w:styleId="NoteHeading">
    <w:name w:val="Note Heading"/>
    <w:basedOn w:val="Normal"/>
    <w:next w:val="Normal"/>
    <w:link w:val="NoteHeadingChar"/>
    <w:uiPriority w:val="99"/>
    <w:semiHidden/>
    <w:unhideWhenUsed/>
    <w:rsid w:val="00F6594D"/>
  </w:style>
  <w:style w:type="character" w:customStyle="1" w:styleId="NoteHeadingChar">
    <w:name w:val="Note Heading Char"/>
    <w:basedOn w:val="DefaultParagraphFont"/>
    <w:link w:val="NoteHeading"/>
    <w:uiPriority w:val="99"/>
    <w:semiHidden/>
    <w:rsid w:val="00F6594D"/>
    <w:rPr>
      <w:rFonts w:ascii="Verdana" w:hAnsi="Verdana"/>
      <w:sz w:val="18"/>
      <w:szCs w:val="22"/>
      <w:lang w:val="fr-FR" w:eastAsia="en-US"/>
    </w:rPr>
  </w:style>
  <w:style w:type="character" w:styleId="PageNumber">
    <w:name w:val="page number"/>
    <w:basedOn w:val="DefaultParagraphFont"/>
    <w:uiPriority w:val="99"/>
    <w:semiHidden/>
    <w:unhideWhenUsed/>
    <w:rsid w:val="00F6594D"/>
  </w:style>
  <w:style w:type="character" w:styleId="PlaceholderText">
    <w:name w:val="Placeholder Text"/>
    <w:basedOn w:val="DefaultParagraphFont"/>
    <w:uiPriority w:val="99"/>
    <w:semiHidden/>
    <w:rsid w:val="00F6594D"/>
    <w:rPr>
      <w:color w:val="808080"/>
    </w:rPr>
  </w:style>
  <w:style w:type="paragraph" w:styleId="PlainText">
    <w:name w:val="Plain Text"/>
    <w:basedOn w:val="Normal"/>
    <w:link w:val="PlainTextChar"/>
    <w:uiPriority w:val="99"/>
    <w:unhideWhenUsed/>
    <w:rsid w:val="00F6594D"/>
    <w:rPr>
      <w:rFonts w:ascii="Consolas" w:hAnsi="Consolas" w:cs="Consolas"/>
      <w:sz w:val="21"/>
      <w:szCs w:val="21"/>
    </w:rPr>
  </w:style>
  <w:style w:type="character" w:customStyle="1" w:styleId="PlainTextChar">
    <w:name w:val="Plain Text Char"/>
    <w:basedOn w:val="DefaultParagraphFont"/>
    <w:link w:val="PlainText"/>
    <w:uiPriority w:val="99"/>
    <w:semiHidden/>
    <w:rsid w:val="00F6594D"/>
    <w:rPr>
      <w:rFonts w:ascii="Consolas" w:hAnsi="Consolas" w:cs="Consolas"/>
      <w:sz w:val="21"/>
      <w:szCs w:val="21"/>
      <w:lang w:val="fr-FR" w:eastAsia="en-US"/>
    </w:rPr>
  </w:style>
  <w:style w:type="paragraph" w:styleId="Quote">
    <w:name w:val="Quote"/>
    <w:basedOn w:val="Normal"/>
    <w:next w:val="Normal"/>
    <w:link w:val="QuoteChar"/>
    <w:uiPriority w:val="59"/>
    <w:semiHidden/>
    <w:unhideWhenUsed/>
    <w:qFormat/>
    <w:rsid w:val="00F6594D"/>
    <w:rPr>
      <w:i/>
      <w:iCs/>
      <w:color w:val="000000" w:themeColor="text1"/>
    </w:rPr>
  </w:style>
  <w:style w:type="character" w:customStyle="1" w:styleId="QuoteChar">
    <w:name w:val="Quote Char"/>
    <w:basedOn w:val="DefaultParagraphFont"/>
    <w:link w:val="Quote"/>
    <w:uiPriority w:val="59"/>
    <w:semiHidden/>
    <w:rsid w:val="00F6594D"/>
    <w:rPr>
      <w:rFonts w:ascii="Verdana" w:hAnsi="Verdana"/>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F6594D"/>
  </w:style>
  <w:style w:type="character" w:customStyle="1" w:styleId="SalutationChar">
    <w:name w:val="Salutation Char"/>
    <w:basedOn w:val="DefaultParagraphFont"/>
    <w:link w:val="Salutation"/>
    <w:uiPriority w:val="99"/>
    <w:semiHidden/>
    <w:rsid w:val="00F6594D"/>
    <w:rPr>
      <w:rFonts w:ascii="Verdana" w:hAnsi="Verdana"/>
      <w:sz w:val="18"/>
      <w:szCs w:val="22"/>
      <w:lang w:val="fr-FR" w:eastAsia="en-US"/>
    </w:rPr>
  </w:style>
  <w:style w:type="paragraph" w:styleId="Signature">
    <w:name w:val="Signature"/>
    <w:basedOn w:val="Normal"/>
    <w:link w:val="SignatureChar"/>
    <w:uiPriority w:val="99"/>
    <w:semiHidden/>
    <w:unhideWhenUsed/>
    <w:rsid w:val="00F6594D"/>
    <w:pPr>
      <w:ind w:left="4252"/>
    </w:pPr>
  </w:style>
  <w:style w:type="character" w:customStyle="1" w:styleId="SignatureChar">
    <w:name w:val="Signature Char"/>
    <w:basedOn w:val="DefaultParagraphFont"/>
    <w:link w:val="Signature"/>
    <w:uiPriority w:val="99"/>
    <w:semiHidden/>
    <w:rsid w:val="00F6594D"/>
    <w:rPr>
      <w:rFonts w:ascii="Verdana" w:hAnsi="Verdana"/>
      <w:sz w:val="18"/>
      <w:szCs w:val="22"/>
      <w:lang w:val="fr-FR" w:eastAsia="en-US"/>
    </w:rPr>
  </w:style>
  <w:style w:type="character" w:styleId="Strong">
    <w:name w:val="Strong"/>
    <w:basedOn w:val="DefaultParagraphFont"/>
    <w:uiPriority w:val="99"/>
    <w:semiHidden/>
    <w:unhideWhenUsed/>
    <w:qFormat/>
    <w:rsid w:val="00F6594D"/>
    <w:rPr>
      <w:b/>
      <w:bCs/>
    </w:rPr>
  </w:style>
  <w:style w:type="character" w:styleId="SubtleEmphasis">
    <w:name w:val="Subtle Emphasis"/>
    <w:basedOn w:val="DefaultParagraphFont"/>
    <w:uiPriority w:val="99"/>
    <w:semiHidden/>
    <w:unhideWhenUsed/>
    <w:qFormat/>
    <w:rsid w:val="00F6594D"/>
    <w:rPr>
      <w:i/>
      <w:iCs/>
      <w:color w:val="808080" w:themeColor="text1" w:themeTint="7F"/>
    </w:rPr>
  </w:style>
  <w:style w:type="character" w:styleId="SubtleReference">
    <w:name w:val="Subtle Reference"/>
    <w:basedOn w:val="DefaultParagraphFont"/>
    <w:uiPriority w:val="99"/>
    <w:semiHidden/>
    <w:unhideWhenUsed/>
    <w:qFormat/>
    <w:rsid w:val="00F6594D"/>
    <w:rPr>
      <w:smallCaps/>
      <w:color w:val="C0504D" w:themeColor="accent2"/>
      <w:u w:val="single"/>
    </w:rPr>
  </w:style>
  <w:style w:type="paragraph" w:customStyle="1" w:styleId="TitleDate">
    <w:name w:val="Title Date"/>
    <w:basedOn w:val="Normal"/>
    <w:next w:val="Normal"/>
    <w:uiPriority w:val="5"/>
    <w:qFormat/>
    <w:rsid w:val="00FB29A7"/>
    <w:pPr>
      <w:spacing w:after="240"/>
      <w:jc w:val="center"/>
    </w:pPr>
    <w:rPr>
      <w:color w:val="006283"/>
    </w:rPr>
  </w:style>
  <w:style w:type="paragraph" w:customStyle="1" w:styleId="Query">
    <w:name w:val="Query"/>
    <w:qFormat/>
    <w:rsid w:val="00BC11FF"/>
    <w:pPr>
      <w:numPr>
        <w:numId w:val="9"/>
      </w:numPr>
      <w:spacing w:before="240" w:after="200" w:line="276" w:lineRule="auto"/>
      <w:jc w:val="both"/>
    </w:pPr>
    <w:rPr>
      <w:rFonts w:ascii="Verdana" w:eastAsiaTheme="minorHAnsi" w:hAnsi="Verdana" w:cstheme="minorBidi"/>
      <w:sz w:val="18"/>
      <w:szCs w:val="22"/>
      <w:u w:val="single"/>
      <w:lang w:eastAsia="en-US"/>
    </w:rPr>
  </w:style>
  <w:style w:type="table" w:customStyle="1" w:styleId="Grilledutableau1">
    <w:name w:val="Grille du tableau1"/>
    <w:basedOn w:val="TableNormal"/>
    <w:next w:val="TableGrid"/>
    <w:uiPriority w:val="39"/>
    <w:rsid w:val="000E1182"/>
    <w:rPr>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30CB"/>
    <w:rPr>
      <w:rFonts w:ascii="Verdana" w:hAnsi="Verdana"/>
      <w:sz w:val="18"/>
      <w:szCs w:val="22"/>
      <w:lang w:val="fr-FR" w:eastAsia="en-US"/>
    </w:rPr>
  </w:style>
  <w:style w:type="character" w:styleId="UnresolvedMention">
    <w:name w:val="Unresolved Mention"/>
    <w:basedOn w:val="DefaultParagraphFont"/>
    <w:uiPriority w:val="99"/>
    <w:semiHidden/>
    <w:unhideWhenUsed/>
    <w:rsid w:val="00414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0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g@anmcc.m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www.anmcc.m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anmcc.m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g.anmcc@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g.anmcc@gmail.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arra\AppData\Roaming\Microsoft\Templates\WTODOCF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TO2012">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1D04D-0735-4B52-A830-45282A18A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WTODOCF2012.DOTX</Template>
  <TotalTime>93</TotalTime>
  <Pages>6</Pages>
  <Words>2382</Words>
  <Characters>13030</Characters>
  <Application>Microsoft Office Word</Application>
  <DocSecurity>0</DocSecurity>
  <Lines>231</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5</cp:revision>
  <dcterms:created xsi:type="dcterms:W3CDTF">2023-03-10T10:54:00Z</dcterms:created>
  <dcterms:modified xsi:type="dcterms:W3CDTF">2023-03-10T15:12:00Z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f3d95e44-1b96-4088-81fd-1859672cbba3</vt:lpwstr>
  </property>
  <property fmtid="{D5CDD505-2E9C-101B-9397-08002B2CF9AE}" pid="3" name="WTOCLASSIFICATION">
    <vt:lpwstr>WTO OFFICIAL</vt:lpwstr>
  </property>
  <property fmtid="{D5CDD505-2E9C-101B-9397-08002B2CF9AE}" pid="4" name="Symbol1">
    <vt:lpwstr>G/SG/N/8/MDG/8</vt:lpwstr>
  </property>
  <property fmtid="{D5CDD505-2E9C-101B-9397-08002B2CF9AE}" pid="5" name="Symbol2">
    <vt:lpwstr>G/SG/N/10/MDG/8</vt:lpwstr>
  </property>
  <property fmtid="{D5CDD505-2E9C-101B-9397-08002B2CF9AE}" pid="6" name="Symbol3">
    <vt:lpwstr>G/SG/N/11/MDG/8/Suppl.1</vt:lpwstr>
  </property>
</Properties>
</file>