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A2892" w:rsidP="002F6A28">
      <w:pPr>
        <w:pStyle w:val="Titre"/>
        <w:rPr>
          <w:caps w:val="0"/>
          <w:kern w:val="0"/>
        </w:rPr>
      </w:pPr>
      <w:r w:rsidRPr="002F6A28">
        <w:rPr>
          <w:caps w:val="0"/>
          <w:kern w:val="0"/>
        </w:rPr>
        <w:t>NOTIFICATION</w:t>
      </w:r>
    </w:p>
    <w:p w:rsidR="009239F7" w:rsidRPr="002F6A28" w:rsidRDefault="009A2892" w:rsidP="002F6A28">
      <w:pPr>
        <w:jc w:val="center"/>
      </w:pPr>
      <w:r w:rsidRPr="002F6A28">
        <w:t>The following notification is being circulated in accordance with Article 10.6</w:t>
      </w:r>
    </w:p>
    <w:p w:rsidR="009239F7" w:rsidRPr="002F6A28" w:rsidRDefault="00F76F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D4DAF" w:rsidTr="002F6A28">
        <w:tc>
          <w:tcPr>
            <w:tcW w:w="713" w:type="dxa"/>
            <w:shd w:val="clear" w:color="auto" w:fill="auto"/>
          </w:tcPr>
          <w:p w:rsidR="00F85C99" w:rsidRPr="002F6A28" w:rsidRDefault="009A2892" w:rsidP="002F6A28">
            <w:pPr>
              <w:spacing w:before="120" w:after="120"/>
              <w:jc w:val="left"/>
            </w:pPr>
            <w:r w:rsidRPr="002F6A28">
              <w:rPr>
                <w:b/>
              </w:rPr>
              <w:t>1.</w:t>
            </w:r>
          </w:p>
        </w:tc>
        <w:tc>
          <w:tcPr>
            <w:tcW w:w="8546" w:type="dxa"/>
            <w:shd w:val="clear" w:color="auto" w:fill="auto"/>
          </w:tcPr>
          <w:p w:rsidR="00F85C99" w:rsidRPr="002F6A28" w:rsidRDefault="009A2892"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9A2892" w:rsidP="002F6A28">
            <w:pPr>
              <w:spacing w:after="120"/>
            </w:pPr>
            <w:r w:rsidRPr="002F6A28">
              <w:rPr>
                <w:b/>
              </w:rPr>
              <w:t>If applicable, name of local government involved (Article 3.2 and 7.2):</w:t>
            </w:r>
            <w:r w:rsidRPr="002F6A28">
              <w:t xml:space="preserve"> </w:t>
            </w:r>
            <w:bookmarkStart w:id="1" w:name="sps1b"/>
            <w:bookmarkEnd w:id="1"/>
          </w:p>
        </w:tc>
      </w:tr>
      <w:tr w:rsidR="001D4DAF" w:rsidTr="002F6A28">
        <w:tc>
          <w:tcPr>
            <w:tcW w:w="713" w:type="dxa"/>
            <w:shd w:val="clear" w:color="auto" w:fill="auto"/>
          </w:tcPr>
          <w:p w:rsidR="00F85C99" w:rsidRPr="002F6A28" w:rsidRDefault="009A2892" w:rsidP="002F6A28">
            <w:pPr>
              <w:spacing w:before="120" w:after="120"/>
              <w:jc w:val="left"/>
            </w:pPr>
            <w:r w:rsidRPr="002F6A28">
              <w:rPr>
                <w:b/>
              </w:rPr>
              <w:t>2.</w:t>
            </w:r>
          </w:p>
        </w:tc>
        <w:tc>
          <w:tcPr>
            <w:tcW w:w="8546" w:type="dxa"/>
            <w:shd w:val="clear" w:color="auto" w:fill="auto"/>
          </w:tcPr>
          <w:p w:rsidR="00F85C99" w:rsidRPr="002F6A28" w:rsidRDefault="009A2892"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9A289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3.</w:t>
            </w:r>
          </w:p>
        </w:tc>
        <w:tc>
          <w:tcPr>
            <w:tcW w:w="8546" w:type="dxa"/>
            <w:shd w:val="clear" w:color="auto" w:fill="auto"/>
          </w:tcPr>
          <w:p w:rsidR="00F85C99" w:rsidRPr="002F6A28" w:rsidRDefault="009A2892" w:rsidP="002F6A28">
            <w:pPr>
              <w:spacing w:before="120" w:after="12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1D4DAF" w:rsidTr="002F6A28">
        <w:tc>
          <w:tcPr>
            <w:tcW w:w="713" w:type="dxa"/>
            <w:shd w:val="clear" w:color="auto" w:fill="auto"/>
          </w:tcPr>
          <w:p w:rsidR="00F85C99" w:rsidRPr="002F6A28" w:rsidRDefault="009A2892" w:rsidP="002F6A28">
            <w:pPr>
              <w:spacing w:before="120" w:after="120"/>
              <w:jc w:val="left"/>
            </w:pPr>
            <w:r w:rsidRPr="002F6A28">
              <w:rPr>
                <w:b/>
              </w:rPr>
              <w:t>4.</w:t>
            </w:r>
          </w:p>
        </w:tc>
        <w:tc>
          <w:tcPr>
            <w:tcW w:w="8546" w:type="dxa"/>
            <w:shd w:val="clear" w:color="auto" w:fill="auto"/>
          </w:tcPr>
          <w:p w:rsidR="001D4DAF" w:rsidRDefault="009A2892" w:rsidP="009A2892">
            <w:pPr>
              <w:spacing w:before="120" w:after="120"/>
            </w:pPr>
            <w:r w:rsidRPr="002F6A28">
              <w:rPr>
                <w:b/>
              </w:rPr>
              <w:t xml:space="preserve">Products covered (HS or CCCN where applicable, otherwise national tariff heading. ICS numbers may be provided in addition, where applicable): </w:t>
            </w:r>
            <w:r>
              <w:t>Concrete mixtures. Refractory cements, mortars, concretes and similar compositions, other than products of heading 38.01. (HS 3816), Articles of cement, of concrete or of artificial stone, whether or not reinforced. (HS 6810), - Non-refractory mortars and concretes (HS 382450). Concrete and concrete products (ICS 91.100.30).</w:t>
            </w:r>
            <w:bookmarkStart w:id="9" w:name="sps3a"/>
            <w:bookmarkEnd w:id="9"/>
          </w:p>
        </w:tc>
      </w:tr>
      <w:tr w:rsidR="001D4DAF" w:rsidTr="002F6A28">
        <w:tc>
          <w:tcPr>
            <w:tcW w:w="713" w:type="dxa"/>
            <w:shd w:val="clear" w:color="auto" w:fill="auto"/>
          </w:tcPr>
          <w:p w:rsidR="00F85C99" w:rsidRPr="002F6A28" w:rsidRDefault="009A2892" w:rsidP="002F6A28">
            <w:pPr>
              <w:spacing w:before="120" w:after="120"/>
              <w:jc w:val="left"/>
            </w:pPr>
            <w:r w:rsidRPr="002F6A28">
              <w:rPr>
                <w:b/>
              </w:rPr>
              <w:t>5.</w:t>
            </w:r>
          </w:p>
        </w:tc>
        <w:tc>
          <w:tcPr>
            <w:tcW w:w="8546" w:type="dxa"/>
            <w:shd w:val="clear" w:color="auto" w:fill="auto"/>
          </w:tcPr>
          <w:p w:rsidR="00F85C99" w:rsidRPr="002F6A28" w:rsidRDefault="009A2892" w:rsidP="002F6A28">
            <w:pPr>
              <w:spacing w:before="120" w:after="120"/>
            </w:pPr>
            <w:r w:rsidRPr="002F6A28">
              <w:rPr>
                <w:b/>
              </w:rPr>
              <w:t xml:space="preserve">Title, number of pages and language(s) of the notified document: </w:t>
            </w:r>
            <w:r>
              <w:t>DUS 1843:2017, Standard Test Method for Time of Setting of Concrete Mixtures by Penetration Resistance. (14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6.</w:t>
            </w:r>
          </w:p>
        </w:tc>
        <w:tc>
          <w:tcPr>
            <w:tcW w:w="8546" w:type="dxa"/>
            <w:shd w:val="clear" w:color="auto" w:fill="auto"/>
          </w:tcPr>
          <w:p w:rsidR="00F85C99" w:rsidRPr="002F6A28" w:rsidRDefault="009A2892" w:rsidP="002F6A28">
            <w:pPr>
              <w:spacing w:before="120" w:after="120"/>
              <w:rPr>
                <w:b/>
              </w:rPr>
            </w:pPr>
            <w:r w:rsidRPr="002F6A28">
              <w:rPr>
                <w:b/>
              </w:rPr>
              <w:t xml:space="preserve">Description of content: </w:t>
            </w:r>
            <w:r>
              <w:rPr>
                <w:lang w:eastAsia="en-GB"/>
              </w:rPr>
              <w:t>This Draft Uganda Standard</w:t>
            </w:r>
            <w:r>
              <w:t xml:space="preserve"> </w:t>
            </w:r>
            <w:r>
              <w:rPr>
                <w:lang w:eastAsia="en-GB"/>
              </w:rPr>
              <w:t>covers the determination of the time of setting of concrete, with slump greater than zero, by means of penetration resistance measurements on mortar sieved from the concrete mixture. This test method is suitable for use only when tests of the mortar fraction will provide the information required. This test method may also be applied to prepared mortars and grouts. This test method is applicable under controlled laboratory conditions, as well as under field conditions.</w:t>
            </w:r>
            <w:bookmarkStart w:id="13" w:name="sps6a"/>
            <w:bookmarkEnd w:id="13"/>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7.</w:t>
            </w:r>
          </w:p>
        </w:tc>
        <w:tc>
          <w:tcPr>
            <w:tcW w:w="8546" w:type="dxa"/>
            <w:shd w:val="clear" w:color="auto" w:fill="auto"/>
          </w:tcPr>
          <w:p w:rsidR="00F85C99" w:rsidRPr="002F6A28" w:rsidRDefault="009A2892" w:rsidP="009A2892">
            <w:pPr>
              <w:spacing w:before="120" w:after="120"/>
              <w:rPr>
                <w:b/>
              </w:rPr>
            </w:pPr>
            <w:r w:rsidRPr="002F6A28">
              <w:rPr>
                <w:b/>
              </w:rPr>
              <w:t xml:space="preserve">Objective and rationale, including the nature of urgent problems where applicable: </w:t>
            </w:r>
            <w:r>
              <w:rPr>
                <w:lang w:eastAsia="en-GB"/>
              </w:rPr>
              <w:t>Not applicable.</w:t>
            </w:r>
            <w:bookmarkStart w:id="14" w:name="sps7f"/>
            <w:bookmarkEnd w:id="14"/>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8.</w:t>
            </w:r>
          </w:p>
        </w:tc>
        <w:tc>
          <w:tcPr>
            <w:tcW w:w="8546" w:type="dxa"/>
            <w:shd w:val="clear" w:color="auto" w:fill="auto"/>
          </w:tcPr>
          <w:p w:rsidR="00F85C99" w:rsidRPr="002F6A28" w:rsidRDefault="009A2892" w:rsidP="009A2892">
            <w:pPr>
              <w:spacing w:before="120" w:after="120"/>
            </w:pPr>
            <w:r w:rsidRPr="002F6A28">
              <w:rPr>
                <w:b/>
              </w:rPr>
              <w:t>Relevant documents:</w:t>
            </w:r>
            <w:r w:rsidRPr="002F6A28">
              <w:t xml:space="preserve"> </w:t>
            </w:r>
            <w:r>
              <w:rPr>
                <w:lang w:eastAsia="en-GB"/>
              </w:rPr>
              <w:t>ASTM</w:t>
            </w:r>
            <w:r>
              <w:t xml:space="preserve"> </w:t>
            </w:r>
            <w:r>
              <w:rPr>
                <w:lang w:eastAsia="en-GB"/>
              </w:rPr>
              <w:t>C403/C403M-16, Standard Test Method for Time of Setting of Concrete Mixtures by Penetration Resistance.</w:t>
            </w:r>
            <w:bookmarkStart w:id="15" w:name="sps9a"/>
            <w:bookmarkEnd w:id="15"/>
            <w:r w:rsidRPr="002F6A28">
              <w:rPr>
                <w:bCs/>
              </w:rPr>
              <w:t xml:space="preserve"> </w:t>
            </w:r>
            <w:bookmarkStart w:id="16" w:name="sps9b"/>
            <w:bookmarkEnd w:id="16"/>
          </w:p>
        </w:tc>
      </w:tr>
      <w:tr w:rsidR="001D4DAF" w:rsidTr="002F6A28">
        <w:tc>
          <w:tcPr>
            <w:tcW w:w="713" w:type="dxa"/>
            <w:shd w:val="clear" w:color="auto" w:fill="auto"/>
          </w:tcPr>
          <w:p w:rsidR="00EE3A11" w:rsidRPr="002F6A28" w:rsidRDefault="009A2892" w:rsidP="002F6A28">
            <w:pPr>
              <w:spacing w:before="120" w:after="120"/>
              <w:jc w:val="left"/>
              <w:rPr>
                <w:b/>
              </w:rPr>
            </w:pPr>
            <w:r w:rsidRPr="002F6A28">
              <w:rPr>
                <w:b/>
              </w:rPr>
              <w:t>9.</w:t>
            </w:r>
          </w:p>
        </w:tc>
        <w:tc>
          <w:tcPr>
            <w:tcW w:w="8546" w:type="dxa"/>
            <w:shd w:val="clear" w:color="auto" w:fill="auto"/>
          </w:tcPr>
          <w:p w:rsidR="00EE3A11" w:rsidRPr="002F6A28" w:rsidRDefault="009A2892" w:rsidP="009A2892">
            <w:pPr>
              <w:spacing w:before="120" w:after="120"/>
            </w:pPr>
            <w:r w:rsidRPr="002F6A28">
              <w:rPr>
                <w:b/>
              </w:rPr>
              <w:t xml:space="preserve">Proposed date of adoption: </w:t>
            </w:r>
            <w:bookmarkStart w:id="17" w:name="sps10a"/>
            <w:bookmarkStart w:id="18" w:name="sps10b"/>
            <w:bookmarkEnd w:id="17"/>
            <w:r w:rsidRPr="002F6A28">
              <w:t>December 2017</w:t>
            </w:r>
            <w:bookmarkEnd w:id="18"/>
          </w:p>
          <w:p w:rsidR="00EE3A11" w:rsidRPr="002F6A28" w:rsidRDefault="009A2892" w:rsidP="009A2892">
            <w:pPr>
              <w:spacing w:after="120"/>
            </w:pPr>
            <w:r w:rsidRPr="002F6A28">
              <w:rPr>
                <w:b/>
              </w:rPr>
              <w:t xml:space="preserve">Proposed date of entry into force: </w:t>
            </w:r>
            <w:bookmarkStart w:id="19" w:name="sps11a"/>
            <w:bookmarkStart w:id="20" w:name="sps11b"/>
            <w:bookmarkEnd w:id="19"/>
            <w:r w:rsidRPr="002F6A28">
              <w:t>Not applicable</w:t>
            </w:r>
            <w:bookmarkEnd w:id="20"/>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10.</w:t>
            </w:r>
          </w:p>
        </w:tc>
        <w:tc>
          <w:tcPr>
            <w:tcW w:w="8546" w:type="dxa"/>
            <w:shd w:val="clear" w:color="auto" w:fill="auto"/>
          </w:tcPr>
          <w:p w:rsidR="00F85C99" w:rsidRPr="002F6A28" w:rsidRDefault="009A2892" w:rsidP="002F6A28">
            <w:pPr>
              <w:spacing w:before="120" w:after="120"/>
            </w:pPr>
            <w:r w:rsidRPr="002F6A28">
              <w:rPr>
                <w:b/>
              </w:rPr>
              <w:t xml:space="preserve">Final date for comments: </w:t>
            </w:r>
            <w:r>
              <w:t>60 days from notification</w:t>
            </w:r>
            <w:bookmarkStart w:id="21" w:name="sps12a"/>
            <w:bookmarkEnd w:id="21"/>
          </w:p>
        </w:tc>
      </w:tr>
      <w:tr w:rsidR="001D4DAF" w:rsidTr="002F6A28">
        <w:tc>
          <w:tcPr>
            <w:tcW w:w="713" w:type="dxa"/>
            <w:shd w:val="clear" w:color="auto" w:fill="auto"/>
          </w:tcPr>
          <w:p w:rsidR="00F85C99" w:rsidRPr="002F6A28" w:rsidRDefault="009A2892" w:rsidP="002F6A28">
            <w:pPr>
              <w:spacing w:before="120" w:after="120"/>
              <w:jc w:val="left"/>
              <w:rPr>
                <w:b/>
              </w:rPr>
            </w:pPr>
            <w:r w:rsidRPr="002F6A28">
              <w:rPr>
                <w:b/>
              </w:rPr>
              <w:t>11.</w:t>
            </w:r>
          </w:p>
        </w:tc>
        <w:tc>
          <w:tcPr>
            <w:tcW w:w="8546" w:type="dxa"/>
            <w:shd w:val="clear" w:color="auto" w:fill="auto"/>
          </w:tcPr>
          <w:p w:rsidR="000129DD" w:rsidRPr="002F6A28" w:rsidRDefault="009A2892" w:rsidP="002F6A28">
            <w:pPr>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tc>
      </w:tr>
    </w:tbl>
    <w:p w:rsidR="00EE3A11" w:rsidRPr="002F6A28" w:rsidRDefault="00F76F68" w:rsidP="002F6A28"/>
    <w:sectPr w:rsidR="00EE3A11" w:rsidRPr="002F6A28" w:rsidSect="009A289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CA" w:rsidRDefault="009A2892">
      <w:r>
        <w:separator/>
      </w:r>
    </w:p>
  </w:endnote>
  <w:endnote w:type="continuationSeparator" w:id="0">
    <w:p w:rsidR="005C4DCA" w:rsidRDefault="009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A2892" w:rsidRDefault="009A2892" w:rsidP="009A289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A2892" w:rsidRDefault="009A2892" w:rsidP="009A289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A289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CA" w:rsidRDefault="009A2892">
      <w:r>
        <w:separator/>
      </w:r>
    </w:p>
  </w:footnote>
  <w:footnote w:type="continuationSeparator" w:id="0">
    <w:p w:rsidR="005C4DCA" w:rsidRDefault="009A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92" w:rsidRPr="009A2892" w:rsidRDefault="009A2892" w:rsidP="009A2892">
    <w:pPr>
      <w:pStyle w:val="En-tte"/>
      <w:pBdr>
        <w:bottom w:val="single" w:sz="4" w:space="1" w:color="auto"/>
      </w:pBdr>
      <w:tabs>
        <w:tab w:val="clear" w:pos="4513"/>
        <w:tab w:val="clear" w:pos="9027"/>
      </w:tabs>
      <w:jc w:val="center"/>
    </w:pPr>
    <w:r w:rsidRPr="009A2892">
      <w:t>G/TBT/N/</w:t>
    </w:r>
    <w:proofErr w:type="spellStart"/>
    <w:r w:rsidRPr="009A2892">
      <w:t>UGA</w:t>
    </w:r>
    <w:proofErr w:type="spellEnd"/>
    <w:r w:rsidRPr="009A2892">
      <w:t>/741</w:t>
    </w:r>
  </w:p>
  <w:p w:rsidR="009A2892" w:rsidRPr="009A2892" w:rsidRDefault="009A2892" w:rsidP="009A2892">
    <w:pPr>
      <w:pStyle w:val="En-tte"/>
      <w:pBdr>
        <w:bottom w:val="single" w:sz="4" w:space="1" w:color="auto"/>
      </w:pBdr>
      <w:tabs>
        <w:tab w:val="clear" w:pos="4513"/>
        <w:tab w:val="clear" w:pos="9027"/>
      </w:tabs>
      <w:jc w:val="center"/>
    </w:pPr>
  </w:p>
  <w:p w:rsidR="009A2892" w:rsidRPr="009A2892" w:rsidRDefault="009A2892" w:rsidP="009A2892">
    <w:pPr>
      <w:pStyle w:val="En-tte"/>
      <w:pBdr>
        <w:bottom w:val="single" w:sz="4" w:space="1" w:color="auto"/>
      </w:pBdr>
      <w:tabs>
        <w:tab w:val="clear" w:pos="4513"/>
        <w:tab w:val="clear" w:pos="9027"/>
      </w:tabs>
      <w:jc w:val="center"/>
    </w:pPr>
    <w:r w:rsidRPr="009A2892">
      <w:t xml:space="preserve">- </w:t>
    </w:r>
    <w:r w:rsidRPr="009A2892">
      <w:fldChar w:fldCharType="begin"/>
    </w:r>
    <w:r w:rsidRPr="009A2892">
      <w:instrText xml:space="preserve"> PAGE </w:instrText>
    </w:r>
    <w:r w:rsidRPr="009A2892">
      <w:fldChar w:fldCharType="separate"/>
    </w:r>
    <w:r>
      <w:rPr>
        <w:noProof/>
      </w:rPr>
      <w:t>2</w:t>
    </w:r>
    <w:r w:rsidRPr="009A2892">
      <w:fldChar w:fldCharType="end"/>
    </w:r>
    <w:r w:rsidRPr="009A2892">
      <w:t xml:space="preserve"> -</w:t>
    </w:r>
  </w:p>
  <w:p w:rsidR="009239F7" w:rsidRPr="009A2892" w:rsidRDefault="00F76F68" w:rsidP="009A289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92" w:rsidRPr="009A2892" w:rsidRDefault="009A2892" w:rsidP="009A2892">
    <w:pPr>
      <w:pStyle w:val="En-tte"/>
      <w:pBdr>
        <w:bottom w:val="single" w:sz="4" w:space="1" w:color="auto"/>
      </w:pBdr>
      <w:tabs>
        <w:tab w:val="clear" w:pos="4513"/>
        <w:tab w:val="clear" w:pos="9027"/>
      </w:tabs>
      <w:jc w:val="center"/>
    </w:pPr>
    <w:r w:rsidRPr="009A2892">
      <w:t>G/TBT/N/</w:t>
    </w:r>
    <w:proofErr w:type="spellStart"/>
    <w:r w:rsidRPr="009A2892">
      <w:t>UGA</w:t>
    </w:r>
    <w:proofErr w:type="spellEnd"/>
    <w:r w:rsidRPr="009A2892">
      <w:t>/741</w:t>
    </w:r>
  </w:p>
  <w:p w:rsidR="009A2892" w:rsidRPr="009A2892" w:rsidRDefault="009A2892" w:rsidP="009A2892">
    <w:pPr>
      <w:pStyle w:val="En-tte"/>
      <w:pBdr>
        <w:bottom w:val="single" w:sz="4" w:space="1" w:color="auto"/>
      </w:pBdr>
      <w:tabs>
        <w:tab w:val="clear" w:pos="4513"/>
        <w:tab w:val="clear" w:pos="9027"/>
      </w:tabs>
      <w:jc w:val="center"/>
    </w:pPr>
  </w:p>
  <w:p w:rsidR="009A2892" w:rsidRPr="009A2892" w:rsidRDefault="009A2892" w:rsidP="009A2892">
    <w:pPr>
      <w:pStyle w:val="En-tte"/>
      <w:pBdr>
        <w:bottom w:val="single" w:sz="4" w:space="1" w:color="auto"/>
      </w:pBdr>
      <w:tabs>
        <w:tab w:val="clear" w:pos="4513"/>
        <w:tab w:val="clear" w:pos="9027"/>
      </w:tabs>
      <w:jc w:val="center"/>
    </w:pPr>
    <w:r w:rsidRPr="009A2892">
      <w:t xml:space="preserve">- </w:t>
    </w:r>
    <w:r w:rsidRPr="009A2892">
      <w:fldChar w:fldCharType="begin"/>
    </w:r>
    <w:r w:rsidRPr="009A2892">
      <w:instrText xml:space="preserve"> PAGE </w:instrText>
    </w:r>
    <w:r w:rsidRPr="009A2892">
      <w:fldChar w:fldCharType="separate"/>
    </w:r>
    <w:r w:rsidRPr="009A2892">
      <w:rPr>
        <w:noProof/>
      </w:rPr>
      <w:t>2</w:t>
    </w:r>
    <w:r w:rsidRPr="009A2892">
      <w:fldChar w:fldCharType="end"/>
    </w:r>
    <w:r w:rsidRPr="009A2892">
      <w:t xml:space="preserve"> -</w:t>
    </w:r>
  </w:p>
  <w:p w:rsidR="009239F7" w:rsidRPr="009A2892" w:rsidRDefault="00F76F68" w:rsidP="009A289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4DAF" w:rsidTr="008612A9">
      <w:trPr>
        <w:trHeight w:val="240"/>
        <w:jc w:val="center"/>
      </w:trPr>
      <w:tc>
        <w:tcPr>
          <w:tcW w:w="3794" w:type="dxa"/>
          <w:shd w:val="clear" w:color="auto" w:fill="FFFFFF"/>
          <w:tcMar>
            <w:left w:w="108" w:type="dxa"/>
            <w:right w:w="108" w:type="dxa"/>
          </w:tcMar>
          <w:vAlign w:val="center"/>
        </w:tcPr>
        <w:p w:rsidR="00ED54E0" w:rsidRPr="009239F7" w:rsidRDefault="00F76F6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A2892" w:rsidP="00B801E9">
          <w:pPr>
            <w:jc w:val="right"/>
            <w:rPr>
              <w:b/>
              <w:color w:val="FF0000"/>
              <w:szCs w:val="16"/>
            </w:rPr>
          </w:pPr>
          <w:r>
            <w:rPr>
              <w:b/>
              <w:color w:val="FF0000"/>
              <w:szCs w:val="16"/>
            </w:rPr>
            <w:t xml:space="preserve"> </w:t>
          </w:r>
        </w:p>
      </w:tc>
    </w:tr>
    <w:bookmarkEnd w:id="23"/>
    <w:tr w:rsidR="001D4DAF" w:rsidTr="008612A9">
      <w:trPr>
        <w:trHeight w:val="213"/>
        <w:jc w:val="center"/>
      </w:trPr>
      <w:tc>
        <w:tcPr>
          <w:tcW w:w="3794" w:type="dxa"/>
          <w:vMerge w:val="restart"/>
          <w:shd w:val="clear" w:color="auto" w:fill="FFFFFF"/>
          <w:tcMar>
            <w:left w:w="0" w:type="dxa"/>
            <w:right w:w="0" w:type="dxa"/>
          </w:tcMar>
        </w:tcPr>
        <w:p w:rsidR="00ED54E0" w:rsidRPr="009239F7" w:rsidRDefault="00BF3CC3" w:rsidP="00B801E9">
          <w:pPr>
            <w:jc w:val="left"/>
          </w:pPr>
          <w:r>
            <w:rPr>
              <w:noProof/>
              <w:lang w:val="fr-FR" w:eastAsia="fr-FR"/>
            </w:rPr>
            <w:drawing>
              <wp:inline distT="0" distB="0" distL="0" distR="0" wp14:anchorId="206B0681" wp14:editId="44E554D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76F68" w:rsidP="00B801E9">
          <w:pPr>
            <w:jc w:val="right"/>
            <w:rPr>
              <w:b/>
              <w:szCs w:val="16"/>
            </w:rPr>
          </w:pPr>
        </w:p>
      </w:tc>
    </w:tr>
    <w:tr w:rsidR="001D4DAF" w:rsidTr="008612A9">
      <w:trPr>
        <w:trHeight w:val="868"/>
        <w:jc w:val="center"/>
      </w:trPr>
      <w:tc>
        <w:tcPr>
          <w:tcW w:w="3794" w:type="dxa"/>
          <w:vMerge/>
          <w:shd w:val="clear" w:color="auto" w:fill="FFFFFF"/>
          <w:tcMar>
            <w:left w:w="108" w:type="dxa"/>
            <w:right w:w="108" w:type="dxa"/>
          </w:tcMar>
        </w:tcPr>
        <w:p w:rsidR="00ED54E0" w:rsidRPr="009239F7" w:rsidRDefault="00F76F68" w:rsidP="00B801E9">
          <w:pPr>
            <w:jc w:val="left"/>
            <w:rPr>
              <w:noProof/>
              <w:lang w:eastAsia="en-GB"/>
            </w:rPr>
          </w:pPr>
        </w:p>
      </w:tc>
      <w:tc>
        <w:tcPr>
          <w:tcW w:w="5448" w:type="dxa"/>
          <w:gridSpan w:val="2"/>
          <w:shd w:val="clear" w:color="auto" w:fill="FFFFFF"/>
          <w:tcMar>
            <w:left w:w="108" w:type="dxa"/>
            <w:right w:w="108" w:type="dxa"/>
          </w:tcMar>
        </w:tcPr>
        <w:p w:rsidR="009A2892" w:rsidRDefault="009A2892" w:rsidP="00B801E9">
          <w:pPr>
            <w:jc w:val="right"/>
            <w:rPr>
              <w:b/>
              <w:szCs w:val="16"/>
            </w:rPr>
          </w:pPr>
          <w:bookmarkStart w:id="24" w:name="bmkSymbols"/>
          <w:r>
            <w:rPr>
              <w:b/>
              <w:szCs w:val="16"/>
            </w:rPr>
            <w:t>G/TBT/N/</w:t>
          </w:r>
          <w:proofErr w:type="spellStart"/>
          <w:r>
            <w:rPr>
              <w:b/>
              <w:szCs w:val="16"/>
            </w:rPr>
            <w:t>UGA</w:t>
          </w:r>
          <w:proofErr w:type="spellEnd"/>
          <w:r>
            <w:rPr>
              <w:b/>
              <w:szCs w:val="16"/>
            </w:rPr>
            <w:t>/741</w:t>
          </w:r>
        </w:p>
        <w:bookmarkEnd w:id="24"/>
        <w:p w:rsidR="00ED54E0" w:rsidRPr="009239F7" w:rsidRDefault="00F76F68" w:rsidP="00B801E9">
          <w:pPr>
            <w:jc w:val="right"/>
            <w:rPr>
              <w:b/>
              <w:szCs w:val="16"/>
            </w:rPr>
          </w:pPr>
        </w:p>
      </w:tc>
    </w:tr>
    <w:tr w:rsidR="001D4DAF" w:rsidTr="008612A9">
      <w:trPr>
        <w:trHeight w:val="240"/>
        <w:jc w:val="center"/>
      </w:trPr>
      <w:tc>
        <w:tcPr>
          <w:tcW w:w="3794" w:type="dxa"/>
          <w:vMerge/>
          <w:shd w:val="clear" w:color="auto" w:fill="FFFFFF"/>
          <w:tcMar>
            <w:left w:w="108" w:type="dxa"/>
            <w:right w:w="108" w:type="dxa"/>
          </w:tcMar>
          <w:vAlign w:val="center"/>
        </w:tcPr>
        <w:p w:rsidR="00ED54E0" w:rsidRPr="009239F7" w:rsidRDefault="00F76F68" w:rsidP="00B801E9"/>
      </w:tc>
      <w:tc>
        <w:tcPr>
          <w:tcW w:w="5448" w:type="dxa"/>
          <w:gridSpan w:val="2"/>
          <w:shd w:val="clear" w:color="auto" w:fill="FFFFFF"/>
          <w:tcMar>
            <w:left w:w="108" w:type="dxa"/>
            <w:right w:w="108" w:type="dxa"/>
          </w:tcMar>
          <w:vAlign w:val="center"/>
        </w:tcPr>
        <w:p w:rsidR="00ED54E0" w:rsidRPr="009239F7" w:rsidRDefault="00AC19B6" w:rsidP="00B801E9">
          <w:pPr>
            <w:jc w:val="right"/>
            <w:rPr>
              <w:szCs w:val="16"/>
            </w:rPr>
          </w:pPr>
          <w:bookmarkStart w:id="25" w:name="spsDateDistribution"/>
          <w:bookmarkStart w:id="26" w:name="bmkDate"/>
          <w:bookmarkStart w:id="27" w:name="_GoBack"/>
          <w:bookmarkEnd w:id="25"/>
          <w:bookmarkEnd w:id="26"/>
          <w:bookmarkEnd w:id="27"/>
          <w:r>
            <w:rPr>
              <w:szCs w:val="16"/>
            </w:rPr>
            <w:t>18 September 2017</w:t>
          </w:r>
        </w:p>
      </w:tc>
    </w:tr>
    <w:tr w:rsidR="001D4D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2892" w:rsidP="00F76F68">
          <w:pPr>
            <w:jc w:val="left"/>
            <w:rPr>
              <w:b/>
            </w:rPr>
          </w:pPr>
          <w:bookmarkStart w:id="28" w:name="bmkSerial"/>
          <w:r w:rsidRPr="002F6A28">
            <w:rPr>
              <w:color w:val="FF0000"/>
              <w:szCs w:val="16"/>
            </w:rPr>
            <w:t>(</w:t>
          </w:r>
          <w:bookmarkStart w:id="29" w:name="spsSerialNumber"/>
          <w:bookmarkEnd w:id="29"/>
          <w:r w:rsidR="00AC19B6">
            <w:rPr>
              <w:color w:val="FF0000"/>
              <w:szCs w:val="16"/>
            </w:rPr>
            <w:t>17-</w:t>
          </w:r>
          <w:r w:rsidR="00F76F68">
            <w:rPr>
              <w:color w:val="FF0000"/>
              <w:szCs w:val="16"/>
            </w:rPr>
            <w:t>4929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9A2892"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76F6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76F68">
            <w:rPr>
              <w:bCs/>
              <w:noProof/>
              <w:szCs w:val="16"/>
            </w:rPr>
            <w:t>1</w:t>
          </w:r>
          <w:r w:rsidRPr="002F6A28">
            <w:rPr>
              <w:bCs/>
              <w:szCs w:val="16"/>
            </w:rPr>
            <w:fldChar w:fldCharType="end"/>
          </w:r>
          <w:bookmarkEnd w:id="30"/>
        </w:p>
      </w:tc>
    </w:tr>
    <w:tr w:rsidR="001D4D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A2892"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9A2892" w:rsidP="00B801E9">
          <w:pPr>
            <w:jc w:val="right"/>
            <w:rPr>
              <w:bCs/>
              <w:szCs w:val="18"/>
            </w:rPr>
          </w:pPr>
          <w:bookmarkStart w:id="32" w:name="bmkLanguage"/>
          <w:r>
            <w:rPr>
              <w:bCs/>
              <w:szCs w:val="18"/>
            </w:rPr>
            <w:t>Original: English</w:t>
          </w:r>
          <w:bookmarkEnd w:id="32"/>
        </w:p>
      </w:tc>
    </w:tr>
  </w:tbl>
  <w:p w:rsidR="00ED54E0" w:rsidRPr="002F6A28" w:rsidRDefault="00F76F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C4402B0">
      <w:start w:val="1"/>
      <w:numFmt w:val="decimal"/>
      <w:pStyle w:val="SummaryText"/>
      <w:lvlText w:val="%1."/>
      <w:lvlJc w:val="left"/>
      <w:pPr>
        <w:ind w:left="360" w:hanging="360"/>
      </w:pPr>
    </w:lvl>
    <w:lvl w:ilvl="1" w:tplc="7EA86790" w:tentative="1">
      <w:start w:val="1"/>
      <w:numFmt w:val="lowerLetter"/>
      <w:lvlText w:val="%2."/>
      <w:lvlJc w:val="left"/>
      <w:pPr>
        <w:ind w:left="1080" w:hanging="360"/>
      </w:pPr>
    </w:lvl>
    <w:lvl w:ilvl="2" w:tplc="910A9F8E" w:tentative="1">
      <w:start w:val="1"/>
      <w:numFmt w:val="lowerRoman"/>
      <w:lvlText w:val="%3."/>
      <w:lvlJc w:val="right"/>
      <w:pPr>
        <w:ind w:left="1800" w:hanging="180"/>
      </w:pPr>
    </w:lvl>
    <w:lvl w:ilvl="3" w:tplc="ABD22030" w:tentative="1">
      <w:start w:val="1"/>
      <w:numFmt w:val="decimal"/>
      <w:lvlText w:val="%4."/>
      <w:lvlJc w:val="left"/>
      <w:pPr>
        <w:ind w:left="2520" w:hanging="360"/>
      </w:pPr>
    </w:lvl>
    <w:lvl w:ilvl="4" w:tplc="31D8B318" w:tentative="1">
      <w:start w:val="1"/>
      <w:numFmt w:val="lowerLetter"/>
      <w:lvlText w:val="%5."/>
      <w:lvlJc w:val="left"/>
      <w:pPr>
        <w:ind w:left="3240" w:hanging="360"/>
      </w:pPr>
    </w:lvl>
    <w:lvl w:ilvl="5" w:tplc="53929FCA" w:tentative="1">
      <w:start w:val="1"/>
      <w:numFmt w:val="lowerRoman"/>
      <w:lvlText w:val="%6."/>
      <w:lvlJc w:val="right"/>
      <w:pPr>
        <w:ind w:left="3960" w:hanging="180"/>
      </w:pPr>
    </w:lvl>
    <w:lvl w:ilvl="6" w:tplc="71ECFFFA" w:tentative="1">
      <w:start w:val="1"/>
      <w:numFmt w:val="decimal"/>
      <w:lvlText w:val="%7."/>
      <w:lvlJc w:val="left"/>
      <w:pPr>
        <w:ind w:left="4680" w:hanging="360"/>
      </w:pPr>
    </w:lvl>
    <w:lvl w:ilvl="7" w:tplc="A7B68494" w:tentative="1">
      <w:start w:val="1"/>
      <w:numFmt w:val="lowerLetter"/>
      <w:lvlText w:val="%8."/>
      <w:lvlJc w:val="left"/>
      <w:pPr>
        <w:ind w:left="5400" w:hanging="360"/>
      </w:pPr>
    </w:lvl>
    <w:lvl w:ilvl="8" w:tplc="9B3E18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AF"/>
    <w:rsid w:val="001D4DAF"/>
    <w:rsid w:val="005C4DCA"/>
    <w:rsid w:val="009A2892"/>
    <w:rsid w:val="00AC19B6"/>
    <w:rsid w:val="00BF3CC3"/>
    <w:rsid w:val="00F7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2017-09-18T12:26:00Z</cp:lastPrinted>
  <dcterms:created xsi:type="dcterms:W3CDTF">2017-09-18T09:08:00Z</dcterms:created>
  <dcterms:modified xsi:type="dcterms:W3CDTF">2017-09-18T13:22:00Z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G/TBT/N/UGA/741</vt:lpwstr>
  </property>
</Properties>
</file>