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86687" w:rsidP="002F6A28">
      <w:pPr>
        <w:pStyle w:val="Titre"/>
        <w:rPr>
          <w:caps w:val="0"/>
          <w:kern w:val="0"/>
        </w:rPr>
      </w:pPr>
      <w:r w:rsidRPr="002F6A28">
        <w:rPr>
          <w:caps w:val="0"/>
          <w:kern w:val="0"/>
        </w:rPr>
        <w:t>NOTIFICATION</w:t>
      </w:r>
    </w:p>
    <w:p w:rsidR="009239F7" w:rsidRPr="002F6A28" w:rsidRDefault="00886687" w:rsidP="002F6A28">
      <w:pPr>
        <w:jc w:val="center"/>
      </w:pPr>
      <w:r w:rsidRPr="002F6A28">
        <w:t>The following notification is being circulated in accordance with Article 10.6</w:t>
      </w:r>
    </w:p>
    <w:p w:rsidR="009239F7" w:rsidRPr="002F6A28" w:rsidRDefault="0056002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8019B" w:rsidTr="0069259F">
        <w:tc>
          <w:tcPr>
            <w:tcW w:w="713" w:type="dxa"/>
            <w:tcBorders>
              <w:bottom w:val="single" w:sz="6" w:space="0" w:color="auto"/>
            </w:tcBorders>
            <w:shd w:val="clear" w:color="auto" w:fill="auto"/>
          </w:tcPr>
          <w:p w:rsidR="00F85C99" w:rsidRPr="002F6A28" w:rsidRDefault="00886687" w:rsidP="00886687">
            <w:pPr>
              <w:spacing w:before="120" w:after="120"/>
            </w:pPr>
            <w:r w:rsidRPr="002F6A28">
              <w:rPr>
                <w:b/>
              </w:rPr>
              <w:t>1.</w:t>
            </w:r>
          </w:p>
        </w:tc>
        <w:tc>
          <w:tcPr>
            <w:tcW w:w="8546" w:type="dxa"/>
            <w:tcBorders>
              <w:bottom w:val="single" w:sz="6" w:space="0" w:color="auto"/>
            </w:tcBorders>
            <w:shd w:val="clear" w:color="auto" w:fill="auto"/>
          </w:tcPr>
          <w:p w:rsidR="00F85C99" w:rsidRPr="002F6A28" w:rsidRDefault="00886687" w:rsidP="00886687">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886687" w:rsidP="00886687">
            <w:pPr>
              <w:spacing w:after="120"/>
            </w:pPr>
            <w:r w:rsidRPr="002F6A28">
              <w:rPr>
                <w:b/>
              </w:rPr>
              <w:t>If applicable, name of local government involved (Article 3.2 and 7.2):</w:t>
            </w:r>
            <w:r w:rsidRPr="002F6A28">
              <w:t xml:space="preserve"> </w:t>
            </w:r>
            <w:bookmarkStart w:id="1" w:name="sps1b"/>
            <w:bookmarkEnd w:id="1"/>
          </w:p>
        </w:tc>
      </w:tr>
      <w:tr w:rsidR="0048019B" w:rsidTr="0069259F">
        <w:tc>
          <w:tcPr>
            <w:tcW w:w="713" w:type="dxa"/>
            <w:tcBorders>
              <w:top w:val="single" w:sz="6" w:space="0" w:color="auto"/>
              <w:bottom w:val="single" w:sz="6" w:space="0" w:color="auto"/>
            </w:tcBorders>
            <w:shd w:val="clear" w:color="auto" w:fill="auto"/>
          </w:tcPr>
          <w:p w:rsidR="00F85C99" w:rsidRPr="002F6A28" w:rsidRDefault="00886687" w:rsidP="00886687">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86687" w:rsidP="00886687">
            <w:pPr>
              <w:spacing w:before="120" w:after="120"/>
            </w:pPr>
            <w:r w:rsidRPr="002F6A28">
              <w:rPr>
                <w:b/>
              </w:rPr>
              <w:t xml:space="preserve">Agency responsible: </w:t>
            </w:r>
            <w:r>
              <w:t>Uganda National Bureau of Standards</w:t>
            </w:r>
            <w:bookmarkStart w:id="2" w:name="sps2a"/>
            <w:bookmarkEnd w:id="2"/>
          </w:p>
          <w:p w:rsidR="00F85C99" w:rsidRPr="002F6A28" w:rsidRDefault="00886687" w:rsidP="00886687">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48019B" w:rsidTr="0069259F">
        <w:tc>
          <w:tcPr>
            <w:tcW w:w="713" w:type="dxa"/>
            <w:tcBorders>
              <w:top w:val="single" w:sz="6" w:space="0" w:color="auto"/>
              <w:bottom w:val="single" w:sz="6" w:space="0" w:color="auto"/>
            </w:tcBorders>
            <w:shd w:val="clear" w:color="auto" w:fill="auto"/>
          </w:tcPr>
          <w:p w:rsidR="00F85C99" w:rsidRPr="002F6A28" w:rsidRDefault="00886687" w:rsidP="00886687">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86687" w:rsidP="00886687">
            <w:pPr>
              <w:spacing w:before="120" w:after="120"/>
              <w:rPr>
                <w:b/>
              </w:rPr>
            </w:pPr>
            <w:r w:rsidRPr="002F6A28">
              <w:rPr>
                <w:b/>
              </w:rPr>
              <w:t xml:space="preserve">Notified under Article 2.9.2 </w:t>
            </w:r>
            <w:proofErr w:type="gramStart"/>
            <w:r w:rsidRPr="002F6A28">
              <w:rPr>
                <w:b/>
              </w:rPr>
              <w:t>[</w:t>
            </w:r>
            <w:r w:rsidR="00DE7493" w:rsidRPr="002F6A28">
              <w:rPr>
                <w:b/>
              </w:rPr>
              <w:t> </w:t>
            </w:r>
            <w:r w:rsidRPr="002F6A28">
              <w:rPr>
                <w:b/>
              </w:rPr>
              <w:t>]</w:t>
            </w:r>
            <w:proofErr w:type="gramEnd"/>
            <w:r w:rsidRPr="002F6A28">
              <w:rPr>
                <w:b/>
              </w:rPr>
              <w:t>, 2.10.1 [</w:t>
            </w:r>
            <w:r w:rsidR="00DE7493" w:rsidRPr="002F6A28">
              <w:rPr>
                <w:b/>
              </w:rPr>
              <w:t> </w:t>
            </w:r>
            <w:bookmarkStart w:id="4" w:name="tbt3c"/>
            <w:r w:rsidR="00DE7493">
              <w:rPr>
                <w:b/>
              </w:rPr>
              <w:t>], 5.6.2 [</w:t>
            </w:r>
            <w:r w:rsidRPr="002F6A28">
              <w:rPr>
                <w:b/>
              </w:rPr>
              <w:t>X</w:t>
            </w:r>
            <w:bookmarkEnd w:id="4"/>
            <w:r w:rsidRPr="002F6A28">
              <w:rPr>
                <w:b/>
              </w:rPr>
              <w:t>], 5.7.1 [</w:t>
            </w:r>
            <w:r w:rsidR="00DE7493" w:rsidRPr="002F6A28">
              <w:rPr>
                <w:b/>
              </w:rPr>
              <w:t> </w:t>
            </w:r>
            <w:r w:rsidRPr="002F6A28">
              <w:rPr>
                <w:b/>
              </w:rPr>
              <w:t>], other:</w:t>
            </w:r>
            <w:bookmarkStart w:id="5" w:name="tbt3e"/>
            <w:bookmarkEnd w:id="5"/>
          </w:p>
        </w:tc>
      </w:tr>
      <w:tr w:rsidR="0048019B" w:rsidTr="0069259F">
        <w:tc>
          <w:tcPr>
            <w:tcW w:w="713" w:type="dxa"/>
            <w:tcBorders>
              <w:top w:val="single" w:sz="6" w:space="0" w:color="auto"/>
              <w:bottom w:val="single" w:sz="6" w:space="0" w:color="auto"/>
            </w:tcBorders>
            <w:shd w:val="clear" w:color="auto" w:fill="auto"/>
          </w:tcPr>
          <w:p w:rsidR="00F85C99" w:rsidRPr="002F6A28" w:rsidRDefault="00886687" w:rsidP="00886687">
            <w:pPr>
              <w:spacing w:before="120" w:after="120"/>
            </w:pPr>
            <w:r w:rsidRPr="002F6A28">
              <w:rPr>
                <w:b/>
              </w:rPr>
              <w:t>4.</w:t>
            </w:r>
          </w:p>
        </w:tc>
        <w:tc>
          <w:tcPr>
            <w:tcW w:w="8546" w:type="dxa"/>
            <w:tcBorders>
              <w:top w:val="single" w:sz="6" w:space="0" w:color="auto"/>
              <w:bottom w:val="single" w:sz="6" w:space="0" w:color="auto"/>
            </w:tcBorders>
            <w:shd w:val="clear" w:color="auto" w:fill="auto"/>
          </w:tcPr>
          <w:p w:rsidR="0048019B" w:rsidRDefault="00886687" w:rsidP="00886687">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Engine oils</w:t>
            </w:r>
            <w:r w:rsidR="00DE7493">
              <w:t xml:space="preserve">; </w:t>
            </w:r>
            <w:r>
              <w:t xml:space="preserve">Lubricating preparations (including cutting-oil preparations, bolt or nut release preparations, anti-rust or anti-corrosion preparations and mould release preparations, based on lubricants) and preparations of a kind used for the oil or grease treatment of textile materials, leather, </w:t>
            </w:r>
            <w:proofErr w:type="spellStart"/>
            <w:r>
              <w:t>furskins</w:t>
            </w:r>
            <w:proofErr w:type="spellEnd"/>
            <w:r>
              <w:t xml:space="preserve"> or other materials, but excluding preparations containing, as basic constituents, 70% or more by weight of petroleum oils or of oils obtained from bituminous minerals. (HS 3403). Lubricants, industrial oils and related products (ICS 75.100).</w:t>
            </w:r>
            <w:bookmarkStart w:id="6" w:name="sps3a"/>
            <w:bookmarkEnd w:id="6"/>
          </w:p>
        </w:tc>
      </w:tr>
      <w:tr w:rsidR="0048019B" w:rsidTr="0069259F">
        <w:tc>
          <w:tcPr>
            <w:tcW w:w="713" w:type="dxa"/>
            <w:tcBorders>
              <w:top w:val="single" w:sz="6" w:space="0" w:color="auto"/>
              <w:bottom w:val="single" w:sz="6" w:space="0" w:color="auto"/>
            </w:tcBorders>
            <w:shd w:val="clear" w:color="auto" w:fill="auto"/>
          </w:tcPr>
          <w:p w:rsidR="00F85C99" w:rsidRPr="002F6A28" w:rsidRDefault="00886687" w:rsidP="00886687">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86687" w:rsidP="00886687">
            <w:pPr>
              <w:spacing w:before="120" w:after="120"/>
            </w:pPr>
            <w:r w:rsidRPr="002F6A28">
              <w:rPr>
                <w:b/>
              </w:rPr>
              <w:t xml:space="preserve">Title, number of pages and language(s) of the notified document: </w:t>
            </w:r>
            <w:proofErr w:type="spellStart"/>
            <w:r>
              <w:t>DUS</w:t>
            </w:r>
            <w:proofErr w:type="spellEnd"/>
            <w:r>
              <w:t xml:space="preserve"> 2054:2018 Standard Test Method for Determination of Moderately High Temperature Piston Deposits by Thermo-Oxidation Engine Oil Simulation Test-</w:t>
            </w:r>
            <w:proofErr w:type="spellStart"/>
            <w:r>
              <w:t>TEOST</w:t>
            </w:r>
            <w:proofErr w:type="spellEnd"/>
            <w:r>
              <w:t xml:space="preserve"> </w:t>
            </w:r>
            <w:proofErr w:type="spellStart"/>
            <w:r>
              <w:t>MHT</w:t>
            </w:r>
            <w:proofErr w:type="spellEnd"/>
            <w:r>
              <w:t>, First Edition. (12 page(s), in English)</w:t>
            </w:r>
            <w:bookmarkStart w:id="7" w:name="sps5a"/>
            <w:bookmarkStart w:id="8" w:name="sps5b"/>
            <w:bookmarkEnd w:id="7"/>
            <w:bookmarkEnd w:id="8"/>
            <w:r w:rsidR="00DE7493" w:rsidRPr="002F6A28">
              <w:t xml:space="preserve"> </w:t>
            </w:r>
          </w:p>
        </w:tc>
      </w:tr>
      <w:tr w:rsidR="0048019B" w:rsidTr="0069259F">
        <w:tc>
          <w:tcPr>
            <w:tcW w:w="713" w:type="dxa"/>
            <w:tcBorders>
              <w:top w:val="single" w:sz="6" w:space="0" w:color="auto"/>
              <w:bottom w:val="single" w:sz="6" w:space="0" w:color="auto"/>
            </w:tcBorders>
            <w:shd w:val="clear" w:color="auto" w:fill="auto"/>
          </w:tcPr>
          <w:p w:rsidR="00F85C99" w:rsidRPr="002F6A28" w:rsidRDefault="00886687" w:rsidP="00886687">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86687" w:rsidP="00886687">
            <w:pPr>
              <w:spacing w:before="120" w:after="120"/>
              <w:rPr>
                <w:b/>
              </w:rPr>
            </w:pPr>
            <w:r w:rsidRPr="002F6A28">
              <w:rPr>
                <w:b/>
              </w:rPr>
              <w:t xml:space="preserve">Description of content: </w:t>
            </w:r>
            <w:r>
              <w:rPr>
                <w:lang w:eastAsia="en-GB"/>
              </w:rPr>
              <w:t>This Draft Uganda Standard covers the test method for the procedure to determine the mass of deposit formed on a specially constructed test rod exposed to repetitive passage of 8.5g of engine oil over the rod in a thin film under oxidative and catalytic conditions at 285°C. The range of applicability of the Moderately High Temperature Thermo-Oxidation Engine Test (</w:t>
            </w:r>
            <w:proofErr w:type="spellStart"/>
            <w:r>
              <w:rPr>
                <w:lang w:eastAsia="en-GB"/>
              </w:rPr>
              <w:t>TEOST</w:t>
            </w:r>
            <w:proofErr w:type="spellEnd"/>
            <w:r>
              <w:rPr>
                <w:lang w:eastAsia="en-GB"/>
              </w:rPr>
              <w:t xml:space="preserve"> </w:t>
            </w:r>
            <w:proofErr w:type="spellStart"/>
            <w:r>
              <w:rPr>
                <w:lang w:eastAsia="en-GB"/>
              </w:rPr>
              <w:t>MHT</w:t>
            </w:r>
            <w:proofErr w:type="spellEnd"/>
            <w:r>
              <w:rPr>
                <w:lang w:eastAsia="en-GB"/>
              </w:rPr>
              <w:t>) test method as derived from an interlaboratory study is approximately 10mg to 100mg. However, experience indicates that deposit values from 1mg to 150mg or greater may be obtained.</w:t>
            </w:r>
          </w:p>
          <w:p w:rsidR="0048019B" w:rsidRDefault="00886687" w:rsidP="00886687">
            <w:pPr>
              <w:spacing w:after="120"/>
            </w:pPr>
            <w:r>
              <w:rPr>
                <w:lang w:eastAsia="en-GB"/>
              </w:rPr>
              <w:t>This test method uses a patented instrument, method and patented, numbered, and registered depositor rods traceable to the manufacturer and made specifically for the practice and precision of the test method.</w:t>
            </w:r>
            <w:bookmarkStart w:id="9" w:name="sps6a"/>
            <w:bookmarkEnd w:id="9"/>
          </w:p>
        </w:tc>
      </w:tr>
      <w:tr w:rsidR="0048019B" w:rsidTr="0069259F">
        <w:tc>
          <w:tcPr>
            <w:tcW w:w="713" w:type="dxa"/>
            <w:tcBorders>
              <w:top w:val="single" w:sz="6" w:space="0" w:color="auto"/>
              <w:bottom w:val="single" w:sz="6" w:space="0" w:color="auto"/>
            </w:tcBorders>
            <w:shd w:val="clear" w:color="auto" w:fill="auto"/>
          </w:tcPr>
          <w:p w:rsidR="00F85C99" w:rsidRPr="002F6A28" w:rsidRDefault="00886687" w:rsidP="00886687">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86687" w:rsidP="00886687">
            <w:pPr>
              <w:spacing w:before="120" w:after="120"/>
              <w:rPr>
                <w:b/>
              </w:rPr>
            </w:pPr>
            <w:r w:rsidRPr="002F6A28">
              <w:rPr>
                <w:b/>
              </w:rPr>
              <w:t xml:space="preserve">Objective and rationale, including the nature of urgent problems where applicable: </w:t>
            </w:r>
            <w:r>
              <w:t>Prevention of deceptive practices and consumer protection; Harmonization</w:t>
            </w:r>
            <w:bookmarkStart w:id="10" w:name="sps7f"/>
            <w:bookmarkEnd w:id="10"/>
          </w:p>
        </w:tc>
      </w:tr>
      <w:tr w:rsidR="0048019B" w:rsidTr="0069259F">
        <w:tc>
          <w:tcPr>
            <w:tcW w:w="713" w:type="dxa"/>
            <w:tcBorders>
              <w:top w:val="single" w:sz="6" w:space="0" w:color="auto"/>
              <w:bottom w:val="single" w:sz="6" w:space="0" w:color="auto"/>
            </w:tcBorders>
            <w:shd w:val="clear" w:color="auto" w:fill="auto"/>
          </w:tcPr>
          <w:p w:rsidR="00F85C99" w:rsidRPr="002F6A28" w:rsidRDefault="00886687" w:rsidP="00645DB9">
            <w:pPr>
              <w:spacing w:before="120" w:after="120"/>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886687" w:rsidP="00886687">
            <w:pPr>
              <w:keepNext/>
              <w:keepLines/>
              <w:spacing w:before="120" w:after="120"/>
            </w:pPr>
            <w:r w:rsidRPr="002F6A28">
              <w:rPr>
                <w:b/>
              </w:rPr>
              <w:t>Relevant documents:</w:t>
            </w:r>
            <w:r w:rsidRPr="002F6A28">
              <w:t xml:space="preserve"> </w:t>
            </w:r>
          </w:p>
          <w:p w:rsidR="00F85C99" w:rsidRPr="002F6A28" w:rsidRDefault="00886687" w:rsidP="00886687">
            <w:pPr>
              <w:keepNext/>
              <w:keepLines/>
              <w:numPr>
                <w:ilvl w:val="0"/>
                <w:numId w:val="16"/>
              </w:numPr>
              <w:spacing w:after="120"/>
            </w:pPr>
            <w:r>
              <w:t>ASTM D4485</w:t>
            </w:r>
            <w:r w:rsidR="00DE7493">
              <w:t> </w:t>
            </w:r>
            <w:r>
              <w:t>Specification for Performance of Active API Service Category Engine Oils</w:t>
            </w:r>
          </w:p>
          <w:p w:rsidR="0048019B" w:rsidRDefault="00886687" w:rsidP="00886687">
            <w:pPr>
              <w:keepNext/>
              <w:keepLines/>
              <w:numPr>
                <w:ilvl w:val="0"/>
                <w:numId w:val="16"/>
              </w:numPr>
              <w:spacing w:after="120"/>
            </w:pPr>
            <w:r>
              <w:rPr>
                <w:lang w:eastAsia="en-GB"/>
              </w:rPr>
              <w:t>ASTM D6335</w:t>
            </w:r>
            <w:r w:rsidR="00DE7493">
              <w:rPr>
                <w:lang w:eastAsia="en-GB"/>
              </w:rPr>
              <w:t> </w:t>
            </w:r>
            <w:r>
              <w:rPr>
                <w:lang w:eastAsia="en-GB"/>
              </w:rPr>
              <w:t>Test Method for Determination of High Temperature Deposits by Thermo-Oxidation Engine Oil Simulation Test</w:t>
            </w:r>
          </w:p>
        </w:tc>
      </w:tr>
      <w:tr w:rsidR="0048019B" w:rsidTr="0069259F">
        <w:tc>
          <w:tcPr>
            <w:tcW w:w="713" w:type="dxa"/>
            <w:tcBorders>
              <w:top w:val="single" w:sz="6" w:space="0" w:color="auto"/>
              <w:bottom w:val="single" w:sz="6" w:space="0" w:color="auto"/>
            </w:tcBorders>
            <w:shd w:val="clear" w:color="auto" w:fill="auto"/>
          </w:tcPr>
          <w:p w:rsidR="00EE3A11" w:rsidRPr="002F6A28" w:rsidRDefault="00886687" w:rsidP="00886687">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86687" w:rsidP="00886687">
            <w:pPr>
              <w:spacing w:before="120" w:after="120"/>
            </w:pPr>
            <w:r w:rsidRPr="002F6A28">
              <w:rPr>
                <w:b/>
              </w:rPr>
              <w:t>Proposed date of adoption:</w:t>
            </w:r>
            <w:bookmarkStart w:id="11" w:name="sps10b"/>
            <w:r w:rsidR="00DE7493" w:rsidRPr="002F6A28">
              <w:rPr>
                <w:b/>
              </w:rPr>
              <w:t xml:space="preserve"> </w:t>
            </w:r>
            <w:r w:rsidRPr="002F6A28">
              <w:t>December 2018</w:t>
            </w:r>
            <w:bookmarkEnd w:id="11"/>
          </w:p>
          <w:p w:rsidR="00EE3A11" w:rsidRPr="002F6A28" w:rsidRDefault="00886687" w:rsidP="00886687">
            <w:pPr>
              <w:spacing w:after="120"/>
            </w:pPr>
            <w:r w:rsidRPr="002F6A28">
              <w:rPr>
                <w:b/>
              </w:rPr>
              <w:t>Proposed date of entry into force:</w:t>
            </w:r>
            <w:bookmarkStart w:id="12" w:name="sps11b"/>
            <w:r w:rsidR="00DE7493" w:rsidRPr="002F6A28">
              <w:rPr>
                <w:b/>
              </w:rPr>
              <w:t xml:space="preserve"> </w:t>
            </w:r>
            <w:r w:rsidRPr="002F6A28">
              <w:t>Not applicable</w:t>
            </w:r>
            <w:bookmarkEnd w:id="12"/>
          </w:p>
        </w:tc>
      </w:tr>
      <w:tr w:rsidR="0048019B" w:rsidTr="0069259F">
        <w:tc>
          <w:tcPr>
            <w:tcW w:w="713" w:type="dxa"/>
            <w:tcBorders>
              <w:top w:val="single" w:sz="6" w:space="0" w:color="auto"/>
              <w:bottom w:val="single" w:sz="6" w:space="0" w:color="auto"/>
            </w:tcBorders>
            <w:shd w:val="clear" w:color="auto" w:fill="auto"/>
          </w:tcPr>
          <w:p w:rsidR="00F85C99" w:rsidRPr="002F6A28" w:rsidRDefault="00886687" w:rsidP="00886687">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86687" w:rsidP="00886687">
            <w:pPr>
              <w:spacing w:before="120" w:after="120"/>
            </w:pPr>
            <w:r w:rsidRPr="002F6A28">
              <w:rPr>
                <w:b/>
              </w:rPr>
              <w:t xml:space="preserve">Final date for comments: </w:t>
            </w:r>
            <w:r>
              <w:t>60 days from notification</w:t>
            </w:r>
            <w:bookmarkStart w:id="13" w:name="sps12a"/>
            <w:bookmarkEnd w:id="13"/>
          </w:p>
        </w:tc>
      </w:tr>
      <w:tr w:rsidR="0048019B" w:rsidTr="0069259F">
        <w:tc>
          <w:tcPr>
            <w:tcW w:w="713" w:type="dxa"/>
            <w:tcBorders>
              <w:top w:val="single" w:sz="6" w:space="0" w:color="auto"/>
            </w:tcBorders>
            <w:shd w:val="clear" w:color="auto" w:fill="auto"/>
          </w:tcPr>
          <w:p w:rsidR="00F85C99" w:rsidRPr="002F6A28" w:rsidRDefault="0088668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86687"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tc>
      </w:tr>
    </w:tbl>
    <w:p w:rsidR="00EE3A11" w:rsidRPr="002F6A28" w:rsidRDefault="00560026" w:rsidP="002F6A28"/>
    <w:sectPr w:rsidR="00EE3A11" w:rsidRPr="002F6A28" w:rsidSect="00541707">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42E" w:rsidRDefault="00886687">
      <w:r>
        <w:separator/>
      </w:r>
    </w:p>
  </w:endnote>
  <w:endnote w:type="continuationSeparator" w:id="0">
    <w:p w:rsidR="0045142E" w:rsidRDefault="0088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41707" w:rsidRDefault="00541707" w:rsidP="0054170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41707" w:rsidRDefault="00541707" w:rsidP="0054170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86687">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42E" w:rsidRDefault="00886687">
      <w:r>
        <w:separator/>
      </w:r>
    </w:p>
  </w:footnote>
  <w:footnote w:type="continuationSeparator" w:id="0">
    <w:p w:rsidR="0045142E" w:rsidRDefault="00886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707" w:rsidRPr="00541707" w:rsidRDefault="00541707" w:rsidP="00541707">
    <w:pPr>
      <w:pStyle w:val="En-tte"/>
      <w:pBdr>
        <w:bottom w:val="single" w:sz="4" w:space="1" w:color="auto"/>
      </w:pBdr>
      <w:tabs>
        <w:tab w:val="clear" w:pos="4513"/>
        <w:tab w:val="clear" w:pos="9027"/>
      </w:tabs>
      <w:jc w:val="center"/>
    </w:pPr>
    <w:r w:rsidRPr="00541707">
      <w:t>G/TBT/N/</w:t>
    </w:r>
    <w:proofErr w:type="spellStart"/>
    <w:r w:rsidRPr="00541707">
      <w:t>UGA</w:t>
    </w:r>
    <w:proofErr w:type="spellEnd"/>
    <w:r w:rsidRPr="00541707">
      <w:t>/948</w:t>
    </w:r>
  </w:p>
  <w:p w:rsidR="00541707" w:rsidRPr="00541707" w:rsidRDefault="00541707" w:rsidP="00541707">
    <w:pPr>
      <w:pStyle w:val="En-tte"/>
      <w:pBdr>
        <w:bottom w:val="single" w:sz="4" w:space="1" w:color="auto"/>
      </w:pBdr>
      <w:tabs>
        <w:tab w:val="clear" w:pos="4513"/>
        <w:tab w:val="clear" w:pos="9027"/>
      </w:tabs>
      <w:jc w:val="center"/>
    </w:pPr>
  </w:p>
  <w:p w:rsidR="00541707" w:rsidRPr="00541707" w:rsidRDefault="00541707" w:rsidP="00541707">
    <w:pPr>
      <w:pStyle w:val="En-tte"/>
      <w:pBdr>
        <w:bottom w:val="single" w:sz="4" w:space="1" w:color="auto"/>
      </w:pBdr>
      <w:tabs>
        <w:tab w:val="clear" w:pos="4513"/>
        <w:tab w:val="clear" w:pos="9027"/>
      </w:tabs>
      <w:jc w:val="center"/>
    </w:pPr>
    <w:r w:rsidRPr="00541707">
      <w:t xml:space="preserve">- </w:t>
    </w:r>
    <w:r w:rsidRPr="00541707">
      <w:fldChar w:fldCharType="begin"/>
    </w:r>
    <w:r w:rsidRPr="00541707">
      <w:instrText xml:space="preserve"> PAGE </w:instrText>
    </w:r>
    <w:r w:rsidRPr="00541707">
      <w:fldChar w:fldCharType="separate"/>
    </w:r>
    <w:r w:rsidR="00560026">
      <w:rPr>
        <w:noProof/>
      </w:rPr>
      <w:t>2</w:t>
    </w:r>
    <w:r w:rsidRPr="00541707">
      <w:fldChar w:fldCharType="end"/>
    </w:r>
    <w:r w:rsidRPr="00541707">
      <w:t xml:space="preserve"> -</w:t>
    </w:r>
  </w:p>
  <w:p w:rsidR="009239F7" w:rsidRPr="00541707" w:rsidRDefault="00560026" w:rsidP="0054170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707" w:rsidRPr="00541707" w:rsidRDefault="00541707" w:rsidP="00541707">
    <w:pPr>
      <w:pStyle w:val="En-tte"/>
      <w:pBdr>
        <w:bottom w:val="single" w:sz="4" w:space="1" w:color="auto"/>
      </w:pBdr>
      <w:tabs>
        <w:tab w:val="clear" w:pos="4513"/>
        <w:tab w:val="clear" w:pos="9027"/>
      </w:tabs>
      <w:jc w:val="center"/>
    </w:pPr>
    <w:r w:rsidRPr="00541707">
      <w:t>G/TBT/N/</w:t>
    </w:r>
    <w:proofErr w:type="spellStart"/>
    <w:r w:rsidRPr="00541707">
      <w:t>UGA</w:t>
    </w:r>
    <w:proofErr w:type="spellEnd"/>
    <w:r w:rsidRPr="00541707">
      <w:t>/948</w:t>
    </w:r>
  </w:p>
  <w:p w:rsidR="00541707" w:rsidRPr="00541707" w:rsidRDefault="00541707" w:rsidP="00541707">
    <w:pPr>
      <w:pStyle w:val="En-tte"/>
      <w:pBdr>
        <w:bottom w:val="single" w:sz="4" w:space="1" w:color="auto"/>
      </w:pBdr>
      <w:tabs>
        <w:tab w:val="clear" w:pos="4513"/>
        <w:tab w:val="clear" w:pos="9027"/>
      </w:tabs>
      <w:jc w:val="center"/>
    </w:pPr>
  </w:p>
  <w:p w:rsidR="00541707" w:rsidRPr="00541707" w:rsidRDefault="00541707" w:rsidP="00541707">
    <w:pPr>
      <w:pStyle w:val="En-tte"/>
      <w:pBdr>
        <w:bottom w:val="single" w:sz="4" w:space="1" w:color="auto"/>
      </w:pBdr>
      <w:tabs>
        <w:tab w:val="clear" w:pos="4513"/>
        <w:tab w:val="clear" w:pos="9027"/>
      </w:tabs>
      <w:jc w:val="center"/>
    </w:pPr>
    <w:r w:rsidRPr="00541707">
      <w:t xml:space="preserve">- </w:t>
    </w:r>
    <w:r w:rsidRPr="00541707">
      <w:fldChar w:fldCharType="begin"/>
    </w:r>
    <w:r w:rsidRPr="00541707">
      <w:instrText xml:space="preserve"> PAGE </w:instrText>
    </w:r>
    <w:r w:rsidRPr="00541707">
      <w:fldChar w:fldCharType="separate"/>
    </w:r>
    <w:r w:rsidRPr="00541707">
      <w:rPr>
        <w:noProof/>
      </w:rPr>
      <w:t>1</w:t>
    </w:r>
    <w:r w:rsidRPr="00541707">
      <w:fldChar w:fldCharType="end"/>
    </w:r>
    <w:r w:rsidRPr="00541707">
      <w:t xml:space="preserve"> -</w:t>
    </w:r>
  </w:p>
  <w:p w:rsidR="009239F7" w:rsidRPr="00541707" w:rsidRDefault="00560026" w:rsidP="0054170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019B" w:rsidTr="008612A9">
      <w:trPr>
        <w:trHeight w:val="240"/>
        <w:jc w:val="center"/>
      </w:trPr>
      <w:tc>
        <w:tcPr>
          <w:tcW w:w="3794" w:type="dxa"/>
          <w:shd w:val="clear" w:color="auto" w:fill="FFFFFF"/>
          <w:tcMar>
            <w:left w:w="108" w:type="dxa"/>
            <w:right w:w="108" w:type="dxa"/>
          </w:tcMar>
          <w:vAlign w:val="center"/>
        </w:tcPr>
        <w:p w:rsidR="00ED54E0" w:rsidRPr="009239F7" w:rsidRDefault="00560026" w:rsidP="00B801E9">
          <w:pPr>
            <w:rPr>
              <w:noProof/>
              <w:lang w:eastAsia="en-GB"/>
            </w:rPr>
          </w:pPr>
          <w:bookmarkStart w:id="15" w:name="bmkRestricted" w:colFirst="1" w:colLast="1"/>
        </w:p>
      </w:tc>
      <w:tc>
        <w:tcPr>
          <w:tcW w:w="5448" w:type="dxa"/>
          <w:gridSpan w:val="2"/>
          <w:shd w:val="clear" w:color="auto" w:fill="FFFFFF"/>
          <w:tcMar>
            <w:left w:w="108" w:type="dxa"/>
            <w:right w:w="108" w:type="dxa"/>
          </w:tcMar>
          <w:vAlign w:val="center"/>
        </w:tcPr>
        <w:p w:rsidR="00ED54E0" w:rsidRPr="009239F7" w:rsidRDefault="00541707" w:rsidP="00B801E9">
          <w:pPr>
            <w:jc w:val="right"/>
            <w:rPr>
              <w:b/>
              <w:color w:val="FF0000"/>
              <w:szCs w:val="16"/>
            </w:rPr>
          </w:pPr>
          <w:r>
            <w:rPr>
              <w:b/>
              <w:color w:val="FF0000"/>
              <w:szCs w:val="16"/>
            </w:rPr>
            <w:t xml:space="preserve"> </w:t>
          </w:r>
        </w:p>
      </w:tc>
    </w:tr>
    <w:bookmarkEnd w:id="15"/>
    <w:tr w:rsidR="0048019B" w:rsidTr="008612A9">
      <w:trPr>
        <w:trHeight w:val="213"/>
        <w:jc w:val="center"/>
      </w:trPr>
      <w:tc>
        <w:tcPr>
          <w:tcW w:w="3794" w:type="dxa"/>
          <w:vMerge w:val="restart"/>
          <w:shd w:val="clear" w:color="auto" w:fill="FFFFFF"/>
          <w:tcMar>
            <w:left w:w="0" w:type="dxa"/>
            <w:right w:w="0" w:type="dxa"/>
          </w:tcMar>
        </w:tcPr>
        <w:p w:rsidR="00ED54E0" w:rsidRPr="009239F7" w:rsidRDefault="00292618"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60026" w:rsidP="00B801E9">
          <w:pPr>
            <w:jc w:val="right"/>
            <w:rPr>
              <w:b/>
              <w:szCs w:val="16"/>
            </w:rPr>
          </w:pPr>
        </w:p>
      </w:tc>
    </w:tr>
    <w:tr w:rsidR="0048019B" w:rsidTr="008612A9">
      <w:trPr>
        <w:trHeight w:val="868"/>
        <w:jc w:val="center"/>
      </w:trPr>
      <w:tc>
        <w:tcPr>
          <w:tcW w:w="3794" w:type="dxa"/>
          <w:vMerge/>
          <w:shd w:val="clear" w:color="auto" w:fill="FFFFFF"/>
          <w:tcMar>
            <w:left w:w="108" w:type="dxa"/>
            <w:right w:w="108" w:type="dxa"/>
          </w:tcMar>
        </w:tcPr>
        <w:p w:rsidR="00ED54E0" w:rsidRPr="009239F7" w:rsidRDefault="00560026" w:rsidP="00B801E9">
          <w:pPr>
            <w:jc w:val="left"/>
            <w:rPr>
              <w:noProof/>
              <w:lang w:eastAsia="en-GB"/>
            </w:rPr>
          </w:pPr>
        </w:p>
      </w:tc>
      <w:tc>
        <w:tcPr>
          <w:tcW w:w="5448" w:type="dxa"/>
          <w:gridSpan w:val="2"/>
          <w:shd w:val="clear" w:color="auto" w:fill="FFFFFF"/>
          <w:tcMar>
            <w:left w:w="108" w:type="dxa"/>
            <w:right w:w="108" w:type="dxa"/>
          </w:tcMar>
        </w:tcPr>
        <w:p w:rsidR="00541707" w:rsidRDefault="00541707" w:rsidP="00B801E9">
          <w:pPr>
            <w:jc w:val="right"/>
            <w:rPr>
              <w:b/>
              <w:szCs w:val="16"/>
            </w:rPr>
          </w:pPr>
          <w:bookmarkStart w:id="16" w:name="bmkSymbols"/>
          <w:r>
            <w:rPr>
              <w:b/>
              <w:szCs w:val="16"/>
            </w:rPr>
            <w:t>G/TBT/N/</w:t>
          </w:r>
          <w:proofErr w:type="spellStart"/>
          <w:r>
            <w:rPr>
              <w:b/>
              <w:szCs w:val="16"/>
            </w:rPr>
            <w:t>UGA</w:t>
          </w:r>
          <w:proofErr w:type="spellEnd"/>
          <w:r>
            <w:rPr>
              <w:b/>
              <w:szCs w:val="16"/>
            </w:rPr>
            <w:t>/948</w:t>
          </w:r>
        </w:p>
        <w:bookmarkEnd w:id="16"/>
        <w:p w:rsidR="00ED54E0" w:rsidRPr="009239F7" w:rsidRDefault="00560026" w:rsidP="00B801E9">
          <w:pPr>
            <w:jc w:val="right"/>
            <w:rPr>
              <w:b/>
              <w:szCs w:val="16"/>
            </w:rPr>
          </w:pPr>
        </w:p>
      </w:tc>
    </w:tr>
    <w:tr w:rsidR="0048019B" w:rsidTr="008612A9">
      <w:trPr>
        <w:trHeight w:val="240"/>
        <w:jc w:val="center"/>
      </w:trPr>
      <w:tc>
        <w:tcPr>
          <w:tcW w:w="3794" w:type="dxa"/>
          <w:vMerge/>
          <w:shd w:val="clear" w:color="auto" w:fill="FFFFFF"/>
          <w:tcMar>
            <w:left w:w="108" w:type="dxa"/>
            <w:right w:w="108" w:type="dxa"/>
          </w:tcMar>
          <w:vAlign w:val="center"/>
        </w:tcPr>
        <w:p w:rsidR="00ED54E0" w:rsidRPr="009239F7" w:rsidRDefault="00560026" w:rsidP="00B801E9"/>
      </w:tc>
      <w:tc>
        <w:tcPr>
          <w:tcW w:w="5448" w:type="dxa"/>
          <w:gridSpan w:val="2"/>
          <w:shd w:val="clear" w:color="auto" w:fill="FFFFFF"/>
          <w:tcMar>
            <w:left w:w="108" w:type="dxa"/>
            <w:right w:w="108" w:type="dxa"/>
          </w:tcMar>
          <w:vAlign w:val="center"/>
        </w:tcPr>
        <w:p w:rsidR="00ED54E0" w:rsidRPr="009239F7" w:rsidRDefault="00560026" w:rsidP="00B801E9">
          <w:pPr>
            <w:jc w:val="right"/>
            <w:rPr>
              <w:szCs w:val="16"/>
            </w:rPr>
          </w:pPr>
          <w:bookmarkStart w:id="17" w:name="spsDateDistribution"/>
          <w:bookmarkStart w:id="18" w:name="bmkDate"/>
          <w:bookmarkEnd w:id="17"/>
          <w:bookmarkEnd w:id="18"/>
          <w:r>
            <w:rPr>
              <w:szCs w:val="16"/>
            </w:rPr>
            <w:t>17 October 2</w:t>
          </w:r>
          <w:bookmarkStart w:id="19" w:name="_GoBack"/>
          <w:bookmarkEnd w:id="19"/>
          <w:r>
            <w:rPr>
              <w:szCs w:val="16"/>
            </w:rPr>
            <w:t>018</w:t>
          </w:r>
        </w:p>
      </w:tc>
    </w:tr>
    <w:tr w:rsidR="0048019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86687" w:rsidP="0097650D">
          <w:pPr>
            <w:jc w:val="left"/>
            <w:rPr>
              <w:b/>
            </w:rPr>
          </w:pPr>
          <w:bookmarkStart w:id="20" w:name="bmkSerial"/>
          <w:r w:rsidRPr="002F6A28">
            <w:rPr>
              <w:color w:val="FF0000"/>
              <w:szCs w:val="16"/>
            </w:rPr>
            <w:t>(</w:t>
          </w:r>
          <w:bookmarkStart w:id="21" w:name="spsSerialNumber"/>
          <w:bookmarkEnd w:id="21"/>
          <w:r w:rsidR="00560026">
            <w:rPr>
              <w:color w:val="FF0000"/>
              <w:szCs w:val="16"/>
            </w:rPr>
            <w:t>18-6463</w:t>
          </w:r>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886687" w:rsidP="00B801E9">
          <w:pPr>
            <w:jc w:val="right"/>
            <w:rPr>
              <w:szCs w:val="16"/>
            </w:rPr>
          </w:pPr>
          <w:bookmarkStart w:id="2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6002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60026">
            <w:rPr>
              <w:bCs/>
              <w:noProof/>
              <w:szCs w:val="16"/>
            </w:rPr>
            <w:t>2</w:t>
          </w:r>
          <w:r w:rsidRPr="002F6A28">
            <w:rPr>
              <w:bCs/>
              <w:szCs w:val="16"/>
            </w:rPr>
            <w:fldChar w:fldCharType="end"/>
          </w:r>
          <w:bookmarkEnd w:id="22"/>
        </w:p>
      </w:tc>
    </w:tr>
    <w:tr w:rsidR="0048019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41707" w:rsidP="00B801E9">
          <w:pPr>
            <w:jc w:val="left"/>
            <w:rPr>
              <w:sz w:val="14"/>
              <w:szCs w:val="16"/>
            </w:rPr>
          </w:pPr>
          <w:bookmarkStart w:id="23" w:name="bmkCommittee"/>
          <w:r>
            <w:rPr>
              <w:b/>
            </w:rPr>
            <w:t>Committee on Technical Barriers to Trade</w:t>
          </w:r>
          <w:bookmarkEnd w:id="23"/>
        </w:p>
      </w:tc>
      <w:tc>
        <w:tcPr>
          <w:tcW w:w="3325" w:type="dxa"/>
          <w:tcBorders>
            <w:top w:val="single" w:sz="4" w:space="0" w:color="auto"/>
          </w:tcBorders>
          <w:tcMar>
            <w:top w:w="113" w:type="dxa"/>
            <w:left w:w="108" w:type="dxa"/>
            <w:bottom w:w="57" w:type="dxa"/>
            <w:right w:w="108" w:type="dxa"/>
          </w:tcMar>
          <w:vAlign w:val="center"/>
        </w:tcPr>
        <w:p w:rsidR="00ED54E0" w:rsidRPr="002F6A28" w:rsidRDefault="00541707" w:rsidP="00B801E9">
          <w:pPr>
            <w:jc w:val="right"/>
            <w:rPr>
              <w:bCs/>
              <w:szCs w:val="18"/>
            </w:rPr>
          </w:pPr>
          <w:bookmarkStart w:id="24" w:name="bmkLanguage"/>
          <w:r>
            <w:rPr>
              <w:bCs/>
              <w:szCs w:val="18"/>
            </w:rPr>
            <w:t>Original: English</w:t>
          </w:r>
          <w:bookmarkEnd w:id="24"/>
        </w:p>
      </w:tc>
    </w:tr>
  </w:tbl>
  <w:p w:rsidR="00ED54E0" w:rsidRPr="002F6A28" w:rsidRDefault="005600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2546046">
      <w:start w:val="1"/>
      <w:numFmt w:val="decimal"/>
      <w:pStyle w:val="SummaryText"/>
      <w:lvlText w:val="%1."/>
      <w:lvlJc w:val="left"/>
      <w:pPr>
        <w:ind w:left="360" w:hanging="360"/>
      </w:pPr>
    </w:lvl>
    <w:lvl w:ilvl="1" w:tplc="DF486AD0" w:tentative="1">
      <w:start w:val="1"/>
      <w:numFmt w:val="lowerLetter"/>
      <w:lvlText w:val="%2."/>
      <w:lvlJc w:val="left"/>
      <w:pPr>
        <w:ind w:left="1080" w:hanging="360"/>
      </w:pPr>
    </w:lvl>
    <w:lvl w:ilvl="2" w:tplc="46106676" w:tentative="1">
      <w:start w:val="1"/>
      <w:numFmt w:val="lowerRoman"/>
      <w:lvlText w:val="%3."/>
      <w:lvlJc w:val="right"/>
      <w:pPr>
        <w:ind w:left="1800" w:hanging="180"/>
      </w:pPr>
    </w:lvl>
    <w:lvl w:ilvl="3" w:tplc="2286F39A" w:tentative="1">
      <w:start w:val="1"/>
      <w:numFmt w:val="decimal"/>
      <w:lvlText w:val="%4."/>
      <w:lvlJc w:val="left"/>
      <w:pPr>
        <w:ind w:left="2520" w:hanging="360"/>
      </w:pPr>
    </w:lvl>
    <w:lvl w:ilvl="4" w:tplc="00C28E3C" w:tentative="1">
      <w:start w:val="1"/>
      <w:numFmt w:val="lowerLetter"/>
      <w:lvlText w:val="%5."/>
      <w:lvlJc w:val="left"/>
      <w:pPr>
        <w:ind w:left="3240" w:hanging="360"/>
      </w:pPr>
    </w:lvl>
    <w:lvl w:ilvl="5" w:tplc="3FF88E92" w:tentative="1">
      <w:start w:val="1"/>
      <w:numFmt w:val="lowerRoman"/>
      <w:lvlText w:val="%6."/>
      <w:lvlJc w:val="right"/>
      <w:pPr>
        <w:ind w:left="3960" w:hanging="180"/>
      </w:pPr>
    </w:lvl>
    <w:lvl w:ilvl="6" w:tplc="DD905636" w:tentative="1">
      <w:start w:val="1"/>
      <w:numFmt w:val="decimal"/>
      <w:lvlText w:val="%7."/>
      <w:lvlJc w:val="left"/>
      <w:pPr>
        <w:ind w:left="4680" w:hanging="360"/>
      </w:pPr>
    </w:lvl>
    <w:lvl w:ilvl="7" w:tplc="C67E7B52" w:tentative="1">
      <w:start w:val="1"/>
      <w:numFmt w:val="lowerLetter"/>
      <w:lvlText w:val="%8."/>
      <w:lvlJc w:val="left"/>
      <w:pPr>
        <w:ind w:left="5400" w:hanging="360"/>
      </w:pPr>
    </w:lvl>
    <w:lvl w:ilvl="8" w:tplc="933CEEBC"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9B"/>
    <w:rsid w:val="00292618"/>
    <w:rsid w:val="0045142E"/>
    <w:rsid w:val="0048019B"/>
    <w:rsid w:val="00541707"/>
    <w:rsid w:val="00560026"/>
    <w:rsid w:val="00645DB9"/>
    <w:rsid w:val="00886687"/>
    <w:rsid w:val="009B20AB"/>
    <w:rsid w:val="00DE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0E5EF"/>
  <w15:docId w15:val="{A04F0115-B0D0-4045-828B-1D3A3108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2547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8</cp:revision>
  <dcterms:created xsi:type="dcterms:W3CDTF">2018-10-16T10:29:00Z</dcterms:created>
  <dcterms:modified xsi:type="dcterms:W3CDTF">2018-10-17T08:52:00Z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G/TBT/N/UGA/948</vt:lpwstr>
  </property>
</Properties>
</file>