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51E8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51E80" w:rsidP="002F6A28">
      <w:pPr>
        <w:jc w:val="center"/>
      </w:pPr>
      <w:r w:rsidRPr="002F6A28">
        <w:t>The following notification is being circulated in accor</w:t>
      </w:r>
      <w:bookmarkStart w:id="0" w:name="_GoBack"/>
      <w:bookmarkEnd w:id="0"/>
      <w:r w:rsidRPr="002F6A28">
        <w:t>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C0D6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Burundi</w:t>
            </w:r>
            <w:bookmarkEnd w:id="2"/>
            <w:r w:rsidRPr="002F6A28">
              <w:t xml:space="preserve"> </w:t>
            </w:r>
          </w:p>
          <w:p w:rsidR="00F85C99" w:rsidRPr="002F6A28" w:rsidRDefault="00B51E8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C0D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AC0D60" w:rsidRPr="002F6A28" w:rsidRDefault="00B51E80" w:rsidP="00155128">
            <w:r w:rsidRPr="002F6A28">
              <w:t>Burundi Bureau of Standards and Quality Control (BBN)</w:t>
            </w:r>
          </w:p>
          <w:p w:rsidR="00AC0D60" w:rsidRPr="00B51E80" w:rsidRDefault="00B51E80" w:rsidP="00155128">
            <w:pPr>
              <w:rPr>
                <w:lang w:val="fr-CH"/>
              </w:rPr>
            </w:pPr>
            <w:r w:rsidRPr="00B51E80">
              <w:rPr>
                <w:lang w:val="fr-CH"/>
              </w:rPr>
              <w:t>Boulevard de la Tanzanie N° 500</w:t>
            </w:r>
          </w:p>
          <w:p w:rsidR="00AC0D60" w:rsidRPr="00B51E80" w:rsidRDefault="00B51E80" w:rsidP="00155128">
            <w:pPr>
              <w:rPr>
                <w:lang w:val="es-ES"/>
              </w:rPr>
            </w:pPr>
            <w:r w:rsidRPr="00B51E80">
              <w:rPr>
                <w:lang w:val="es-ES"/>
              </w:rPr>
              <w:t xml:space="preserve">BP: 3535 </w:t>
            </w:r>
            <w:proofErr w:type="spellStart"/>
            <w:r w:rsidRPr="00B51E80">
              <w:rPr>
                <w:lang w:val="es-ES"/>
              </w:rPr>
              <w:t>Bujumbura</w:t>
            </w:r>
            <w:proofErr w:type="spellEnd"/>
            <w:r w:rsidRPr="00B51E80">
              <w:rPr>
                <w:lang w:val="es-ES"/>
              </w:rPr>
              <w:t>, Burundi</w:t>
            </w:r>
          </w:p>
          <w:p w:rsidR="00AC0D60" w:rsidRPr="00B51E80" w:rsidRDefault="00B51E80" w:rsidP="00155128">
            <w:pPr>
              <w:rPr>
                <w:lang w:val="es-ES"/>
              </w:rPr>
            </w:pPr>
            <w:r w:rsidRPr="00B51E80">
              <w:rPr>
                <w:lang w:val="es-ES"/>
              </w:rPr>
              <w:t>Tel: +25722221815/+25722221577</w:t>
            </w:r>
          </w:p>
          <w:p w:rsidR="00AC0D60" w:rsidRPr="00B51E80" w:rsidRDefault="00B51E80" w:rsidP="00155128">
            <w:pPr>
              <w:rPr>
                <w:lang w:val="es-ES"/>
              </w:rPr>
            </w:pPr>
            <w:r w:rsidRPr="00B51E80">
              <w:rPr>
                <w:lang w:val="es-ES"/>
              </w:rPr>
              <w:t xml:space="preserve">E- Mail: </w:t>
            </w:r>
            <w:hyperlink r:id="rId7" w:history="1">
              <w:r w:rsidRPr="00F70D4B">
                <w:rPr>
                  <w:rStyle w:val="Lienhypertexte"/>
                  <w:lang w:val="es-ES"/>
                </w:rPr>
                <w:t>info@bbn-burundi.org</w:t>
              </w:r>
            </w:hyperlink>
            <w:r>
              <w:rPr>
                <w:lang w:val="es-ES"/>
              </w:rPr>
              <w:t xml:space="preserve"> </w:t>
            </w:r>
          </w:p>
          <w:p w:rsidR="00AC0D60" w:rsidRPr="002F6A28" w:rsidRDefault="00B51E80" w:rsidP="00155128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F70D4B">
                <w:rPr>
                  <w:rStyle w:val="Lienhypertexte"/>
                </w:rPr>
                <w:t>www.bbn-burundi.org</w:t>
              </w:r>
            </w:hyperlink>
            <w:bookmarkEnd w:id="6"/>
            <w:r>
              <w:t xml:space="preserve"> </w:t>
            </w:r>
          </w:p>
          <w:p w:rsidR="00F85C99" w:rsidRPr="002F6A28" w:rsidRDefault="00B51E8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AC0D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51E8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AC0D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Cosmetics. Toiletries (ICS 71.100.70)</w:t>
            </w:r>
            <w:bookmarkEnd w:id="20"/>
          </w:p>
        </w:tc>
      </w:tr>
      <w:tr w:rsidR="00AC0D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Glycerine for cosmetic industry — Specification (16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C0D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This Draft East African Standard specifies requirements, sampling and test methods for glycerine for cosmetic industry.</w:t>
            </w:r>
            <w:bookmarkEnd w:id="26"/>
          </w:p>
        </w:tc>
      </w:tr>
      <w:tr w:rsidR="00AC0D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Consumer information, labelling; Prevention of deceptive practices and consumer protection; Protection of human health or safety; Quality requirements; Harmonization; Reducing trade barriers and facilitating trade</w:t>
            </w:r>
            <w:bookmarkEnd w:id="28"/>
          </w:p>
        </w:tc>
      </w:tr>
      <w:tr w:rsidR="00AC0D60" w:rsidRPr="000B53C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51E8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846, Glossary of terms relating to the cosmetic industry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847-2, Oils for cosmetic industry — Methods of test — Part 2: Determination of moisture content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847-7, Oils for cosmetic industry — Methods of test — Part 7: Determination of specific gravity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847-15, Cosmetics — Analytical methods — Part 15: Determination of ash content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847-16, Oils for cosmetic industry — Methods of test — Part 16: Determination of heavy metal content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EAS 346, Labelling of cosmetics — General requirements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377 (all parts), Cosmetics and cosmetic products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24153, Random sampling and randomisation procedures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British pharmacopeia, 2015.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FDUS 1832:2018, Glycerine for Cosmetic use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1796 (1986): Glycerine — Specification.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12590 (1988): Glycerine for Cosmetic Industry.</w:t>
            </w:r>
          </w:p>
          <w:p w:rsidR="00AC0D60" w:rsidRPr="002F6A28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Physical Properties of Glycerine and Its Solutions, May 1967</w:t>
            </w:r>
          </w:p>
          <w:p w:rsidR="00AC0D60" w:rsidRPr="00B51E80" w:rsidRDefault="00B51E8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fr-CH"/>
              </w:rPr>
            </w:pPr>
            <w:r w:rsidRPr="00B51E80">
              <w:rPr>
                <w:bCs/>
                <w:lang w:val="fr-CH"/>
              </w:rPr>
              <w:t xml:space="preserve">USP 29- NF 24 page 1011, </w:t>
            </w:r>
            <w:proofErr w:type="spellStart"/>
            <w:r w:rsidRPr="00B51E80">
              <w:rPr>
                <w:bCs/>
                <w:lang w:val="fr-CH"/>
              </w:rPr>
              <w:t>pharmacopeial</w:t>
            </w:r>
            <w:proofErr w:type="spellEnd"/>
            <w:r w:rsidRPr="00B51E80">
              <w:rPr>
                <w:bCs/>
                <w:lang w:val="fr-CH"/>
              </w:rPr>
              <w:t xml:space="preserve"> forum volume 28 (4) page 12450.</w:t>
            </w:r>
          </w:p>
        </w:tc>
      </w:tr>
      <w:tr w:rsidR="00AC0D6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51E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51E8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 xml:space="preserve">To be determined </w:t>
            </w:r>
            <w:bookmarkEnd w:id="32"/>
          </w:p>
          <w:p w:rsidR="00EE3A11" w:rsidRPr="002F6A28" w:rsidRDefault="00B51E8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To be determined </w:t>
            </w:r>
            <w:bookmarkEnd w:id="35"/>
          </w:p>
        </w:tc>
      </w:tr>
      <w:tr w:rsidR="00AC0D6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1E8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bookmarkEnd w:id="37"/>
          </w:p>
        </w:tc>
      </w:tr>
      <w:tr w:rsidR="00AC0D6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51E8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51E8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AC0D60" w:rsidRPr="00B51E80" w:rsidRDefault="00B51E80" w:rsidP="00B16145">
            <w:pPr>
              <w:keepNext/>
              <w:keepLines/>
              <w:rPr>
                <w:lang w:val="fr-CH"/>
              </w:rPr>
            </w:pPr>
            <w:r w:rsidRPr="00B51E80">
              <w:rPr>
                <w:lang w:val="fr-CH"/>
              </w:rPr>
              <w:t>Documentation and Information Centre Division at BBN</w:t>
            </w:r>
          </w:p>
          <w:p w:rsidR="00AC0D60" w:rsidRPr="00B51E80" w:rsidRDefault="00B51E80" w:rsidP="00B16145">
            <w:pPr>
              <w:keepNext/>
              <w:keepLines/>
              <w:rPr>
                <w:lang w:val="fr-CH"/>
              </w:rPr>
            </w:pPr>
            <w:r w:rsidRPr="00B51E80">
              <w:rPr>
                <w:lang w:val="fr-CH"/>
              </w:rPr>
              <w:t>Boulevard de la Tanzanie N° 500</w:t>
            </w:r>
          </w:p>
          <w:p w:rsidR="00AC0D60" w:rsidRPr="002F6A28" w:rsidRDefault="00B51E80" w:rsidP="00B16145">
            <w:pPr>
              <w:keepNext/>
              <w:keepLines/>
            </w:pPr>
            <w:r w:rsidRPr="002F6A28">
              <w:t>BP: 3535 Bujumbura, Burundi</w:t>
            </w:r>
          </w:p>
          <w:p w:rsidR="00AC0D60" w:rsidRPr="002F6A28" w:rsidRDefault="00B51E80" w:rsidP="00B16145">
            <w:pPr>
              <w:keepNext/>
              <w:keepLines/>
            </w:pPr>
            <w:r w:rsidRPr="002F6A28">
              <w:t>Tel: +25722221815 or +25722221577</w:t>
            </w:r>
          </w:p>
          <w:p w:rsidR="00AC0D60" w:rsidRPr="002F6A28" w:rsidRDefault="00B51E80" w:rsidP="00B16145">
            <w:pPr>
              <w:keepNext/>
              <w:keepLines/>
            </w:pPr>
            <w:r w:rsidRPr="002F6A28">
              <w:t xml:space="preserve">E- Mail: </w:t>
            </w:r>
            <w:hyperlink r:id="rId9" w:history="1">
              <w:r w:rsidRPr="00F70D4B">
                <w:rPr>
                  <w:rStyle w:val="Lienhypertexte"/>
                </w:rPr>
                <w:t>info@bbn-burundi.org</w:t>
              </w:r>
            </w:hyperlink>
            <w:r>
              <w:t xml:space="preserve"> </w:t>
            </w:r>
          </w:p>
          <w:p w:rsidR="00AC0D60" w:rsidRPr="002F6A28" w:rsidRDefault="00B51E80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F70D4B">
                <w:rPr>
                  <w:rStyle w:val="Lienhypertexte"/>
                </w:rPr>
                <w:t>www.bbn-burundi.org</w:t>
              </w:r>
            </w:hyperlink>
            <w:bookmarkEnd w:id="41"/>
            <w:r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B51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DC" w:rsidRDefault="00B51E80">
      <w:r>
        <w:separator/>
      </w:r>
    </w:p>
  </w:endnote>
  <w:endnote w:type="continuationSeparator" w:id="0">
    <w:p w:rsidR="009547DC" w:rsidRDefault="00B5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51E80" w:rsidRDefault="00B51E80" w:rsidP="00B51E8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51E80" w:rsidRDefault="00B51E80" w:rsidP="00B51E8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51E8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DC" w:rsidRDefault="00B51E80">
      <w:r>
        <w:separator/>
      </w:r>
    </w:p>
  </w:footnote>
  <w:footnote w:type="continuationSeparator" w:id="0">
    <w:p w:rsidR="009547DC" w:rsidRDefault="00B5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80" w:rsidRPr="00B51E80" w:rsidRDefault="00B51E80" w:rsidP="00B51E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E80">
      <w:t>G/TBT/N/BDI/47</w:t>
    </w:r>
  </w:p>
  <w:p w:rsidR="00B51E80" w:rsidRPr="00B51E80" w:rsidRDefault="00B51E80" w:rsidP="00B51E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1E80" w:rsidRPr="00B51E80" w:rsidRDefault="00B51E80" w:rsidP="00B51E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E80">
      <w:t xml:space="preserve">- </w:t>
    </w:r>
    <w:r w:rsidRPr="00B51E80">
      <w:fldChar w:fldCharType="begin"/>
    </w:r>
    <w:r w:rsidRPr="00B51E80">
      <w:instrText xml:space="preserve"> PAGE </w:instrText>
    </w:r>
    <w:r w:rsidRPr="00B51E80">
      <w:fldChar w:fldCharType="separate"/>
    </w:r>
    <w:r w:rsidRPr="00B51E80">
      <w:rPr>
        <w:noProof/>
      </w:rPr>
      <w:t>2</w:t>
    </w:r>
    <w:r w:rsidRPr="00B51E80">
      <w:fldChar w:fldCharType="end"/>
    </w:r>
    <w:r w:rsidRPr="00B51E80">
      <w:t xml:space="preserve"> -</w:t>
    </w:r>
  </w:p>
  <w:p w:rsidR="009239F7" w:rsidRPr="00B51E80" w:rsidRDefault="009239F7" w:rsidP="00B51E8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80" w:rsidRPr="00B51E80" w:rsidRDefault="00B51E80" w:rsidP="00B51E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E80">
      <w:t>G/TBT/N/BDI/47</w:t>
    </w:r>
  </w:p>
  <w:p w:rsidR="00B51E80" w:rsidRPr="00B51E80" w:rsidRDefault="00B51E80" w:rsidP="00B51E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1E80" w:rsidRPr="00B51E80" w:rsidRDefault="00B51E80" w:rsidP="00B51E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E80">
      <w:t xml:space="preserve">- </w:t>
    </w:r>
    <w:r w:rsidRPr="00B51E80">
      <w:fldChar w:fldCharType="begin"/>
    </w:r>
    <w:r w:rsidRPr="00B51E80">
      <w:instrText xml:space="preserve"> PAGE </w:instrText>
    </w:r>
    <w:r w:rsidRPr="00B51E80">
      <w:fldChar w:fldCharType="separate"/>
    </w:r>
    <w:r w:rsidRPr="00B51E80">
      <w:rPr>
        <w:noProof/>
      </w:rPr>
      <w:t>2</w:t>
    </w:r>
    <w:r w:rsidRPr="00B51E80">
      <w:fldChar w:fldCharType="end"/>
    </w:r>
    <w:r w:rsidRPr="00B51E80">
      <w:t xml:space="preserve"> -</w:t>
    </w:r>
  </w:p>
  <w:p w:rsidR="009239F7" w:rsidRPr="00B51E80" w:rsidRDefault="009239F7" w:rsidP="00B51E8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0D6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51E8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AC0D6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0009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C0D6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51E80" w:rsidRDefault="00B51E80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G/TBT/N/BDI/47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C0D6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B53C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May 2019</w:t>
          </w:r>
        </w:p>
      </w:tc>
    </w:tr>
    <w:tr w:rsidR="00AC0D6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51E8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0B53C9">
            <w:rPr>
              <w:color w:val="FF0000"/>
              <w:szCs w:val="16"/>
            </w:rPr>
            <w:t>19-3574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51E8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C0D6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51E80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51E80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041A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74EE88" w:tentative="1">
      <w:start w:val="1"/>
      <w:numFmt w:val="lowerLetter"/>
      <w:lvlText w:val="%2."/>
      <w:lvlJc w:val="left"/>
      <w:pPr>
        <w:ind w:left="1080" w:hanging="360"/>
      </w:pPr>
    </w:lvl>
    <w:lvl w:ilvl="2" w:tplc="813EC3A4" w:tentative="1">
      <w:start w:val="1"/>
      <w:numFmt w:val="lowerRoman"/>
      <w:lvlText w:val="%3."/>
      <w:lvlJc w:val="right"/>
      <w:pPr>
        <w:ind w:left="1800" w:hanging="180"/>
      </w:pPr>
    </w:lvl>
    <w:lvl w:ilvl="3" w:tplc="FAB48AE0" w:tentative="1">
      <w:start w:val="1"/>
      <w:numFmt w:val="decimal"/>
      <w:lvlText w:val="%4."/>
      <w:lvlJc w:val="left"/>
      <w:pPr>
        <w:ind w:left="2520" w:hanging="360"/>
      </w:pPr>
    </w:lvl>
    <w:lvl w:ilvl="4" w:tplc="23445264" w:tentative="1">
      <w:start w:val="1"/>
      <w:numFmt w:val="lowerLetter"/>
      <w:lvlText w:val="%5."/>
      <w:lvlJc w:val="left"/>
      <w:pPr>
        <w:ind w:left="3240" w:hanging="360"/>
      </w:pPr>
    </w:lvl>
    <w:lvl w:ilvl="5" w:tplc="3564AF6A" w:tentative="1">
      <w:start w:val="1"/>
      <w:numFmt w:val="lowerRoman"/>
      <w:lvlText w:val="%6."/>
      <w:lvlJc w:val="right"/>
      <w:pPr>
        <w:ind w:left="3960" w:hanging="180"/>
      </w:pPr>
    </w:lvl>
    <w:lvl w:ilvl="6" w:tplc="0DEEA002" w:tentative="1">
      <w:start w:val="1"/>
      <w:numFmt w:val="decimal"/>
      <w:lvlText w:val="%7."/>
      <w:lvlJc w:val="left"/>
      <w:pPr>
        <w:ind w:left="4680" w:hanging="360"/>
      </w:pPr>
    </w:lvl>
    <w:lvl w:ilvl="7" w:tplc="E17CCBD2" w:tentative="1">
      <w:start w:val="1"/>
      <w:numFmt w:val="lowerLetter"/>
      <w:lvlText w:val="%8."/>
      <w:lvlJc w:val="left"/>
      <w:pPr>
        <w:ind w:left="5400" w:hanging="360"/>
      </w:pPr>
    </w:lvl>
    <w:lvl w:ilvl="8" w:tplc="D592C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FF6B8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2ED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44B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7EB7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0626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D05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8439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27F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2035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53C9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0099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47D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0D60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1E80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F97749"/>
  <w15:docId w15:val="{E0402D90-8074-4272-9E04-FDEFD1F7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B51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-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-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-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-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2019-05-23T11:02:00Z</dcterms:created>
  <dcterms:modified xsi:type="dcterms:W3CDTF">2019-05-23T13:43:00Z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G/TBT/N/BDI/47</vt:lpwstr>
  </property>
</Properties>
</file>