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550F2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550F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A2C4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Burundi</w:t>
            </w:r>
            <w:bookmarkEnd w:id="2"/>
            <w:r w:rsidRPr="002F6A28">
              <w:t xml:space="preserve"> </w:t>
            </w:r>
          </w:p>
          <w:p w:rsidR="00F85C99" w:rsidRPr="002F6A28" w:rsidRDefault="00E550F2" w:rsidP="00E550F2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DA2C4E" w:rsidRPr="002F6A28" w:rsidRDefault="00E550F2" w:rsidP="00E550F2">
            <w:r w:rsidRPr="002F6A28">
              <w:t>Burundi Bureau of Standards and Quality Control (BBN)</w:t>
            </w:r>
          </w:p>
          <w:p w:rsidR="00DA2C4E" w:rsidRPr="0023297D" w:rsidRDefault="00E550F2" w:rsidP="00E550F2">
            <w:pPr>
              <w:rPr>
                <w:lang w:val="fr-CH"/>
              </w:rPr>
            </w:pPr>
            <w:r w:rsidRPr="0023297D">
              <w:rPr>
                <w:lang w:val="fr-CH"/>
              </w:rPr>
              <w:t>Boulevard de la Tanzanie N° 500</w:t>
            </w:r>
          </w:p>
          <w:p w:rsidR="00DA2C4E" w:rsidRPr="0023297D" w:rsidRDefault="00E550F2" w:rsidP="00E550F2">
            <w:pPr>
              <w:rPr>
                <w:lang w:val="es-ES"/>
              </w:rPr>
            </w:pPr>
            <w:r w:rsidRPr="0023297D">
              <w:rPr>
                <w:lang w:val="es-ES"/>
              </w:rPr>
              <w:t xml:space="preserve">BP: 3535 </w:t>
            </w:r>
            <w:proofErr w:type="spellStart"/>
            <w:r w:rsidRPr="0023297D">
              <w:rPr>
                <w:lang w:val="es-ES"/>
              </w:rPr>
              <w:t>Bujumbura</w:t>
            </w:r>
            <w:proofErr w:type="spellEnd"/>
            <w:r w:rsidRPr="0023297D">
              <w:rPr>
                <w:lang w:val="es-ES"/>
              </w:rPr>
              <w:t>, Burundi</w:t>
            </w:r>
          </w:p>
          <w:p w:rsidR="00DA2C4E" w:rsidRPr="0023297D" w:rsidRDefault="00E550F2" w:rsidP="00E550F2">
            <w:pPr>
              <w:rPr>
                <w:lang w:val="es-ES"/>
              </w:rPr>
            </w:pPr>
            <w:r w:rsidRPr="0023297D">
              <w:rPr>
                <w:lang w:val="es-ES"/>
              </w:rPr>
              <w:t>Tel: +25722221815/+25722221577</w:t>
            </w:r>
          </w:p>
          <w:p w:rsidR="00DA2C4E" w:rsidRDefault="00E550F2" w:rsidP="00E550F2">
            <w:pPr>
              <w:rPr>
                <w:lang w:val="es-ES"/>
              </w:rPr>
            </w:pPr>
            <w:r w:rsidRPr="0023297D">
              <w:rPr>
                <w:lang w:val="es-ES"/>
              </w:rPr>
              <w:t xml:space="preserve">E- Mail: </w:t>
            </w:r>
            <w:hyperlink r:id="rId7" w:history="1">
              <w:r w:rsidR="0023297D" w:rsidRPr="00056C65">
                <w:rPr>
                  <w:rStyle w:val="Lienhypertexte"/>
                  <w:lang w:val="es-ES"/>
                </w:rPr>
                <w:t>info@bbn-burundi.org</w:t>
              </w:r>
            </w:hyperlink>
          </w:p>
          <w:p w:rsidR="0023297D" w:rsidRPr="002F6A28" w:rsidRDefault="00E550F2" w:rsidP="00E550F2">
            <w:pPr>
              <w:spacing w:after="120"/>
            </w:pPr>
            <w:r w:rsidRPr="002F6A28">
              <w:t xml:space="preserve">Website: </w:t>
            </w:r>
            <w:hyperlink r:id="rId8" w:history="1">
              <w:r w:rsidR="0023297D" w:rsidRPr="00056C65">
                <w:rPr>
                  <w:rStyle w:val="Lienhypertexte"/>
                </w:rPr>
                <w:t>www.bbn-burundi.org</w:t>
              </w:r>
            </w:hyperlink>
          </w:p>
          <w:p w:rsidR="00F85C99" w:rsidRPr="002F6A28" w:rsidRDefault="00E550F2" w:rsidP="00E550F2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550F2" w:rsidP="00E550F2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9B3933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9B3933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Cosmetics. Toiletries (ICS 71.100.70)</w:t>
            </w:r>
            <w:bookmarkEnd w:id="17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r w:rsidRPr="002F6A28">
              <w:t>Lip balm (Lip salve) — Specification (12 page(s), in English)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3" w:name="sps6a"/>
            <w:r w:rsidRPr="002F6A28">
              <w:t>This Draft East African Standard specifies requirements, sampling and test methods for lip balm which are petroleum or vegetable oil based.</w:t>
            </w:r>
          </w:p>
          <w:p w:rsidR="00DA2C4E" w:rsidRPr="002F6A28" w:rsidRDefault="00E550F2" w:rsidP="00E550F2">
            <w:pPr>
              <w:spacing w:before="120" w:after="120"/>
            </w:pPr>
            <w:r w:rsidRPr="002F6A28">
              <w:t>This standard does not cover lip balm for which therapeutic claims are made, lipsticks, lip gloss and emulsion types.</w:t>
            </w:r>
            <w:bookmarkEnd w:id="23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  <w:rPr>
                <w:b/>
              </w:rPr>
            </w:pPr>
            <w:bookmarkStart w:id="24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5" w:name="sps7f"/>
            <w:r w:rsidRPr="002F6A2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5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550F2" w:rsidP="00E550F2">
            <w:pPr>
              <w:spacing w:before="120" w:after="120"/>
            </w:pPr>
            <w:bookmarkStart w:id="26" w:name="X_TBT_Reg_8A"/>
            <w:r w:rsidRPr="002F6A28">
              <w:rPr>
                <w:b/>
              </w:rPr>
              <w:t>Relevant documents</w:t>
            </w:r>
            <w:bookmarkEnd w:id="26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bookmarkStart w:id="27" w:name="sps9a"/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346, Labelling of cosmetics — General requirements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377 (all parts), Cosmetics and cosmetic products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846, Glossary of terms relating to the cosmetic industry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847-16, Cosmetics — Analytical methods — Part 16: Determination of heavy metal content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847-18, Cosmetics — Analytical methods — Part 18: Determination of thermal stability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3960, Animal and vegetable fats and oils — Determination of peroxide value — Iodometric (visual) endpoint determination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21149, Cosmetics — Microbiology — Enumeration and detection of aerobic mesophilic bacteria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22716, Cosmetics — Good Manufacturing Practices (</w:t>
            </w:r>
            <w:proofErr w:type="spellStart"/>
            <w:r w:rsidRPr="002F6A28">
              <w:rPr>
                <w:bCs/>
              </w:rPr>
              <w:t>GMP</w:t>
            </w:r>
            <w:proofErr w:type="spellEnd"/>
            <w:r w:rsidRPr="002F6A28">
              <w:rPr>
                <w:bCs/>
              </w:rPr>
              <w:t>) — Guidelines on Good Manufacturing Practices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24153, Random sampling and randomisation procedures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CD/TRADE/01: 2018,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836: 2017, Sesame (</w:t>
            </w:r>
            <w:proofErr w:type="spellStart"/>
            <w:r w:rsidRPr="002F6A28">
              <w:rPr>
                <w:bCs/>
              </w:rPr>
              <w:t>simsim</w:t>
            </w:r>
            <w:proofErr w:type="spellEnd"/>
            <w:r w:rsidRPr="002F6A28">
              <w:rPr>
                <w:bCs/>
              </w:rPr>
              <w:t>) oil for cosmetic industry - Specification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837:2017, Avocado oil for cosmetic industry — Specification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838:2017, Coconut oil for cosmetic industry — Specification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839:2017, Ground nuts (peanut) oil for cosmetic industry — Specification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FDUS</w:t>
            </w:r>
            <w:proofErr w:type="spellEnd"/>
            <w:r w:rsidRPr="002F6A28">
              <w:rPr>
                <w:bCs/>
              </w:rPr>
              <w:t xml:space="preserve"> 1932: </w:t>
            </w:r>
            <w:proofErr w:type="gramStart"/>
            <w:r w:rsidRPr="002F6A28">
              <w:rPr>
                <w:bCs/>
              </w:rPr>
              <w:t>2018,Lip</w:t>
            </w:r>
            <w:proofErr w:type="gramEnd"/>
            <w:r w:rsidRPr="002F6A28">
              <w:rPr>
                <w:bCs/>
              </w:rPr>
              <w:t xml:space="preserve"> balm — Specification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 10284:1982, Specification for lip salve</w:t>
            </w:r>
          </w:p>
          <w:p w:rsidR="00DA2C4E" w:rsidRPr="002F6A28" w:rsidRDefault="00E550F2" w:rsidP="00E550F2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3297D">
              <w:rPr>
                <w:bCs/>
              </w:rPr>
              <w:t>US 1635:2016, Shea butter — Specification</w:t>
            </w:r>
            <w:bookmarkStart w:id="28" w:name="sps9b"/>
            <w:bookmarkEnd w:id="27"/>
            <w:bookmarkEnd w:id="28"/>
          </w:p>
        </w:tc>
      </w:tr>
      <w:tr w:rsidR="00DA2C4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550F2" w:rsidP="00E550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550F2" w:rsidP="00E550F2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:rsidR="00EE3A11" w:rsidRPr="002F6A28" w:rsidRDefault="00E550F2" w:rsidP="00E550F2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550F2" w:rsidP="00E550F2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DA2C4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550F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550F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DA2C4E" w:rsidRPr="0023297D" w:rsidRDefault="00E550F2" w:rsidP="00B16145">
            <w:pPr>
              <w:keepNext/>
              <w:keepLines/>
              <w:rPr>
                <w:lang w:val="fr-CH"/>
              </w:rPr>
            </w:pPr>
            <w:r w:rsidRPr="0023297D">
              <w:rPr>
                <w:lang w:val="fr-CH"/>
              </w:rPr>
              <w:t xml:space="preserve">Documentation and Information Centre Division at </w:t>
            </w:r>
            <w:proofErr w:type="spellStart"/>
            <w:r w:rsidRPr="0023297D">
              <w:rPr>
                <w:lang w:val="fr-CH"/>
              </w:rPr>
              <w:t>BBN</w:t>
            </w:r>
            <w:proofErr w:type="spellEnd"/>
          </w:p>
          <w:p w:rsidR="00DA2C4E" w:rsidRPr="0023297D" w:rsidRDefault="00E550F2" w:rsidP="00B16145">
            <w:pPr>
              <w:keepNext/>
              <w:keepLines/>
              <w:rPr>
                <w:lang w:val="fr-CH"/>
              </w:rPr>
            </w:pPr>
            <w:r w:rsidRPr="0023297D">
              <w:rPr>
                <w:lang w:val="fr-CH"/>
              </w:rPr>
              <w:t>Boulevard de la Tanzanie N° 500</w:t>
            </w:r>
          </w:p>
          <w:p w:rsidR="00DA2C4E" w:rsidRPr="002F6A28" w:rsidRDefault="00E550F2" w:rsidP="00B16145">
            <w:pPr>
              <w:keepNext/>
              <w:keepLines/>
            </w:pPr>
            <w:r w:rsidRPr="002F6A28">
              <w:t>BP: 3535 Bujumbura, Burundi</w:t>
            </w:r>
          </w:p>
          <w:p w:rsidR="00DA2C4E" w:rsidRPr="002F6A28" w:rsidRDefault="00E550F2" w:rsidP="00B16145">
            <w:pPr>
              <w:keepNext/>
              <w:keepLines/>
            </w:pPr>
            <w:r w:rsidRPr="002F6A28">
              <w:t>Tel: +25722221815 or +25722221577</w:t>
            </w:r>
          </w:p>
          <w:p w:rsidR="0023297D" w:rsidRPr="002F6A28" w:rsidRDefault="00E550F2" w:rsidP="00B16145">
            <w:pPr>
              <w:keepNext/>
              <w:keepLines/>
            </w:pPr>
            <w:r w:rsidRPr="002F6A28">
              <w:t xml:space="preserve">E- Mail: </w:t>
            </w:r>
            <w:hyperlink r:id="rId9" w:history="1">
              <w:r w:rsidR="0023297D" w:rsidRPr="00056C65">
                <w:rPr>
                  <w:rStyle w:val="Lienhypertexte"/>
                </w:rPr>
                <w:t>info@bbnburundi.org</w:t>
              </w:r>
            </w:hyperlink>
          </w:p>
          <w:p w:rsidR="0023297D" w:rsidRPr="002F6A28" w:rsidRDefault="00E550F2" w:rsidP="0023297D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="0023297D" w:rsidRPr="00056C65">
                <w:rPr>
                  <w:rStyle w:val="Lienhypertexte"/>
                </w:rPr>
                <w:t>www.bbn-burundi.org</w:t>
              </w:r>
            </w:hyperlink>
          </w:p>
        </w:tc>
      </w:tr>
    </w:tbl>
    <w:p w:rsidR="00EE3A11" w:rsidRPr="002F6A28" w:rsidRDefault="00EE3A11" w:rsidP="002F6A28"/>
    <w:sectPr w:rsidR="00EE3A11" w:rsidRPr="002F6A28" w:rsidSect="00232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5E" w:rsidRDefault="00E550F2">
      <w:r>
        <w:separator/>
      </w:r>
    </w:p>
  </w:endnote>
  <w:endnote w:type="continuationSeparator" w:id="0">
    <w:p w:rsidR="00D46A5E" w:rsidRDefault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3297D" w:rsidRDefault="0023297D" w:rsidP="0023297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3297D" w:rsidRDefault="0023297D" w:rsidP="0023297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550F2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5E" w:rsidRDefault="00E550F2">
      <w:r>
        <w:separator/>
      </w:r>
    </w:p>
  </w:footnote>
  <w:footnote w:type="continuationSeparator" w:id="0">
    <w:p w:rsidR="00D46A5E" w:rsidRDefault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7D" w:rsidRPr="0023297D" w:rsidRDefault="0023297D" w:rsidP="0023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97D">
      <w:t>G/TBT/N/</w:t>
    </w:r>
    <w:proofErr w:type="spellStart"/>
    <w:r w:rsidRPr="0023297D">
      <w:t>BDI</w:t>
    </w:r>
    <w:proofErr w:type="spellEnd"/>
    <w:r w:rsidRPr="0023297D">
      <w:t>/49</w:t>
    </w:r>
  </w:p>
  <w:p w:rsidR="0023297D" w:rsidRPr="0023297D" w:rsidRDefault="0023297D" w:rsidP="0023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297D" w:rsidRPr="0023297D" w:rsidRDefault="0023297D" w:rsidP="0023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97D">
      <w:t xml:space="preserve">- </w:t>
    </w:r>
    <w:r w:rsidRPr="0023297D">
      <w:fldChar w:fldCharType="begin"/>
    </w:r>
    <w:r w:rsidRPr="0023297D">
      <w:instrText xml:space="preserve"> PAGE </w:instrText>
    </w:r>
    <w:r w:rsidRPr="0023297D">
      <w:fldChar w:fldCharType="separate"/>
    </w:r>
    <w:r w:rsidRPr="0023297D">
      <w:rPr>
        <w:noProof/>
      </w:rPr>
      <w:t>2</w:t>
    </w:r>
    <w:r w:rsidRPr="0023297D">
      <w:fldChar w:fldCharType="end"/>
    </w:r>
    <w:r w:rsidRPr="0023297D">
      <w:t xml:space="preserve"> -</w:t>
    </w:r>
  </w:p>
  <w:p w:rsidR="009239F7" w:rsidRPr="0023297D" w:rsidRDefault="009239F7" w:rsidP="0023297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97D" w:rsidRPr="0023297D" w:rsidRDefault="0023297D" w:rsidP="0023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97D">
      <w:t>G/TBT/N/</w:t>
    </w:r>
    <w:proofErr w:type="spellStart"/>
    <w:r w:rsidRPr="0023297D">
      <w:t>BDI</w:t>
    </w:r>
    <w:proofErr w:type="spellEnd"/>
    <w:r w:rsidRPr="0023297D">
      <w:t>/49</w:t>
    </w:r>
  </w:p>
  <w:p w:rsidR="0023297D" w:rsidRPr="0023297D" w:rsidRDefault="0023297D" w:rsidP="0023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297D" w:rsidRPr="0023297D" w:rsidRDefault="0023297D" w:rsidP="0023297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297D">
      <w:t xml:space="preserve">- </w:t>
    </w:r>
    <w:r w:rsidRPr="0023297D">
      <w:fldChar w:fldCharType="begin"/>
    </w:r>
    <w:r w:rsidRPr="0023297D">
      <w:instrText xml:space="preserve"> PAGE </w:instrText>
    </w:r>
    <w:r w:rsidRPr="0023297D">
      <w:fldChar w:fldCharType="separate"/>
    </w:r>
    <w:r w:rsidRPr="0023297D">
      <w:rPr>
        <w:noProof/>
      </w:rPr>
      <w:t>2</w:t>
    </w:r>
    <w:r w:rsidRPr="0023297D">
      <w:fldChar w:fldCharType="end"/>
    </w:r>
    <w:r w:rsidRPr="0023297D">
      <w:t xml:space="preserve"> -</w:t>
    </w:r>
  </w:p>
  <w:p w:rsidR="009239F7" w:rsidRPr="0023297D" w:rsidRDefault="009239F7" w:rsidP="0023297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2C4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3297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DA2C4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D032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A2C4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297D" w:rsidRDefault="0023297D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/49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A2C4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63DEA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24 May 2019</w:t>
          </w:r>
        </w:p>
      </w:tc>
    </w:tr>
    <w:tr w:rsidR="00DA2C4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550F2" w:rsidP="0097650D">
          <w:pPr>
            <w:jc w:val="left"/>
            <w:rPr>
              <w:b/>
            </w:rPr>
          </w:pPr>
          <w:bookmarkStart w:id="44" w:name="bmkSerial"/>
          <w:r w:rsidRPr="002F6A28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563DEA">
            <w:rPr>
              <w:color w:val="FF0000"/>
              <w:szCs w:val="16"/>
            </w:rPr>
            <w:t>19-3593</w:t>
          </w:r>
          <w:r w:rsidRPr="002F6A28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550F2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DA2C4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3297D" w:rsidP="00B801E9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3297D" w:rsidP="00B801E9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FAB6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989D88" w:tentative="1">
      <w:start w:val="1"/>
      <w:numFmt w:val="lowerLetter"/>
      <w:lvlText w:val="%2."/>
      <w:lvlJc w:val="left"/>
      <w:pPr>
        <w:ind w:left="1080" w:hanging="360"/>
      </w:pPr>
    </w:lvl>
    <w:lvl w:ilvl="2" w:tplc="F6A6F99E" w:tentative="1">
      <w:start w:val="1"/>
      <w:numFmt w:val="lowerRoman"/>
      <w:lvlText w:val="%3."/>
      <w:lvlJc w:val="right"/>
      <w:pPr>
        <w:ind w:left="1800" w:hanging="180"/>
      </w:pPr>
    </w:lvl>
    <w:lvl w:ilvl="3" w:tplc="B2028550" w:tentative="1">
      <w:start w:val="1"/>
      <w:numFmt w:val="decimal"/>
      <w:lvlText w:val="%4."/>
      <w:lvlJc w:val="left"/>
      <w:pPr>
        <w:ind w:left="2520" w:hanging="360"/>
      </w:pPr>
    </w:lvl>
    <w:lvl w:ilvl="4" w:tplc="C8C485EC" w:tentative="1">
      <w:start w:val="1"/>
      <w:numFmt w:val="lowerLetter"/>
      <w:lvlText w:val="%5."/>
      <w:lvlJc w:val="left"/>
      <w:pPr>
        <w:ind w:left="3240" w:hanging="360"/>
      </w:pPr>
    </w:lvl>
    <w:lvl w:ilvl="5" w:tplc="3C3E87B4" w:tentative="1">
      <w:start w:val="1"/>
      <w:numFmt w:val="lowerRoman"/>
      <w:lvlText w:val="%6."/>
      <w:lvlJc w:val="right"/>
      <w:pPr>
        <w:ind w:left="3960" w:hanging="180"/>
      </w:pPr>
    </w:lvl>
    <w:lvl w:ilvl="6" w:tplc="71F8D7B0" w:tentative="1">
      <w:start w:val="1"/>
      <w:numFmt w:val="decimal"/>
      <w:lvlText w:val="%7."/>
      <w:lvlJc w:val="left"/>
      <w:pPr>
        <w:ind w:left="4680" w:hanging="360"/>
      </w:pPr>
    </w:lvl>
    <w:lvl w:ilvl="7" w:tplc="27E856FE" w:tentative="1">
      <w:start w:val="1"/>
      <w:numFmt w:val="lowerLetter"/>
      <w:lvlText w:val="%8."/>
      <w:lvlJc w:val="left"/>
      <w:pPr>
        <w:ind w:left="5400" w:hanging="360"/>
      </w:pPr>
    </w:lvl>
    <w:lvl w:ilvl="8" w:tplc="C5D06B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17C90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A68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9A2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3290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32F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E86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6E1D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6806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4438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032B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297D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3DEA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3933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6A5E"/>
    <w:rsid w:val="00D52A9D"/>
    <w:rsid w:val="00D55AAD"/>
    <w:rsid w:val="00D70F5B"/>
    <w:rsid w:val="00D747AE"/>
    <w:rsid w:val="00D9226C"/>
    <w:rsid w:val="00DA20BD"/>
    <w:rsid w:val="00DA2C4E"/>
    <w:rsid w:val="00DE50DB"/>
    <w:rsid w:val="00DF6AE1"/>
    <w:rsid w:val="00E147CB"/>
    <w:rsid w:val="00E20B42"/>
    <w:rsid w:val="00E25473"/>
    <w:rsid w:val="00E30FFD"/>
    <w:rsid w:val="00E46FD5"/>
    <w:rsid w:val="00E544BB"/>
    <w:rsid w:val="00E550F2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476223"/>
  <w15:docId w15:val="{1E4456CC-A930-4EF3-B210-830FD68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23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2019-05-24T07:33:00Z</dcterms:created>
  <dcterms:modified xsi:type="dcterms:W3CDTF">2019-05-24T09:50:00Z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G/TBT/N/BDI/49</vt:lpwstr>
  </property>
</Properties>
</file>