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B38B4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0B38B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755D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Israel</w:t>
            </w:r>
            <w:bookmarkEnd w:id="2"/>
            <w:r w:rsidRPr="002F6A28">
              <w:t xml:space="preserve"> </w:t>
            </w:r>
          </w:p>
          <w:p w:rsidR="00F85C99" w:rsidRPr="002F6A28" w:rsidRDefault="000B38B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Israel WTO-TBT Enquiry Point</w:t>
            </w:r>
            <w:bookmarkEnd w:id="6"/>
          </w:p>
          <w:p w:rsidR="00F85C99" w:rsidRPr="002F6A28" w:rsidRDefault="000B38B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5534FB" w:rsidRPr="002F6A28" w:rsidRDefault="000B38B4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 xml:space="preserve">Tel: + (972) 3 7347501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8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B38B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Olive oil; (HS: 1509); (ICS: 67.200.10)</w:t>
            </w:r>
            <w:bookmarkStart w:id="21" w:name="sps3a"/>
            <w:bookmarkEnd w:id="21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SI 191 - Olive oil (17 page(s), in English; 9 page(s), in Hebrew)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Revision of the Mandatory Standard SI 191 dealing with olive oil. This standard adopts the International Olive Oil Council's document COI/T.15/NC No</w:t>
            </w:r>
            <w:r>
              <w:t> </w:t>
            </w:r>
            <w:r w:rsidR="00FE448B" w:rsidRPr="00C379C8">
              <w:t>3/ Rev.11: July 2016 called "Trade Standard Applying to Olive Oils and Olive-Pomace Oils". The major differences between the old version and this new revised draft standard are as follow:</w:t>
            </w:r>
          </w:p>
          <w:p w:rsidR="00FE448B" w:rsidRPr="00C379C8" w:rsidRDefault="000B38B4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Changes few of the </w:t>
            </w:r>
            <w:proofErr w:type="gramStart"/>
            <w:r w:rsidRPr="00C379C8">
              <w:t>definitions(</w:t>
            </w:r>
            <w:proofErr w:type="gramEnd"/>
            <w:r w:rsidRPr="00C379C8">
              <w:t>paragraph 2);</w:t>
            </w:r>
          </w:p>
          <w:p w:rsidR="00FE448B" w:rsidRPr="00C379C8" w:rsidRDefault="000B38B4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Updates the criteria for the oil's purity (paragraph 3);</w:t>
            </w:r>
          </w:p>
          <w:p w:rsidR="00FE448B" w:rsidRPr="00C379C8" w:rsidRDefault="000B38B4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Updates few of the quality criteria (paragraph 4);</w:t>
            </w:r>
          </w:p>
          <w:p w:rsidR="00FE448B" w:rsidRPr="00C379C8" w:rsidRDefault="000B38B4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Changes few of the methods of analysis and sampling (paragraph 11).</w:t>
            </w:r>
          </w:p>
          <w:p w:rsidR="00FE448B" w:rsidRPr="00C379C8" w:rsidRDefault="000B38B4" w:rsidP="002F6A28">
            <w:pPr>
              <w:spacing w:after="120"/>
            </w:pPr>
            <w:r w:rsidRPr="00C379C8">
              <w:t>All sections and sub-sections of the new revised standard will be announced mandatory.</w:t>
            </w:r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B38B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534FB" w:rsidRPr="002F6A28" w:rsidRDefault="000B38B4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 191 (November 2016);</w:t>
            </w:r>
          </w:p>
          <w:p w:rsidR="005534FB" w:rsidRPr="002F6A28" w:rsidRDefault="000B38B4" w:rsidP="000B38B4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International Olive Oil Council's document COI/T.15/NC No 3/ Rev.11: July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2016.</w:t>
            </w:r>
          </w:p>
        </w:tc>
      </w:tr>
      <w:tr w:rsidR="009755D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38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38B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0B38B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proofErr w:type="gramStart"/>
            <w:r w:rsidRPr="002F6A28">
              <w:t>Generally</w:t>
            </w:r>
            <w:proofErr w:type="gramEnd"/>
            <w:r w:rsidRPr="002F6A28">
              <w:t xml:space="preserve"> 60 days after publication in Israel Official Gazette, Section of Government Notices</w:t>
            </w:r>
            <w:bookmarkEnd w:id="35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38B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9755D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38B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38B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5534FB" w:rsidRPr="002F6A28" w:rsidRDefault="00E24F8A" w:rsidP="00B16145">
            <w:pPr>
              <w:keepNext/>
              <w:keepLines/>
              <w:spacing w:before="120" w:after="120"/>
            </w:pPr>
            <w:hyperlink r:id="rId8" w:history="1">
              <w:r w:rsidR="000B38B4" w:rsidRPr="002F6A28">
                <w:rPr>
                  <w:color w:val="0000FF"/>
                  <w:u w:val="single"/>
                </w:rPr>
                <w:t>https://members.wto.org/crnattachments/2019/TBT/ISR/19_4250_00_x.pdf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EE" w:rsidRDefault="000B38B4">
      <w:r>
        <w:separator/>
      </w:r>
    </w:p>
  </w:endnote>
  <w:endnote w:type="continuationSeparator" w:id="0">
    <w:p w:rsidR="002250EE" w:rsidRDefault="000B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38B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38B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B38B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EE" w:rsidRDefault="000B38B4">
      <w:r>
        <w:separator/>
      </w:r>
    </w:p>
  </w:footnote>
  <w:footnote w:type="continuationSeparator" w:id="0">
    <w:p w:rsidR="002250EE" w:rsidRDefault="000B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38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B38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38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ISR</w:t>
    </w:r>
    <w:proofErr w:type="spellEnd"/>
    <w:r w:rsidRPr="002F6A28">
      <w:t>/1074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B38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55D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755D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B38B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22088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755D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B38B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ISR</w:t>
          </w:r>
          <w:proofErr w:type="spellEnd"/>
          <w:r w:rsidRPr="002F6A28">
            <w:rPr>
              <w:b/>
              <w:szCs w:val="16"/>
            </w:rPr>
            <w:t>/1074</w:t>
          </w:r>
          <w:bookmarkEnd w:id="44"/>
        </w:p>
      </w:tc>
    </w:tr>
    <w:tr w:rsidR="009755D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B38B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July 2019</w:t>
          </w:r>
        </w:p>
      </w:tc>
    </w:tr>
    <w:tr w:rsidR="009755D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38B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19-5009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38B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755D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B38B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B38B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9842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A43430" w:tentative="1">
      <w:start w:val="1"/>
      <w:numFmt w:val="lowerLetter"/>
      <w:lvlText w:val="%2."/>
      <w:lvlJc w:val="left"/>
      <w:pPr>
        <w:ind w:left="1080" w:hanging="360"/>
      </w:pPr>
    </w:lvl>
    <w:lvl w:ilvl="2" w:tplc="888ABAE0" w:tentative="1">
      <w:start w:val="1"/>
      <w:numFmt w:val="lowerRoman"/>
      <w:lvlText w:val="%3."/>
      <w:lvlJc w:val="right"/>
      <w:pPr>
        <w:ind w:left="1800" w:hanging="180"/>
      </w:pPr>
    </w:lvl>
    <w:lvl w:ilvl="3" w:tplc="AA367946" w:tentative="1">
      <w:start w:val="1"/>
      <w:numFmt w:val="decimal"/>
      <w:lvlText w:val="%4."/>
      <w:lvlJc w:val="left"/>
      <w:pPr>
        <w:ind w:left="2520" w:hanging="360"/>
      </w:pPr>
    </w:lvl>
    <w:lvl w:ilvl="4" w:tplc="F948FB64" w:tentative="1">
      <w:start w:val="1"/>
      <w:numFmt w:val="lowerLetter"/>
      <w:lvlText w:val="%5."/>
      <w:lvlJc w:val="left"/>
      <w:pPr>
        <w:ind w:left="3240" w:hanging="360"/>
      </w:pPr>
    </w:lvl>
    <w:lvl w:ilvl="5" w:tplc="E470537E" w:tentative="1">
      <w:start w:val="1"/>
      <w:numFmt w:val="lowerRoman"/>
      <w:lvlText w:val="%6."/>
      <w:lvlJc w:val="right"/>
      <w:pPr>
        <w:ind w:left="3960" w:hanging="180"/>
      </w:pPr>
    </w:lvl>
    <w:lvl w:ilvl="6" w:tplc="8BC6A132" w:tentative="1">
      <w:start w:val="1"/>
      <w:numFmt w:val="decimal"/>
      <w:lvlText w:val="%7."/>
      <w:lvlJc w:val="left"/>
      <w:pPr>
        <w:ind w:left="4680" w:hanging="360"/>
      </w:pPr>
    </w:lvl>
    <w:lvl w:ilvl="7" w:tplc="66C637BA" w:tentative="1">
      <w:start w:val="1"/>
      <w:numFmt w:val="lowerLetter"/>
      <w:lvlText w:val="%8."/>
      <w:lvlJc w:val="left"/>
      <w:pPr>
        <w:ind w:left="5400" w:hanging="360"/>
      </w:pPr>
    </w:lvl>
    <w:lvl w:ilvl="8" w:tplc="56567A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4725F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961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84B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C48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6E2F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181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68E4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5284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EEC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DC343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FE6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32C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6C6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5035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5632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0E9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1E9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1CD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38B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50EE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34FB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1951"/>
    <w:rsid w:val="00955D8A"/>
    <w:rsid w:val="00964F4F"/>
    <w:rsid w:val="009755DC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4F8A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ISR/19_425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2040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2019-07-31T08:28:00Z</dcterms:created>
  <dcterms:modified xsi:type="dcterms:W3CDTF">2019-07-31T09:18:00Z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add06f49-4a6f-4859-ba7a-44c2b9685ae9</vt:lpwstr>
  </property>
  <property fmtid="{D5CDD505-2E9C-101B-9397-08002B2CF9AE}" pid="4" name="WTOCLASSIFICATION">
    <vt:lpwstr>PUBLIC</vt:lpwstr>
  </property>
</Properties>
</file>