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57334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57334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74898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7334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7334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New Zealand</w:t>
            </w:r>
            <w:bookmarkEnd w:id="1"/>
            <w:r w:rsidRPr="002F6A28">
              <w:t xml:space="preserve"> </w:t>
            </w:r>
          </w:p>
          <w:p w:rsidR="00F85C99" w:rsidRPr="002F6A28" w:rsidRDefault="0057334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7489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34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34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7C7EBB" w:rsidRPr="002F6A28" w:rsidRDefault="00573347" w:rsidP="00155128">
            <w:pPr>
              <w:spacing w:before="120" w:after="120"/>
              <w:jc w:val="left"/>
            </w:pPr>
            <w:r w:rsidRPr="002F6A28">
              <w:t>Ministry of Business, Innovation and Employment</w:t>
            </w:r>
            <w:r w:rsidRPr="002F6A28">
              <w:br/>
              <w:t>PO Box 1473</w:t>
            </w:r>
            <w:r w:rsidRPr="002F6A28">
              <w:br/>
              <w:t>Wellington 6140</w:t>
            </w:r>
            <w:r w:rsidRPr="002F6A28">
              <w:br/>
              <w:t>NEW ZEALAND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consumer@mbie.govt.nz</w:t>
              </w:r>
            </w:hyperlink>
            <w:bookmarkEnd w:id="5"/>
          </w:p>
          <w:p w:rsidR="00F85C99" w:rsidRPr="002F6A28" w:rsidRDefault="0057334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7C7EBB" w:rsidRPr="002F6A28" w:rsidRDefault="00573347" w:rsidP="00AA646C">
            <w:pPr>
              <w:spacing w:after="120"/>
              <w:jc w:val="left"/>
            </w:pPr>
            <w:r w:rsidRPr="002F6A28">
              <w:t>Standards New Zealand</w:t>
            </w:r>
            <w:r w:rsidRPr="002F6A28">
              <w:br/>
              <w:t>Phone: +64 4 498 5990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wto@standards.co.nz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www.standards.govt.nz</w:t>
              </w:r>
            </w:hyperlink>
            <w:bookmarkEnd w:id="7"/>
          </w:p>
        </w:tc>
      </w:tr>
      <w:tr w:rsidR="0087489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3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57334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7489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34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34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Imported and domestically produced fruit, vegetables, meat, fish and seafood which are fresh or frozen and no more than minimally processed; and cured pork.; Food products in general (ICS 67.040)</w:t>
            </w:r>
            <w:bookmarkStart w:id="20" w:name="sps3a"/>
            <w:bookmarkEnd w:id="20"/>
          </w:p>
        </w:tc>
      </w:tr>
      <w:tr w:rsidR="0087489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34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34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Consumer Information Standards (Origin of Food) Regulations 2019, 8 pages, English. Exposure draft consultation: Consumer Information Standards (Origin of Food) Regulations 2019, 15 pages, English.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7489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3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34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Consumer Information Standards (Origin of Food) Regulations 2019 (</w:t>
            </w:r>
            <w:r w:rsidR="00FE448B" w:rsidRPr="00821516">
              <w:rPr>
                <w:bCs/>
              </w:rPr>
              <w:t>the Regulations</w:t>
            </w:r>
            <w:r w:rsidR="00FE448B" w:rsidRPr="00C379C8">
              <w:t>) prescribe requirements for the disclosure of a regulated food's country or place of origin.</w:t>
            </w:r>
          </w:p>
          <w:p w:rsidR="00FE448B" w:rsidRPr="00C379C8" w:rsidRDefault="00573347" w:rsidP="002F6A28">
            <w:pPr>
              <w:spacing w:after="120"/>
            </w:pPr>
            <w:r w:rsidRPr="00C379C8">
              <w:t>The Consumers' Right to Know (Country of Origin of Food) Act 2018,  requires the New   Zealand Minister of Commerce and Consumer Affairs to recommend the making of regulations prescribing a consumer information standard for the disclosure of a regulated food's country or place of origin.</w:t>
            </w:r>
          </w:p>
          <w:p w:rsidR="00FE448B" w:rsidRPr="00C379C8" w:rsidRDefault="00573347" w:rsidP="002F6A28">
            <w:pPr>
              <w:spacing w:after="120"/>
            </w:pPr>
            <w:r w:rsidRPr="00C379C8">
              <w:t xml:space="preserve">To that end the proposed Regulations provide that regulated foods are the following: </w:t>
            </w:r>
          </w:p>
          <w:p w:rsidR="00FE448B" w:rsidRPr="00C379C8" w:rsidRDefault="00573347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 xml:space="preserve">food that </w:t>
            </w:r>
          </w:p>
          <w:p w:rsidR="00FE448B" w:rsidRPr="00C379C8" w:rsidRDefault="00573347" w:rsidP="00573347">
            <w:pPr>
              <w:numPr>
                <w:ilvl w:val="1"/>
                <w:numId w:val="16"/>
              </w:numPr>
              <w:spacing w:before="120" w:after="120"/>
              <w:ind w:left="1145" w:hanging="425"/>
              <w:jc w:val="left"/>
            </w:pPr>
            <w:r w:rsidRPr="00C379C8">
              <w:t>is only 1 type of fruit, vegetable, meat, fish or seafood; and</w:t>
            </w:r>
          </w:p>
          <w:p w:rsidR="00FE448B" w:rsidRPr="00C379C8" w:rsidRDefault="00573347" w:rsidP="00573347">
            <w:pPr>
              <w:numPr>
                <w:ilvl w:val="1"/>
                <w:numId w:val="16"/>
              </w:numPr>
              <w:spacing w:before="120" w:after="120"/>
              <w:ind w:left="1145" w:hanging="425"/>
              <w:jc w:val="left"/>
            </w:pPr>
            <w:r w:rsidRPr="00C379C8">
              <w:t>is fresh or frozen (but would otherwise be fresh); and</w:t>
            </w:r>
          </w:p>
          <w:p w:rsidR="00FE448B" w:rsidRPr="00C379C8" w:rsidRDefault="00573347" w:rsidP="00573347">
            <w:pPr>
              <w:numPr>
                <w:ilvl w:val="1"/>
                <w:numId w:val="16"/>
              </w:numPr>
              <w:spacing w:before="120" w:after="120"/>
              <w:ind w:left="1145" w:hanging="425"/>
              <w:jc w:val="left"/>
            </w:pPr>
            <w:r w:rsidRPr="00C379C8">
              <w:lastRenderedPageBreak/>
              <w:t>is no more than minimally processed (for example, by being cut, minced, filleted, or surface treated);</w:t>
            </w:r>
          </w:p>
          <w:p w:rsidR="00FE448B" w:rsidRPr="00C379C8" w:rsidRDefault="00573347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cured pork.</w:t>
            </w:r>
          </w:p>
          <w:p w:rsidR="00FE448B" w:rsidRPr="00C379C8" w:rsidRDefault="00573347" w:rsidP="002F6A28">
            <w:pPr>
              <w:spacing w:after="120"/>
            </w:pPr>
            <w:r w:rsidRPr="00C379C8">
              <w:t>There are certain exceptions to the requirements of the Regulations for the following:</w:t>
            </w:r>
          </w:p>
          <w:p w:rsidR="00FE448B" w:rsidRPr="00C379C8" w:rsidRDefault="00573347" w:rsidP="002F6A28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C379C8">
              <w:t xml:space="preserve">food that is supplied, offered or advertised for supply </w:t>
            </w:r>
          </w:p>
          <w:p w:rsidR="00FE448B" w:rsidRPr="00C379C8" w:rsidRDefault="00573347" w:rsidP="00573347">
            <w:pPr>
              <w:numPr>
                <w:ilvl w:val="1"/>
                <w:numId w:val="17"/>
              </w:numPr>
              <w:spacing w:before="120" w:after="120"/>
              <w:ind w:left="1145" w:hanging="425"/>
              <w:jc w:val="left"/>
            </w:pPr>
            <w:r w:rsidRPr="00C379C8">
              <w:t>at a fundraising event; or</w:t>
            </w:r>
          </w:p>
          <w:p w:rsidR="00FE448B" w:rsidRPr="00C379C8" w:rsidRDefault="00573347" w:rsidP="00573347">
            <w:pPr>
              <w:numPr>
                <w:ilvl w:val="1"/>
                <w:numId w:val="17"/>
              </w:numPr>
              <w:spacing w:before="120" w:after="120"/>
              <w:ind w:left="1145" w:hanging="425"/>
              <w:jc w:val="left"/>
            </w:pPr>
            <w:r w:rsidRPr="00C379C8">
              <w:t>by any of the following for immediate consumption: a restaurant, cafeteria, takeaway shop, canteen or similar place, or a caterer.</w:t>
            </w:r>
          </w:p>
          <w:p w:rsidR="00FE448B" w:rsidRPr="00C379C8" w:rsidRDefault="00573347" w:rsidP="002F6A28">
            <w:pPr>
              <w:spacing w:after="120"/>
            </w:pPr>
            <w:r w:rsidRPr="00C379C8">
              <w:t>The Regulations provide examples of processes that do not prevent a food from being fresh or minimally processed.</w:t>
            </w:r>
          </w:p>
          <w:p w:rsidR="00FE448B" w:rsidRPr="00C379C8" w:rsidRDefault="00573347" w:rsidP="002F6A28">
            <w:pPr>
              <w:spacing w:after="120"/>
            </w:pPr>
            <w:r w:rsidRPr="00C379C8">
              <w:t>The Regulations also provide definitions of key terms such as fruit, vegetables, fish and seafood, and cured pork.</w:t>
            </w:r>
          </w:p>
          <w:p w:rsidR="00FE448B" w:rsidRPr="00C379C8" w:rsidRDefault="00573347" w:rsidP="002F6A28">
            <w:pPr>
              <w:spacing w:after="120"/>
            </w:pPr>
            <w:r w:rsidRPr="00C379C8">
              <w:t>They also set out key requirements for the manner in which disclosure must be made. In particular, disclosure must be made as follows for the following foods:</w:t>
            </w:r>
          </w:p>
          <w:p w:rsidR="00FE448B" w:rsidRPr="00C379C8" w:rsidRDefault="00573347" w:rsidP="002F6A28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C379C8">
              <w:t>The origin of fruit and vegetables must be disclosed by reference to the country where the food was grown.</w:t>
            </w:r>
          </w:p>
          <w:p w:rsidR="00FE448B" w:rsidRPr="00C379C8" w:rsidRDefault="00573347" w:rsidP="002F6A28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C379C8">
              <w:t>The origin of meat or cured pork must be disclosed by reference to the country where the animal was raised.</w:t>
            </w:r>
          </w:p>
          <w:p w:rsidR="00FE448B" w:rsidRPr="00C379C8" w:rsidRDefault="00573347" w:rsidP="002F6A28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C379C8">
              <w:t>The origin of fish or seafood must be disclosed by reference to either the national fisheries jurisdiction OR the ocean in whose high seas the food was caught or harvested.</w:t>
            </w:r>
          </w:p>
          <w:p w:rsidR="00FE448B" w:rsidRPr="00C379C8" w:rsidRDefault="00573347" w:rsidP="002F6A28">
            <w:pPr>
              <w:spacing w:after="120"/>
            </w:pPr>
            <w:r w:rsidRPr="00C379C8">
              <w:t>The Regulations provide for alternative disclosure requirements for foods supplied, offered for supply, or advertised for supply in certain circumstances. </w:t>
            </w:r>
          </w:p>
        </w:tc>
      </w:tr>
      <w:tr w:rsidR="0087489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3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34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The purpose is to provide a mandatory labelling system that provides consumers with accurate information about the country of origin of certain single-ingredient, minimally processed foods, and cured pork, to enable consumers to make informed food purchasing decisions.; Consumer information, labelling; Prevention of deceptive practices and consumer protection</w:t>
            </w:r>
            <w:bookmarkStart w:id="27" w:name="sps7f"/>
            <w:bookmarkEnd w:id="27"/>
          </w:p>
        </w:tc>
      </w:tr>
      <w:tr w:rsidR="0087489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34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57334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7C7EBB" w:rsidRPr="002F6A28" w:rsidRDefault="00573347" w:rsidP="00573347">
            <w:pPr>
              <w:numPr>
                <w:ilvl w:val="0"/>
                <w:numId w:val="19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Consumer Information Standards (origin of Food) Regulations 2019</w:t>
            </w:r>
          </w:p>
          <w:p w:rsidR="007C7EBB" w:rsidRPr="002F6A28" w:rsidRDefault="00573347" w:rsidP="00573347">
            <w:pPr>
              <w:numPr>
                <w:ilvl w:val="0"/>
                <w:numId w:val="19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Exposure draft consultation: Consumer Information Standards (Origin of Food) Regulations 2019 </w:t>
            </w:r>
          </w:p>
        </w:tc>
      </w:tr>
      <w:tr w:rsidR="00874898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733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7334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The proposed date of adoption of the consumer information standard is not yet set but will be by 1 June 2020. </w:t>
            </w:r>
            <w:bookmarkEnd w:id="31"/>
          </w:p>
          <w:p w:rsidR="00EE3A11" w:rsidRPr="002F6A28" w:rsidRDefault="0057334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The consumer information standard will enter into force 6 months after adoption, and will not apply to frozen food until 18 months after the standard commences (i.e. 24 months after adoption).</w:t>
            </w:r>
            <w:bookmarkEnd w:id="34"/>
          </w:p>
        </w:tc>
      </w:tr>
      <w:tr w:rsidR="0087489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3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34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10 February 2020</w:t>
            </w:r>
            <w:bookmarkStart w:id="36" w:name="sps12a"/>
            <w:bookmarkEnd w:id="36"/>
          </w:p>
        </w:tc>
      </w:tr>
      <w:tr w:rsidR="00874898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7334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7334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7C7EBB" w:rsidRPr="002F6A28" w:rsidRDefault="00147745" w:rsidP="00B16145">
            <w:pPr>
              <w:keepNext/>
              <w:keepLines/>
              <w:spacing w:before="120" w:after="120"/>
            </w:pPr>
            <w:hyperlink r:id="rId10" w:history="1">
              <w:r w:rsidR="00573347" w:rsidRPr="002F6A28">
                <w:rPr>
                  <w:color w:val="0000FF"/>
                  <w:u w:val="single"/>
                </w:rPr>
                <w:t>https://www.mbie.govt.nz/have-your-say/exposure-draft-consultation-consumer-information-standards-origin-of-food-regulations-2019</w:t>
              </w:r>
            </w:hyperlink>
            <w:r w:rsidR="00573347" w:rsidRPr="002F6A28">
              <w:tab/>
            </w:r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3DA" w:rsidRDefault="00573347">
      <w:r>
        <w:separator/>
      </w:r>
    </w:p>
  </w:endnote>
  <w:endnote w:type="continuationSeparator" w:id="0">
    <w:p w:rsidR="005653DA" w:rsidRDefault="0057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73347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73347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57334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3DA" w:rsidRDefault="00573347">
      <w:r>
        <w:separator/>
      </w:r>
    </w:p>
  </w:footnote>
  <w:footnote w:type="continuationSeparator" w:id="0">
    <w:p w:rsidR="005653DA" w:rsidRDefault="0057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7334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57334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7334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G/TBT/N/NZL/93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57334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4898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74898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7334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20221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74898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57334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G/TBT/N/NZL/93</w:t>
          </w:r>
          <w:bookmarkEnd w:id="43"/>
        </w:p>
      </w:tc>
    </w:tr>
    <w:tr w:rsidR="00874898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7334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9 December 2019</w:t>
          </w:r>
        </w:p>
      </w:tc>
    </w:tr>
    <w:tr w:rsidR="00874898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7334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147745">
            <w:rPr>
              <w:color w:val="FF0000"/>
              <w:szCs w:val="16"/>
            </w:rPr>
            <w:t>8461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7334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74898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57334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57334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22EC0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C306A1C" w:tentative="1">
      <w:start w:val="1"/>
      <w:numFmt w:val="lowerLetter"/>
      <w:lvlText w:val="%2."/>
      <w:lvlJc w:val="left"/>
      <w:pPr>
        <w:ind w:left="1080" w:hanging="360"/>
      </w:pPr>
    </w:lvl>
    <w:lvl w:ilvl="2" w:tplc="149ADD2C" w:tentative="1">
      <w:start w:val="1"/>
      <w:numFmt w:val="lowerRoman"/>
      <w:lvlText w:val="%3."/>
      <w:lvlJc w:val="right"/>
      <w:pPr>
        <w:ind w:left="1800" w:hanging="180"/>
      </w:pPr>
    </w:lvl>
    <w:lvl w:ilvl="3" w:tplc="94EA46B2" w:tentative="1">
      <w:start w:val="1"/>
      <w:numFmt w:val="decimal"/>
      <w:lvlText w:val="%4."/>
      <w:lvlJc w:val="left"/>
      <w:pPr>
        <w:ind w:left="2520" w:hanging="360"/>
      </w:pPr>
    </w:lvl>
    <w:lvl w:ilvl="4" w:tplc="6ED8EBFC" w:tentative="1">
      <w:start w:val="1"/>
      <w:numFmt w:val="lowerLetter"/>
      <w:lvlText w:val="%5."/>
      <w:lvlJc w:val="left"/>
      <w:pPr>
        <w:ind w:left="3240" w:hanging="360"/>
      </w:pPr>
    </w:lvl>
    <w:lvl w:ilvl="5" w:tplc="C8FE336A" w:tentative="1">
      <w:start w:val="1"/>
      <w:numFmt w:val="lowerRoman"/>
      <w:lvlText w:val="%6."/>
      <w:lvlJc w:val="right"/>
      <w:pPr>
        <w:ind w:left="3960" w:hanging="180"/>
      </w:pPr>
    </w:lvl>
    <w:lvl w:ilvl="6" w:tplc="F5B0E808" w:tentative="1">
      <w:start w:val="1"/>
      <w:numFmt w:val="decimal"/>
      <w:lvlText w:val="%7."/>
      <w:lvlJc w:val="left"/>
      <w:pPr>
        <w:ind w:left="4680" w:hanging="360"/>
      </w:pPr>
    </w:lvl>
    <w:lvl w:ilvl="7" w:tplc="1C5EA2CA" w:tentative="1">
      <w:start w:val="1"/>
      <w:numFmt w:val="lowerLetter"/>
      <w:lvlText w:val="%8."/>
      <w:lvlJc w:val="left"/>
      <w:pPr>
        <w:ind w:left="5400" w:hanging="360"/>
      </w:pPr>
    </w:lvl>
    <w:lvl w:ilvl="8" w:tplc="B7909A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D526BD"/>
    <w:multiLevelType w:val="multilevel"/>
    <w:tmpl w:val="63D526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D526BE"/>
    <w:multiLevelType w:val="hybridMultilevel"/>
    <w:tmpl w:val="63D526BE"/>
    <w:lvl w:ilvl="0" w:tplc="C56696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CA84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66C6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A44C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1C27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086D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3E08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22B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B8EF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47745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0F94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653DA"/>
    <w:rsid w:val="0057334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7EBB"/>
    <w:rsid w:val="007D20BB"/>
    <w:rsid w:val="007E1308"/>
    <w:rsid w:val="007E6507"/>
    <w:rsid w:val="007F2B8E"/>
    <w:rsid w:val="008055FB"/>
    <w:rsid w:val="00807247"/>
    <w:rsid w:val="00812D1D"/>
    <w:rsid w:val="008159AC"/>
    <w:rsid w:val="00821516"/>
    <w:rsid w:val="00832EE1"/>
    <w:rsid w:val="008378EF"/>
    <w:rsid w:val="00840C2B"/>
    <w:rsid w:val="00860955"/>
    <w:rsid w:val="008612A9"/>
    <w:rsid w:val="00863177"/>
    <w:rsid w:val="008739FD"/>
    <w:rsid w:val="00874898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1A717"/>
  <w15:docId w15:val="{CC4D4A72-0FE1-4CA3-A509-78FF0A65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@standards.co.n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sumer@mbie.govt.n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bie.govt.nz/have-your-say/exposure-draft-consultation-consumer-information-standards-origin-of-food-regulations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ards.govt.n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2019-12-09T08:41:00Z</dcterms:created>
  <dcterms:modified xsi:type="dcterms:W3CDTF">2019-12-09T11:08:00Z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