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1C651D" w:rsidP="00DD3DD7">
      <w:pPr>
        <w:pStyle w:val="Title"/>
      </w:pPr>
      <w:r w:rsidRPr="002F663C">
        <w:t>NOTIFICATION</w:t>
      </w:r>
    </w:p>
    <w:p w:rsidR="002F663C" w:rsidRPr="002F663C" w:rsidRDefault="001C651D" w:rsidP="00DD3DD7">
      <w:pPr>
        <w:pStyle w:val="Title3"/>
      </w:pPr>
      <w:r w:rsidRPr="002F663C">
        <w:t>Addendum</w:t>
      </w:r>
      <w:bookmarkStart w:id="0" w:name="_GoBack"/>
      <w:bookmarkEnd w:id="0"/>
    </w:p>
    <w:p w:rsidR="002F663C" w:rsidRDefault="001C651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4 January 2021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Uganda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1C651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1C651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proofErr w:type="spellStart"/>
      <w:r w:rsidR="00B053E7">
        <w:rPr>
          <w:rFonts w:eastAsia="Calibri" w:cs="Times New Roman"/>
          <w:szCs w:val="18"/>
        </w:rPr>
        <w:t>DUS</w:t>
      </w:r>
      <w:proofErr w:type="spellEnd"/>
      <w:r w:rsidR="00B053E7">
        <w:rPr>
          <w:rFonts w:eastAsia="Calibri" w:cs="Times New Roman"/>
          <w:szCs w:val="18"/>
        </w:rPr>
        <w:t xml:space="preserve"> DEAS 942-2:2019, Footwear — Specification for men's shoes — Part 2: Open shoes, First Edition</w:t>
      </w:r>
      <w:bookmarkEnd w:id="4"/>
      <w:bookmarkEnd w:id="5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74C04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1C651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74C04" w:rsidTr="00E9471B">
        <w:tc>
          <w:tcPr>
            <w:tcW w:w="851" w:type="dxa"/>
            <w:shd w:val="clear" w:color="auto" w:fill="auto"/>
          </w:tcPr>
          <w:p w:rsidR="002F663C" w:rsidRPr="00711F9C" w:rsidRDefault="001C651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C651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474C04" w:rsidTr="00E9471B">
        <w:tc>
          <w:tcPr>
            <w:tcW w:w="851" w:type="dxa"/>
            <w:shd w:val="clear" w:color="auto" w:fill="auto"/>
          </w:tcPr>
          <w:p w:rsidR="002F663C" w:rsidRPr="00711F9C" w:rsidRDefault="001C65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C651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r w:rsidR="00467A46">
              <w:rPr>
                <w:rFonts w:eastAsia="Calibri" w:cs="Times New Roman"/>
              </w:rPr>
              <w:t>15 December 2020</w:t>
            </w:r>
            <w:bookmarkEnd w:id="10"/>
          </w:p>
        </w:tc>
      </w:tr>
      <w:tr w:rsidR="00474C04" w:rsidTr="00E9471B">
        <w:tc>
          <w:tcPr>
            <w:tcW w:w="851" w:type="dxa"/>
            <w:shd w:val="clear" w:color="auto" w:fill="auto"/>
          </w:tcPr>
          <w:p w:rsidR="002F663C" w:rsidRPr="00711F9C" w:rsidRDefault="001C65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C651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474C04" w:rsidTr="00E9471B">
        <w:tc>
          <w:tcPr>
            <w:tcW w:w="851" w:type="dxa"/>
            <w:shd w:val="clear" w:color="auto" w:fill="auto"/>
          </w:tcPr>
          <w:p w:rsidR="002F663C" w:rsidRPr="00711F9C" w:rsidRDefault="001C65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C651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474C04" w:rsidTr="00E9471B">
        <w:tc>
          <w:tcPr>
            <w:tcW w:w="851" w:type="dxa"/>
            <w:shd w:val="clear" w:color="auto" w:fill="auto"/>
          </w:tcPr>
          <w:p w:rsidR="002F663C" w:rsidRPr="00711F9C" w:rsidRDefault="001C65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C651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:rsidR="00467A46" w:rsidRDefault="00AC2E55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C651D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7"/>
          </w:p>
        </w:tc>
      </w:tr>
      <w:tr w:rsidR="00474C04" w:rsidTr="00E9471B">
        <w:tc>
          <w:tcPr>
            <w:tcW w:w="851" w:type="dxa"/>
            <w:shd w:val="clear" w:color="auto" w:fill="auto"/>
          </w:tcPr>
          <w:p w:rsidR="002F663C" w:rsidRPr="00711F9C" w:rsidRDefault="001C65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C651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:rsidR="002F663C" w:rsidRPr="002F663C" w:rsidRDefault="001C651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474C04" w:rsidTr="00E9471B">
        <w:tc>
          <w:tcPr>
            <w:tcW w:w="851" w:type="dxa"/>
            <w:shd w:val="clear" w:color="auto" w:fill="auto"/>
          </w:tcPr>
          <w:p w:rsidR="002F663C" w:rsidRPr="00711F9C" w:rsidRDefault="001C65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C651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1C651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474C04" w:rsidTr="00E9471B">
        <w:tc>
          <w:tcPr>
            <w:tcW w:w="851" w:type="dxa"/>
            <w:shd w:val="clear" w:color="auto" w:fill="auto"/>
          </w:tcPr>
          <w:p w:rsidR="002F663C" w:rsidRPr="00711F9C" w:rsidRDefault="001C651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C651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474C04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1C651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1C651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1C651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</w:t>
      </w:r>
      <w:proofErr w:type="spellStart"/>
      <w:r w:rsidRPr="002F663C">
        <w:rPr>
          <w:rFonts w:eastAsia="Calibri" w:cs="Times New Roman"/>
          <w:szCs w:val="18"/>
        </w:rPr>
        <w:t>DUS</w:t>
      </w:r>
      <w:proofErr w:type="spellEnd"/>
      <w:r w:rsidRPr="002F663C">
        <w:rPr>
          <w:rFonts w:eastAsia="Calibri" w:cs="Times New Roman"/>
          <w:szCs w:val="18"/>
        </w:rPr>
        <w:t xml:space="preserve"> DEAS 942-2:2019, Footwear — Specification for men's shoes — Part 2: Open shoes, First Edition; notified in G/TBT/N/</w:t>
      </w:r>
      <w:proofErr w:type="spellStart"/>
      <w:r w:rsidRPr="002F663C">
        <w:rPr>
          <w:rFonts w:eastAsia="Calibri" w:cs="Times New Roman"/>
          <w:szCs w:val="18"/>
        </w:rPr>
        <w:t>UGA</w:t>
      </w:r>
      <w:proofErr w:type="spellEnd"/>
      <w:r w:rsidRPr="002F663C">
        <w:rPr>
          <w:rFonts w:eastAsia="Calibri" w:cs="Times New Roman"/>
          <w:szCs w:val="18"/>
        </w:rPr>
        <w:t xml:space="preserve">/1060 was adopted on 15 December 2020. The adopted Uganda Standard, US </w:t>
      </w:r>
      <w:proofErr w:type="spellStart"/>
      <w:r w:rsidRPr="002F663C">
        <w:rPr>
          <w:rFonts w:eastAsia="Calibri" w:cs="Times New Roman"/>
          <w:szCs w:val="18"/>
        </w:rPr>
        <w:t>EAS</w:t>
      </w:r>
      <w:proofErr w:type="spellEnd"/>
      <w:r w:rsidRPr="002F663C">
        <w:rPr>
          <w:rFonts w:eastAsia="Calibri" w:cs="Times New Roman"/>
          <w:szCs w:val="18"/>
        </w:rPr>
        <w:t xml:space="preserve"> 942-2:2020, Footwear — Specification — Part 2: Men's Open shoes, First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:rsidR="006C5A96" w:rsidRDefault="001C651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ECA" w:rsidRDefault="001C651D">
      <w:r>
        <w:separator/>
      </w:r>
    </w:p>
  </w:endnote>
  <w:endnote w:type="continuationSeparator" w:id="0">
    <w:p w:rsidR="00A34ECA" w:rsidRDefault="001C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1C651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1C651D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1C651D" w:rsidP="00ED54E0">
      <w:r>
        <w:separator/>
      </w:r>
    </w:p>
  </w:footnote>
  <w:footnote w:type="continuationSeparator" w:id="0">
    <w:p w:rsidR="00724E52" w:rsidRDefault="001C651D" w:rsidP="00ED54E0">
      <w:r>
        <w:continuationSeparator/>
      </w:r>
    </w:p>
  </w:footnote>
  <w:footnote w:id="1">
    <w:p w:rsidR="007F6EA2" w:rsidRDefault="001C65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1C651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PROVISIONAL210009</w:t>
    </w:r>
    <w:bookmarkEnd w:id="27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1C651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1C651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</w:t>
    </w:r>
    <w:proofErr w:type="spellStart"/>
    <w:r w:rsidRPr="006C5A96">
      <w:t>UGA</w:t>
    </w:r>
    <w:proofErr w:type="spellEnd"/>
    <w:r w:rsidRPr="006C5A96">
      <w:t>/1060/Add.1</w:t>
    </w:r>
    <w:bookmarkEnd w:id="28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1C651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4C0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1C651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74C0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1C651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4660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74C0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1C651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C14444">
            <w:rPr>
              <w:rFonts w:eastAsia="Calibri" w:cs="Times New Roman"/>
              <w:b/>
              <w:szCs w:val="16"/>
            </w:rPr>
            <w:t>UGA</w:t>
          </w:r>
          <w:proofErr w:type="spellEnd"/>
          <w:r w:rsidRPr="00C14444">
            <w:rPr>
              <w:rFonts w:eastAsia="Calibri" w:cs="Times New Roman"/>
              <w:b/>
              <w:szCs w:val="16"/>
            </w:rPr>
            <w:t>/1060/Add.1</w:t>
          </w:r>
          <w:bookmarkEnd w:id="29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74C0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1C651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4 January 2021</w:t>
          </w:r>
        </w:p>
      </w:tc>
    </w:tr>
    <w:tr w:rsidR="00474C0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1C651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F357E7">
            <w:rPr>
              <w:rFonts w:eastAsia="Calibri" w:cs="Times New Roman"/>
              <w:color w:val="FF0000"/>
              <w:szCs w:val="16"/>
            </w:rPr>
            <w:t>00</w:t>
          </w:r>
          <w:bookmarkEnd w:id="31"/>
          <w:r w:rsidR="00AC2E55">
            <w:rPr>
              <w:rFonts w:eastAsia="Calibri" w:cs="Times New Roman"/>
              <w:color w:val="FF0000"/>
              <w:szCs w:val="16"/>
            </w:rPr>
            <w:t>12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1C651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74C0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1C651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1C651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6CFE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50ED20" w:tentative="1">
      <w:start w:val="1"/>
      <w:numFmt w:val="lowerLetter"/>
      <w:lvlText w:val="%2."/>
      <w:lvlJc w:val="left"/>
      <w:pPr>
        <w:ind w:left="1080" w:hanging="360"/>
      </w:pPr>
    </w:lvl>
    <w:lvl w:ilvl="2" w:tplc="7D36EB06" w:tentative="1">
      <w:start w:val="1"/>
      <w:numFmt w:val="lowerRoman"/>
      <w:lvlText w:val="%3."/>
      <w:lvlJc w:val="right"/>
      <w:pPr>
        <w:ind w:left="1800" w:hanging="180"/>
      </w:pPr>
    </w:lvl>
    <w:lvl w:ilvl="3" w:tplc="FAFE7486" w:tentative="1">
      <w:start w:val="1"/>
      <w:numFmt w:val="decimal"/>
      <w:lvlText w:val="%4."/>
      <w:lvlJc w:val="left"/>
      <w:pPr>
        <w:ind w:left="2520" w:hanging="360"/>
      </w:pPr>
    </w:lvl>
    <w:lvl w:ilvl="4" w:tplc="D40A3DB8" w:tentative="1">
      <w:start w:val="1"/>
      <w:numFmt w:val="lowerLetter"/>
      <w:lvlText w:val="%5."/>
      <w:lvlJc w:val="left"/>
      <w:pPr>
        <w:ind w:left="3240" w:hanging="360"/>
      </w:pPr>
    </w:lvl>
    <w:lvl w:ilvl="5" w:tplc="40149CE6" w:tentative="1">
      <w:start w:val="1"/>
      <w:numFmt w:val="lowerRoman"/>
      <w:lvlText w:val="%6."/>
      <w:lvlJc w:val="right"/>
      <w:pPr>
        <w:ind w:left="3960" w:hanging="180"/>
      </w:pPr>
    </w:lvl>
    <w:lvl w:ilvl="6" w:tplc="9698CE38" w:tentative="1">
      <w:start w:val="1"/>
      <w:numFmt w:val="decimal"/>
      <w:lvlText w:val="%7."/>
      <w:lvlJc w:val="left"/>
      <w:pPr>
        <w:ind w:left="4680" w:hanging="360"/>
      </w:pPr>
    </w:lvl>
    <w:lvl w:ilvl="7" w:tplc="E25217B0" w:tentative="1">
      <w:start w:val="1"/>
      <w:numFmt w:val="lowerLetter"/>
      <w:lvlText w:val="%8."/>
      <w:lvlJc w:val="left"/>
      <w:pPr>
        <w:ind w:left="5400" w:hanging="360"/>
      </w:pPr>
    </w:lvl>
    <w:lvl w:ilvl="8" w:tplc="38046D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C651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74C04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44C85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4ECA"/>
    <w:rsid w:val="00A372AC"/>
    <w:rsid w:val="00A43C3A"/>
    <w:rsid w:val="00A6057A"/>
    <w:rsid w:val="00A72245"/>
    <w:rsid w:val="00A74017"/>
    <w:rsid w:val="00A9062A"/>
    <w:rsid w:val="00AA332C"/>
    <w:rsid w:val="00AA6B9C"/>
    <w:rsid w:val="00AB3D96"/>
    <w:rsid w:val="00AC27F8"/>
    <w:rsid w:val="00AC2E55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5A14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4A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EB72-E0C5-4EBF-AF5C-58C04B6E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2021-01-04T08:26:00Z</dcterms:created>
  <dcterms:modified xsi:type="dcterms:W3CDTF">2021-01-04T10:59:00Z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5bc10d8e-06a7-452b-9465-888cc6a210cb</vt:lpwstr>
  </property>
  <property fmtid="{D5CDD505-2E9C-101B-9397-08002B2CF9AE}" pid="4" name="WTOCLASSIFICATION">
    <vt:lpwstr>WTO OFFICIAL</vt:lpwstr>
  </property>
</Properties>
</file>