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2B2F2" w14:textId="044EBB81" w:rsidR="002D78C9" w:rsidRDefault="005F3725" w:rsidP="005F3725">
      <w:pPr>
        <w:pStyle w:val="Title"/>
        <w:tabs>
          <w:tab w:val="center" w:pos="4513"/>
          <w:tab w:val="left" w:pos="6690"/>
        </w:tabs>
        <w:jc w:val="left"/>
      </w:pPr>
      <w:r>
        <w:tab/>
      </w:r>
      <w:r w:rsidRPr="002F663C">
        <w:t>NOTIFICATION</w:t>
      </w:r>
      <w:r>
        <w:tab/>
      </w:r>
    </w:p>
    <w:p w14:paraId="5487B71E" w14:textId="77777777" w:rsidR="002F663C" w:rsidRPr="002F663C" w:rsidRDefault="005F3725" w:rsidP="00DD3DD7">
      <w:pPr>
        <w:pStyle w:val="Title3"/>
      </w:pPr>
      <w:r w:rsidRPr="002F663C">
        <w:t>Addendum</w:t>
      </w:r>
    </w:p>
    <w:p w14:paraId="7588E57E" w14:textId="77777777" w:rsidR="002F663C" w:rsidRDefault="005F3725"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24 August 2020</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1FD90CAF" w14:textId="77777777" w:rsidR="001E2E4A" w:rsidRPr="002F663C" w:rsidRDefault="001E2E4A" w:rsidP="001E2E4A">
      <w:pPr>
        <w:rPr>
          <w:rFonts w:eastAsia="Calibri" w:cs="Times New Roman"/>
        </w:rPr>
      </w:pPr>
    </w:p>
    <w:p w14:paraId="64C85D6E" w14:textId="77777777" w:rsidR="002F663C" w:rsidRPr="002F663C" w:rsidRDefault="005F3725" w:rsidP="002F663C">
      <w:pPr>
        <w:jc w:val="center"/>
        <w:rPr>
          <w:rFonts w:eastAsia="Calibri" w:cs="Times New Roman"/>
          <w:b/>
        </w:rPr>
      </w:pPr>
      <w:r w:rsidRPr="002F663C">
        <w:rPr>
          <w:rFonts w:eastAsia="Calibri" w:cs="Times New Roman"/>
          <w:b/>
        </w:rPr>
        <w:t>_______________</w:t>
      </w:r>
    </w:p>
    <w:p w14:paraId="75B52637" w14:textId="77777777" w:rsidR="002F663C" w:rsidRDefault="002F663C" w:rsidP="002F663C">
      <w:pPr>
        <w:rPr>
          <w:rFonts w:eastAsia="Calibri" w:cs="Times New Roman"/>
        </w:rPr>
      </w:pPr>
    </w:p>
    <w:p w14:paraId="41880357" w14:textId="77777777" w:rsidR="00C14444" w:rsidRPr="002F663C" w:rsidRDefault="00C14444" w:rsidP="002F663C">
      <w:pPr>
        <w:rPr>
          <w:rFonts w:eastAsia="Calibri" w:cs="Times New Roman"/>
        </w:rPr>
      </w:pPr>
    </w:p>
    <w:p w14:paraId="19F50816" w14:textId="77777777" w:rsidR="002F663C" w:rsidRPr="002F663C" w:rsidRDefault="005F3725"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Revocation of the Test for Mycoplasma</w:t>
      </w:r>
      <w:bookmarkEnd w:id="3"/>
      <w:bookmarkEnd w:id="4"/>
    </w:p>
    <w:p w14:paraId="6843E18C"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99763F" w14:paraId="57D634BB"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F30A27C" w14:textId="77777777" w:rsidR="002F663C" w:rsidRPr="002F663C" w:rsidRDefault="005F3725"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99763F" w14:paraId="3636B97E" w14:textId="77777777" w:rsidTr="00E9471B">
        <w:tc>
          <w:tcPr>
            <w:tcW w:w="851" w:type="dxa"/>
            <w:shd w:val="clear" w:color="auto" w:fill="auto"/>
          </w:tcPr>
          <w:p w14:paraId="4FB1C0ED" w14:textId="77777777" w:rsidR="002F663C" w:rsidRPr="00711F9C" w:rsidRDefault="005F3725"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71431983" w14:textId="77777777" w:rsidR="002F663C" w:rsidRPr="002F663C" w:rsidRDefault="005F3725"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99763F" w14:paraId="366016E8" w14:textId="77777777" w:rsidTr="00E9471B">
        <w:tc>
          <w:tcPr>
            <w:tcW w:w="851" w:type="dxa"/>
            <w:shd w:val="clear" w:color="auto" w:fill="auto"/>
          </w:tcPr>
          <w:p w14:paraId="6C76D6D6" w14:textId="77777777" w:rsidR="002F663C" w:rsidRPr="00711F9C" w:rsidRDefault="005F3725"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X</w:t>
            </w:r>
            <w:bookmarkEnd w:id="8"/>
            <w:r w:rsidRPr="00711F9C">
              <w:rPr>
                <w:rFonts w:eastAsia="Calibri" w:cs="Times New Roman"/>
                <w:szCs w:val="18"/>
              </w:rPr>
              <w:t>]</w:t>
            </w:r>
          </w:p>
        </w:tc>
        <w:tc>
          <w:tcPr>
            <w:tcW w:w="8198" w:type="dxa"/>
            <w:shd w:val="clear" w:color="auto" w:fill="auto"/>
          </w:tcPr>
          <w:p w14:paraId="261CB532" w14:textId="77777777" w:rsidR="002F663C" w:rsidRPr="002F663C" w:rsidRDefault="005F372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r w:rsidR="00467A46">
              <w:rPr>
                <w:rFonts w:eastAsia="Calibri" w:cs="Times New Roman"/>
              </w:rPr>
              <w:t>21 August 2020</w:t>
            </w:r>
            <w:bookmarkEnd w:id="9"/>
          </w:p>
        </w:tc>
      </w:tr>
      <w:tr w:rsidR="0099763F" w14:paraId="4510BAF1" w14:textId="77777777" w:rsidTr="00E9471B">
        <w:tc>
          <w:tcPr>
            <w:tcW w:w="851" w:type="dxa"/>
            <w:shd w:val="clear" w:color="auto" w:fill="auto"/>
          </w:tcPr>
          <w:p w14:paraId="1F5B90A9" w14:textId="77777777" w:rsidR="002F663C" w:rsidRPr="00711F9C" w:rsidRDefault="005F3725"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16C956B9" w14:textId="77777777" w:rsidR="002F663C" w:rsidRPr="002F663C" w:rsidRDefault="005F372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99763F" w14:paraId="62C64504" w14:textId="77777777" w:rsidTr="00E9471B">
        <w:tc>
          <w:tcPr>
            <w:tcW w:w="851" w:type="dxa"/>
            <w:shd w:val="clear" w:color="auto" w:fill="auto"/>
          </w:tcPr>
          <w:p w14:paraId="2DE0912F" w14:textId="77777777" w:rsidR="002F663C" w:rsidRPr="00711F9C" w:rsidRDefault="005F3725"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1B2E858D" w14:textId="77777777" w:rsidR="002F663C" w:rsidRPr="002F663C" w:rsidRDefault="005F3725"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21 September 2020</w:t>
            </w:r>
            <w:bookmarkEnd w:id="13"/>
          </w:p>
        </w:tc>
      </w:tr>
      <w:tr w:rsidR="0099763F" w14:paraId="04FB377F" w14:textId="77777777" w:rsidTr="00E9471B">
        <w:tc>
          <w:tcPr>
            <w:tcW w:w="851" w:type="dxa"/>
            <w:shd w:val="clear" w:color="auto" w:fill="auto"/>
          </w:tcPr>
          <w:p w14:paraId="6B529FA3" w14:textId="77777777" w:rsidR="002F663C" w:rsidRPr="00711F9C" w:rsidRDefault="005F3725"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5BC333B6" w14:textId="77777777" w:rsidR="002F663C" w:rsidRPr="002F663C" w:rsidRDefault="005F3725"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6AA3C4ED" w14:textId="77777777" w:rsidR="00467A46" w:rsidRDefault="00C32FFC" w:rsidP="00EB7B40">
            <w:pPr>
              <w:spacing w:before="60" w:after="60"/>
              <w:rPr>
                <w:rFonts w:eastAsia="Calibri" w:cs="Times New Roman"/>
              </w:rPr>
            </w:pPr>
            <w:hyperlink r:id="rId8" w:history="1">
              <w:r w:rsidR="005F3725">
                <w:rPr>
                  <w:rFonts w:eastAsia="Calibri" w:cs="Times New Roman"/>
                  <w:color w:val="0000FF"/>
                  <w:u w:val="single"/>
                </w:rPr>
                <w:t>https://www.govinfo.gov/content/pkg/FR-2020-08-21/html/2020-17085.htm</w:t>
              </w:r>
            </w:hyperlink>
          </w:p>
          <w:p w14:paraId="27C6A2F2" w14:textId="77777777" w:rsidR="00467A46" w:rsidRDefault="00C32FFC" w:rsidP="00EB7B40">
            <w:pPr>
              <w:spacing w:before="60" w:after="60"/>
              <w:rPr>
                <w:rFonts w:eastAsia="Calibri" w:cs="Times New Roman"/>
              </w:rPr>
            </w:pPr>
            <w:hyperlink r:id="rId9" w:history="1">
              <w:r w:rsidR="005F3725">
                <w:rPr>
                  <w:rFonts w:eastAsia="Calibri" w:cs="Times New Roman"/>
                  <w:color w:val="0000FF"/>
                  <w:u w:val="single"/>
                </w:rPr>
                <w:t>https://www.govinfo.gov/content/pkg/FR-2020-08-21/pdf/2020-17085.pdf</w:t>
              </w:r>
            </w:hyperlink>
          </w:p>
          <w:p w14:paraId="0A65F882" w14:textId="77777777" w:rsidR="00467A46" w:rsidRDefault="00C32FFC" w:rsidP="00EB7B40">
            <w:pPr>
              <w:spacing w:before="60" w:after="60"/>
              <w:rPr>
                <w:rFonts w:eastAsia="Calibri" w:cs="Times New Roman"/>
              </w:rPr>
            </w:pPr>
            <w:hyperlink r:id="rId10" w:history="1">
              <w:r w:rsidR="005F3725">
                <w:rPr>
                  <w:rFonts w:eastAsia="Calibri" w:cs="Times New Roman"/>
                  <w:color w:val="0000FF"/>
                  <w:u w:val="single"/>
                </w:rPr>
                <w:t>https://members.wto.org/crnattachments/2020/TBT/USA/final_measure/20_5060_00_e.pdf</w:t>
              </w:r>
            </w:hyperlink>
            <w:bookmarkEnd w:id="16"/>
          </w:p>
        </w:tc>
      </w:tr>
      <w:tr w:rsidR="0099763F" w14:paraId="19E0ABBF" w14:textId="77777777" w:rsidTr="00E9471B">
        <w:tc>
          <w:tcPr>
            <w:tcW w:w="851" w:type="dxa"/>
            <w:shd w:val="clear" w:color="auto" w:fill="auto"/>
          </w:tcPr>
          <w:p w14:paraId="348CB351" w14:textId="77777777" w:rsidR="002F663C" w:rsidRPr="00711F9C" w:rsidRDefault="005F3725"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14C7FC66" w14:textId="77777777" w:rsidR="002F663C" w:rsidRPr="002F663C" w:rsidRDefault="005F3725"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572AA3F4" w14:textId="77777777" w:rsidR="002F663C" w:rsidRPr="002F663C" w:rsidRDefault="005F3725"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99763F" w14:paraId="22A3E2AC" w14:textId="77777777" w:rsidTr="00E9471B">
        <w:tc>
          <w:tcPr>
            <w:tcW w:w="851" w:type="dxa"/>
            <w:shd w:val="clear" w:color="auto" w:fill="auto"/>
          </w:tcPr>
          <w:p w14:paraId="5B298BA3" w14:textId="77777777" w:rsidR="002F663C" w:rsidRPr="00711F9C" w:rsidRDefault="005F3725"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63DED078" w14:textId="77777777" w:rsidR="002F663C" w:rsidRPr="002F663C" w:rsidRDefault="005F3725"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14:paraId="75F066C7" w14:textId="77777777" w:rsidR="002F663C" w:rsidRPr="002F663C" w:rsidRDefault="005F3725"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99763F" w14:paraId="6715EBF5" w14:textId="77777777" w:rsidTr="00E9471B">
        <w:tc>
          <w:tcPr>
            <w:tcW w:w="851" w:type="dxa"/>
            <w:shd w:val="clear" w:color="auto" w:fill="auto"/>
          </w:tcPr>
          <w:p w14:paraId="043B9610" w14:textId="77777777" w:rsidR="002F663C" w:rsidRPr="00711F9C" w:rsidRDefault="005F3725" w:rsidP="00C14444">
            <w:pPr>
              <w:spacing w:before="60" w:after="60"/>
              <w:ind w:left="567" w:hanging="567"/>
              <w:jc w:val="center"/>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7CF8926A" w14:textId="77777777" w:rsidR="002F663C" w:rsidRPr="002F663C" w:rsidRDefault="005F3725"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99763F" w14:paraId="69D65304" w14:textId="77777777" w:rsidTr="00E9471B">
        <w:tc>
          <w:tcPr>
            <w:tcW w:w="851" w:type="dxa"/>
            <w:tcBorders>
              <w:bottom w:val="double" w:sz="4" w:space="0" w:color="auto"/>
            </w:tcBorders>
            <w:shd w:val="clear" w:color="auto" w:fill="auto"/>
          </w:tcPr>
          <w:p w14:paraId="4F0A1528" w14:textId="77777777" w:rsidR="002F663C" w:rsidRPr="00711F9C" w:rsidRDefault="005F3725" w:rsidP="00C14444">
            <w:pPr>
              <w:spacing w:before="60" w:after="60"/>
              <w:ind w:left="567" w:hanging="567"/>
              <w:jc w:val="center"/>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50DA82BC" w14:textId="77777777" w:rsidR="002F663C" w:rsidRPr="002F663C" w:rsidRDefault="005F3725"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5"/>
    </w:tbl>
    <w:p w14:paraId="5E3BAFCC" w14:textId="77777777" w:rsidR="002F663C" w:rsidRPr="002F663C" w:rsidRDefault="002F663C" w:rsidP="002F663C">
      <w:pPr>
        <w:jc w:val="left"/>
        <w:rPr>
          <w:rFonts w:eastAsia="Calibri" w:cs="Times New Roman"/>
          <w:highlight w:val="yellow"/>
        </w:rPr>
      </w:pPr>
    </w:p>
    <w:p w14:paraId="32D3FBCD" w14:textId="77777777" w:rsidR="003971FF" w:rsidRPr="007F6EA2" w:rsidRDefault="005F3725"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AGENCY: Food and Drug Administration, HHS</w:t>
      </w:r>
    </w:p>
    <w:p w14:paraId="096FC762" w14:textId="77777777" w:rsidR="009755B2" w:rsidRPr="002F663C" w:rsidRDefault="005F3725" w:rsidP="00B16ACF">
      <w:pPr>
        <w:spacing w:after="120"/>
        <w:rPr>
          <w:rFonts w:eastAsia="Calibri" w:cs="Times New Roman"/>
          <w:szCs w:val="18"/>
        </w:rPr>
      </w:pPr>
      <w:r w:rsidRPr="002F663C">
        <w:rPr>
          <w:rFonts w:eastAsia="Calibri" w:cs="Times New Roman"/>
          <w:szCs w:val="18"/>
        </w:rPr>
        <w:t>ACTION: Final rule</w:t>
      </w:r>
    </w:p>
    <w:p w14:paraId="2040C143" w14:textId="77777777" w:rsidR="009755B2" w:rsidRPr="002F663C" w:rsidRDefault="005F3725" w:rsidP="00B16ACF">
      <w:pPr>
        <w:spacing w:after="120"/>
        <w:rPr>
          <w:rFonts w:eastAsia="Calibri" w:cs="Times New Roman"/>
          <w:szCs w:val="18"/>
        </w:rPr>
      </w:pPr>
      <w:r w:rsidRPr="002F663C">
        <w:rPr>
          <w:rFonts w:eastAsia="Calibri" w:cs="Times New Roman"/>
          <w:szCs w:val="18"/>
        </w:rPr>
        <w:t xml:space="preserve">SUMMARY: The Food and Drug Administration (FDA, the Agency, or we) is issuing a final rule to remove the specified test for the presence of Mycoplasma for live virus vaccines and inactivated virus vaccines produced from in vitro living cell cultures. The rule is being finalized because the existing test for Mycoplasma is overly restrictive in that it identifies only one test method in detail to be used even though other methods also may be appropriate. More sensitive and specific methods exist and are currently being practiced, and removal of the specific method to test for Mycoplasma provides flexibility for accommodating new and evolving technology and capabilities without diminishing public health protections. This action is part of FDA's implementation of Executive Orders under which FDA is comprehensively reviewing existing regulations to identify opportunities for </w:t>
      </w:r>
      <w:r w:rsidRPr="002F663C">
        <w:rPr>
          <w:rFonts w:eastAsia="Calibri" w:cs="Times New Roman"/>
          <w:szCs w:val="18"/>
        </w:rPr>
        <w:lastRenderedPageBreak/>
        <w:t>repeal, replacement, or modification that will result in meaningful burden reduction, while allowing the Agency to achieve our public health mission and fulfill statutory obligations.</w:t>
      </w:r>
    </w:p>
    <w:p w14:paraId="6F42E5D4" w14:textId="77777777" w:rsidR="009755B2" w:rsidRPr="002F663C" w:rsidRDefault="005F3725" w:rsidP="00B16ACF">
      <w:pPr>
        <w:spacing w:after="120"/>
        <w:rPr>
          <w:rFonts w:eastAsia="Calibri" w:cs="Times New Roman"/>
          <w:szCs w:val="18"/>
        </w:rPr>
      </w:pPr>
      <w:r w:rsidRPr="002F663C">
        <w:rPr>
          <w:rFonts w:eastAsia="Calibri" w:cs="Times New Roman"/>
          <w:szCs w:val="18"/>
        </w:rPr>
        <w:t>This rule is effective 21 September 2020.</w:t>
      </w:r>
    </w:p>
    <w:p w14:paraId="7477E295" w14:textId="77777777" w:rsidR="009755B2" w:rsidRPr="002F663C" w:rsidRDefault="005F3725" w:rsidP="00B16ACF">
      <w:pPr>
        <w:spacing w:after="120"/>
        <w:rPr>
          <w:rFonts w:eastAsia="Calibri" w:cs="Times New Roman"/>
          <w:szCs w:val="18"/>
        </w:rPr>
      </w:pPr>
      <w:r w:rsidRPr="002F663C">
        <w:rPr>
          <w:rFonts w:eastAsia="Calibri" w:cs="Times New Roman"/>
          <w:szCs w:val="18"/>
        </w:rPr>
        <w:t xml:space="preserve">This final rule and the proposed rule notified as </w:t>
      </w:r>
      <w:hyperlink r:id="rId11" w:tgtFrame="_blank" w:history="1">
        <w:r w:rsidRPr="002F663C">
          <w:rPr>
            <w:rFonts w:eastAsia="Calibri" w:cs="Times New Roman"/>
            <w:color w:val="0000FF"/>
            <w:szCs w:val="18"/>
            <w:u w:val="single"/>
          </w:rPr>
          <w:t>G/TBT/N/USA/1462</w:t>
        </w:r>
      </w:hyperlink>
      <w:r w:rsidRPr="002F663C">
        <w:rPr>
          <w:rFonts w:eastAsia="Calibri" w:cs="Times New Roman"/>
          <w:szCs w:val="18"/>
        </w:rPr>
        <w:t xml:space="preserve"> are identified by Docket Number FDA-2018-N-4757. The Docket Folder is available on </w:t>
      </w:r>
      <w:hyperlink r:id="rId12"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3" w:tgtFrame="_blank" w:history="1">
        <w:r w:rsidRPr="002F663C">
          <w:rPr>
            <w:rFonts w:eastAsia="Calibri" w:cs="Times New Roman"/>
            <w:color w:val="0000FF"/>
            <w:szCs w:val="18"/>
            <w:u w:val="single"/>
          </w:rPr>
          <w:t>https://www.regulations.gov/docket?D=FDA-2018-N-4757</w:t>
        </w:r>
      </w:hyperlink>
      <w:r w:rsidRPr="002F663C">
        <w:rPr>
          <w:rFonts w:eastAsia="Calibri" w:cs="Times New Roman"/>
          <w:szCs w:val="18"/>
        </w:rPr>
        <w:t xml:space="preserve">, and provides access to primary and supporting documents as well as comments received. Documents are also accessible from </w:t>
      </w:r>
      <w:hyperlink r:id="rId14"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
      </w:r>
    </w:p>
    <w:p w14:paraId="363C75FA" w14:textId="77777777" w:rsidR="006C5A96" w:rsidRDefault="005F3725" w:rsidP="006C5A96">
      <w:pPr>
        <w:jc w:val="center"/>
        <w:rPr>
          <w:b/>
        </w:rPr>
      </w:pPr>
      <w:r w:rsidRPr="003971FF">
        <w:rPr>
          <w:b/>
        </w:rPr>
        <w:t>__________</w:t>
      </w:r>
    </w:p>
    <w:p w14:paraId="4886B76F" w14:textId="77777777" w:rsidR="004D4D19" w:rsidRDefault="004D4D19" w:rsidP="007F38C2">
      <w:pPr>
        <w:jc w:val="center"/>
        <w:rPr>
          <w:b/>
        </w:rPr>
      </w:pPr>
    </w:p>
    <w:p w14:paraId="7337FF54" w14:textId="77777777" w:rsidR="00A1565D" w:rsidRDefault="00A1565D" w:rsidP="003971FF">
      <w:pPr>
        <w:jc w:val="center"/>
        <w:rPr>
          <w:b/>
        </w:rPr>
      </w:pPr>
    </w:p>
    <w:sectPr w:rsidR="00A1565D" w:rsidSect="006C5A96">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16BE5" w14:textId="77777777" w:rsidR="0088287C" w:rsidRDefault="005F3725">
      <w:r>
        <w:separator/>
      </w:r>
    </w:p>
  </w:endnote>
  <w:endnote w:type="continuationSeparator" w:id="0">
    <w:p w14:paraId="1FE04D61" w14:textId="77777777" w:rsidR="0088287C" w:rsidRDefault="005F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7675" w14:textId="77777777" w:rsidR="00544326" w:rsidRPr="00DD3DD7" w:rsidRDefault="005F3725"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029B" w14:textId="77777777" w:rsidR="00544326" w:rsidRPr="00DD3DD7" w:rsidRDefault="005F3725"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4D65" w14:textId="77777777" w:rsidR="00C32FFC" w:rsidRDefault="00C32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29D5" w14:textId="77777777" w:rsidR="00724E52" w:rsidRDefault="005F3725" w:rsidP="00ED54E0">
      <w:r>
        <w:separator/>
      </w:r>
    </w:p>
  </w:footnote>
  <w:footnote w:type="continuationSeparator" w:id="0">
    <w:p w14:paraId="667CE564" w14:textId="77777777" w:rsidR="00724E52" w:rsidRDefault="005F3725" w:rsidP="00ED54E0">
      <w:r>
        <w:continuationSeparator/>
      </w:r>
    </w:p>
  </w:footnote>
  <w:footnote w:id="1">
    <w:p w14:paraId="211B1D8A" w14:textId="77777777" w:rsidR="007F6EA2" w:rsidRDefault="005F3725">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B0EE" w14:textId="77777777" w:rsidR="00DD3DD7" w:rsidRDefault="005F3725" w:rsidP="00DD3DD7">
    <w:pPr>
      <w:pStyle w:val="Header"/>
      <w:pBdr>
        <w:bottom w:val="single" w:sz="4" w:space="1" w:color="auto"/>
      </w:pBdr>
      <w:tabs>
        <w:tab w:val="clear" w:pos="4513"/>
        <w:tab w:val="clear" w:pos="9027"/>
      </w:tabs>
      <w:jc w:val="center"/>
    </w:pPr>
    <w:bookmarkStart w:id="26" w:name="bmkSymbols2"/>
    <w:r>
      <w:t>PROVISIONAL205060</w:t>
    </w:r>
    <w:bookmarkEnd w:id="26"/>
  </w:p>
  <w:p w14:paraId="4E5E5488" w14:textId="77777777" w:rsidR="004D4D19" w:rsidRPr="00DD3DD7" w:rsidRDefault="004D4D19" w:rsidP="00DD3DD7">
    <w:pPr>
      <w:pStyle w:val="Header"/>
      <w:pBdr>
        <w:bottom w:val="single" w:sz="4" w:space="1" w:color="auto"/>
      </w:pBdr>
      <w:tabs>
        <w:tab w:val="clear" w:pos="4513"/>
        <w:tab w:val="clear" w:pos="9027"/>
      </w:tabs>
      <w:jc w:val="center"/>
    </w:pPr>
  </w:p>
  <w:p w14:paraId="13DDB67B" w14:textId="77777777" w:rsidR="00DD3DD7" w:rsidRPr="00DD3DD7" w:rsidRDefault="005F3725"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BAE54B1"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881C" w14:textId="77777777" w:rsidR="00DD3DD7" w:rsidRPr="00DD625B" w:rsidRDefault="005F3725" w:rsidP="00DD3DD7">
    <w:pPr>
      <w:pStyle w:val="Header"/>
      <w:pBdr>
        <w:bottom w:val="single" w:sz="4" w:space="1" w:color="auto"/>
      </w:pBdr>
      <w:tabs>
        <w:tab w:val="clear" w:pos="4513"/>
        <w:tab w:val="clear" w:pos="9027"/>
      </w:tabs>
      <w:jc w:val="center"/>
      <w:rPr>
        <w:lang w:val="es-ES"/>
      </w:rPr>
    </w:pPr>
    <w:bookmarkStart w:id="27" w:name="spsSymbolHeader"/>
    <w:r w:rsidRPr="00DD625B">
      <w:rPr>
        <w:lang w:val="es-ES"/>
      </w:rPr>
      <w:t>G/TBT/N/USA/1462/Add.1</w:t>
    </w:r>
    <w:bookmarkEnd w:id="27"/>
  </w:p>
  <w:p w14:paraId="782D5BF5" w14:textId="77777777" w:rsidR="00DD3DD7" w:rsidRPr="00DD625B" w:rsidRDefault="00DD3DD7" w:rsidP="00DD3DD7">
    <w:pPr>
      <w:pStyle w:val="Header"/>
      <w:pBdr>
        <w:bottom w:val="single" w:sz="4" w:space="1" w:color="auto"/>
      </w:pBdr>
      <w:tabs>
        <w:tab w:val="clear" w:pos="4513"/>
        <w:tab w:val="clear" w:pos="9027"/>
      </w:tabs>
      <w:jc w:val="center"/>
      <w:rPr>
        <w:lang w:val="es-ES"/>
      </w:rPr>
    </w:pPr>
  </w:p>
  <w:p w14:paraId="7F2DB246" w14:textId="77777777" w:rsidR="00DD3DD7" w:rsidRPr="00DD3DD7" w:rsidRDefault="005F3725"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171D1367"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763F" w14:paraId="15D98830" w14:textId="77777777" w:rsidTr="00544326">
      <w:trPr>
        <w:trHeight w:val="240"/>
        <w:jc w:val="center"/>
      </w:trPr>
      <w:tc>
        <w:tcPr>
          <w:tcW w:w="3794" w:type="dxa"/>
          <w:shd w:val="clear" w:color="auto" w:fill="FFFFFF"/>
          <w:tcMar>
            <w:left w:w="108" w:type="dxa"/>
            <w:right w:w="108" w:type="dxa"/>
          </w:tcMar>
          <w:vAlign w:val="center"/>
        </w:tcPr>
        <w:p w14:paraId="33D38A29"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5681AD0" w14:textId="77777777" w:rsidR="00ED54E0" w:rsidRPr="00182B84" w:rsidRDefault="005F3725" w:rsidP="00425DC5">
          <w:pPr>
            <w:jc w:val="right"/>
            <w:rPr>
              <w:b/>
              <w:color w:val="FF0000"/>
              <w:szCs w:val="16"/>
            </w:rPr>
          </w:pPr>
          <w:r>
            <w:rPr>
              <w:b/>
              <w:color w:val="FF0000"/>
              <w:szCs w:val="16"/>
            </w:rPr>
            <w:t xml:space="preserve"> </w:t>
          </w:r>
        </w:p>
      </w:tc>
    </w:tr>
    <w:tr w:rsidR="0099763F" w14:paraId="49603608" w14:textId="77777777" w:rsidTr="00544326">
      <w:trPr>
        <w:trHeight w:val="213"/>
        <w:jc w:val="center"/>
      </w:trPr>
      <w:tc>
        <w:tcPr>
          <w:tcW w:w="3794" w:type="dxa"/>
          <w:vMerge w:val="restart"/>
          <w:shd w:val="clear" w:color="auto" w:fill="FFFFFF"/>
          <w:tcMar>
            <w:left w:w="0" w:type="dxa"/>
            <w:right w:w="0" w:type="dxa"/>
          </w:tcMar>
        </w:tcPr>
        <w:p w14:paraId="554A5F1F" w14:textId="77777777" w:rsidR="00ED54E0" w:rsidRPr="00182B84" w:rsidRDefault="005F3725" w:rsidP="00425DC5">
          <w:pPr>
            <w:jc w:val="left"/>
          </w:pPr>
          <w:r w:rsidRPr="00182B84">
            <w:rPr>
              <w:noProof/>
              <w:lang w:val="en-US"/>
            </w:rPr>
            <w:drawing>
              <wp:inline distT="0" distB="0" distL="0" distR="0" wp14:anchorId="4DC26A05" wp14:editId="366A2506">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1583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2FFF41" w14:textId="77777777" w:rsidR="00ED54E0" w:rsidRPr="00182B84" w:rsidRDefault="00ED54E0" w:rsidP="00425DC5">
          <w:pPr>
            <w:jc w:val="right"/>
            <w:rPr>
              <w:b/>
              <w:szCs w:val="16"/>
            </w:rPr>
          </w:pPr>
        </w:p>
      </w:tc>
    </w:tr>
    <w:tr w:rsidR="0099763F" w:rsidRPr="00C32FFC" w14:paraId="20D710B5" w14:textId="77777777" w:rsidTr="00544326">
      <w:trPr>
        <w:trHeight w:val="868"/>
        <w:jc w:val="center"/>
      </w:trPr>
      <w:tc>
        <w:tcPr>
          <w:tcW w:w="3794" w:type="dxa"/>
          <w:vMerge/>
          <w:shd w:val="clear" w:color="auto" w:fill="FFFFFF"/>
          <w:tcMar>
            <w:left w:w="108" w:type="dxa"/>
            <w:right w:w="108" w:type="dxa"/>
          </w:tcMar>
        </w:tcPr>
        <w:p w14:paraId="0B05AD72"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3DBAE66" w14:textId="77777777" w:rsidR="00DD3DD7" w:rsidRPr="00DD625B" w:rsidRDefault="005F3725" w:rsidP="00DD3DD7">
          <w:pPr>
            <w:jc w:val="right"/>
            <w:rPr>
              <w:rFonts w:eastAsia="Calibri" w:cs="Times New Roman"/>
              <w:b/>
              <w:szCs w:val="16"/>
              <w:lang w:val="es-ES"/>
            </w:rPr>
          </w:pPr>
          <w:bookmarkStart w:id="28" w:name="bmkSymbols"/>
          <w:r w:rsidRPr="00DD625B">
            <w:rPr>
              <w:rFonts w:eastAsia="Calibri" w:cs="Times New Roman"/>
              <w:b/>
              <w:szCs w:val="16"/>
              <w:lang w:val="es-ES"/>
            </w:rPr>
            <w:t>G/TBT/N/USA/1462/Add.1</w:t>
          </w:r>
          <w:bookmarkEnd w:id="28"/>
        </w:p>
        <w:p w14:paraId="4DBE83E7" w14:textId="77777777" w:rsidR="00C14444" w:rsidRPr="00DD625B" w:rsidRDefault="00C14444" w:rsidP="00C14444">
          <w:pPr>
            <w:jc w:val="center"/>
            <w:rPr>
              <w:szCs w:val="16"/>
              <w:lang w:val="es-ES"/>
            </w:rPr>
          </w:pPr>
        </w:p>
      </w:tc>
    </w:tr>
    <w:tr w:rsidR="0099763F" w:rsidRPr="00DD625B" w14:paraId="158E3ABD" w14:textId="77777777" w:rsidTr="00544326">
      <w:trPr>
        <w:trHeight w:val="240"/>
        <w:jc w:val="center"/>
      </w:trPr>
      <w:tc>
        <w:tcPr>
          <w:tcW w:w="3794" w:type="dxa"/>
          <w:vMerge/>
          <w:shd w:val="clear" w:color="auto" w:fill="FFFFFF"/>
          <w:tcMar>
            <w:left w:w="108" w:type="dxa"/>
            <w:right w:w="108" w:type="dxa"/>
          </w:tcMar>
          <w:vAlign w:val="center"/>
        </w:tcPr>
        <w:p w14:paraId="75A8B6C8" w14:textId="77777777" w:rsidR="00ED54E0" w:rsidRPr="00DD625B" w:rsidRDefault="00ED54E0" w:rsidP="00425DC5">
          <w:pPr>
            <w:rPr>
              <w:lang w:val="es-ES"/>
            </w:rPr>
          </w:pPr>
        </w:p>
      </w:tc>
      <w:tc>
        <w:tcPr>
          <w:tcW w:w="5448" w:type="dxa"/>
          <w:gridSpan w:val="2"/>
          <w:shd w:val="clear" w:color="auto" w:fill="FFFFFF"/>
          <w:tcMar>
            <w:left w:w="108" w:type="dxa"/>
            <w:right w:w="108" w:type="dxa"/>
          </w:tcMar>
          <w:vAlign w:val="center"/>
        </w:tcPr>
        <w:p w14:paraId="64791E59" w14:textId="7433F111" w:rsidR="00ED54E0" w:rsidRPr="00DD625B" w:rsidRDefault="00B11986" w:rsidP="00425DC5">
          <w:pPr>
            <w:jc w:val="right"/>
            <w:rPr>
              <w:szCs w:val="16"/>
              <w:lang w:val="es-ES"/>
            </w:rPr>
          </w:pPr>
          <w:bookmarkStart w:id="29" w:name="bmkDate"/>
          <w:bookmarkEnd w:id="29"/>
          <w:r>
            <w:rPr>
              <w:szCs w:val="16"/>
              <w:lang w:val="es-ES"/>
            </w:rPr>
            <w:t>25 August 2020</w:t>
          </w:r>
        </w:p>
      </w:tc>
    </w:tr>
    <w:tr w:rsidR="0099763F" w14:paraId="6302ED6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70288C" w14:textId="1B47C77B" w:rsidR="00ED54E0" w:rsidRPr="00182B84" w:rsidRDefault="005F3725" w:rsidP="00425DC5">
          <w:pPr>
            <w:jc w:val="left"/>
            <w:rPr>
              <w:b/>
            </w:rPr>
          </w:pPr>
          <w:r w:rsidRPr="002F663C">
            <w:rPr>
              <w:rFonts w:eastAsia="Calibri" w:cs="Times New Roman"/>
              <w:color w:val="FF0000"/>
              <w:szCs w:val="16"/>
            </w:rPr>
            <w:t>(</w:t>
          </w:r>
          <w:bookmarkStart w:id="30" w:name="bmkSerial"/>
          <w:r w:rsidR="00B11986">
            <w:rPr>
              <w:rFonts w:eastAsia="Calibri" w:cs="Times New Roman"/>
              <w:color w:val="FF0000"/>
              <w:szCs w:val="16"/>
            </w:rPr>
            <w:t>2</w:t>
          </w:r>
          <w:r w:rsidR="00F357E7">
            <w:rPr>
              <w:rFonts w:eastAsia="Calibri" w:cs="Times New Roman"/>
              <w:color w:val="FF0000"/>
              <w:szCs w:val="16"/>
            </w:rPr>
            <w:t>0</w:t>
          </w:r>
          <w:r w:rsidRPr="002F663C">
            <w:rPr>
              <w:rFonts w:eastAsia="Calibri" w:cs="Times New Roman"/>
              <w:color w:val="FF0000"/>
              <w:szCs w:val="16"/>
            </w:rPr>
            <w:t>-</w:t>
          </w:r>
          <w:bookmarkEnd w:id="30"/>
          <w:r w:rsidR="00C32FFC">
            <w:rPr>
              <w:rFonts w:eastAsia="Calibri" w:cs="Times New Roman"/>
              <w:color w:val="FF0000"/>
              <w:szCs w:val="16"/>
            </w:rPr>
            <w:t>5792</w:t>
          </w:r>
          <w:bookmarkStart w:id="31" w:name="_GoBack"/>
          <w:bookmarkEnd w:id="31"/>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5D04C10" w14:textId="77777777" w:rsidR="00ED54E0" w:rsidRPr="00182B84" w:rsidRDefault="005F3725"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99763F" w14:paraId="6D213DE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5AA8B2" w14:textId="77777777" w:rsidR="00ED54E0" w:rsidRPr="00182B84" w:rsidRDefault="005F3725"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B065614" w14:textId="77777777" w:rsidR="00ED54E0" w:rsidRPr="00182B84" w:rsidRDefault="005F3725"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2F514C7E"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98EE5E">
      <w:start w:val="1"/>
      <w:numFmt w:val="decimal"/>
      <w:pStyle w:val="SummaryText"/>
      <w:lvlText w:val="%1."/>
      <w:lvlJc w:val="left"/>
      <w:pPr>
        <w:ind w:left="360" w:hanging="360"/>
      </w:pPr>
    </w:lvl>
    <w:lvl w:ilvl="1" w:tplc="2C74B3A4" w:tentative="1">
      <w:start w:val="1"/>
      <w:numFmt w:val="lowerLetter"/>
      <w:lvlText w:val="%2."/>
      <w:lvlJc w:val="left"/>
      <w:pPr>
        <w:ind w:left="1080" w:hanging="360"/>
      </w:pPr>
    </w:lvl>
    <w:lvl w:ilvl="2" w:tplc="2528C72E" w:tentative="1">
      <w:start w:val="1"/>
      <w:numFmt w:val="lowerRoman"/>
      <w:lvlText w:val="%3."/>
      <w:lvlJc w:val="right"/>
      <w:pPr>
        <w:ind w:left="1800" w:hanging="180"/>
      </w:pPr>
    </w:lvl>
    <w:lvl w:ilvl="3" w:tplc="A2DC59C6" w:tentative="1">
      <w:start w:val="1"/>
      <w:numFmt w:val="decimal"/>
      <w:lvlText w:val="%4."/>
      <w:lvlJc w:val="left"/>
      <w:pPr>
        <w:ind w:left="2520" w:hanging="360"/>
      </w:pPr>
    </w:lvl>
    <w:lvl w:ilvl="4" w:tplc="6E60B962" w:tentative="1">
      <w:start w:val="1"/>
      <w:numFmt w:val="lowerLetter"/>
      <w:lvlText w:val="%5."/>
      <w:lvlJc w:val="left"/>
      <w:pPr>
        <w:ind w:left="3240" w:hanging="360"/>
      </w:pPr>
    </w:lvl>
    <w:lvl w:ilvl="5" w:tplc="80F6FBCA" w:tentative="1">
      <w:start w:val="1"/>
      <w:numFmt w:val="lowerRoman"/>
      <w:lvlText w:val="%6."/>
      <w:lvlJc w:val="right"/>
      <w:pPr>
        <w:ind w:left="3960" w:hanging="180"/>
      </w:pPr>
    </w:lvl>
    <w:lvl w:ilvl="6" w:tplc="FDFAE41A" w:tentative="1">
      <w:start w:val="1"/>
      <w:numFmt w:val="decimal"/>
      <w:lvlText w:val="%7."/>
      <w:lvlJc w:val="left"/>
      <w:pPr>
        <w:ind w:left="4680" w:hanging="360"/>
      </w:pPr>
    </w:lvl>
    <w:lvl w:ilvl="7" w:tplc="50CE42DE" w:tentative="1">
      <w:start w:val="1"/>
      <w:numFmt w:val="lowerLetter"/>
      <w:lvlText w:val="%8."/>
      <w:lvlJc w:val="left"/>
      <w:pPr>
        <w:ind w:left="5400" w:hanging="360"/>
      </w:pPr>
    </w:lvl>
    <w:lvl w:ilvl="8" w:tplc="9CF4DF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5F3725"/>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8287C"/>
    <w:rsid w:val="00893E85"/>
    <w:rsid w:val="008A0701"/>
    <w:rsid w:val="008B1018"/>
    <w:rsid w:val="008C42D2"/>
    <w:rsid w:val="008E2C13"/>
    <w:rsid w:val="008E372C"/>
    <w:rsid w:val="009755B2"/>
    <w:rsid w:val="00992AEA"/>
    <w:rsid w:val="0099763F"/>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1986"/>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32FFC"/>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014E"/>
    <w:rsid w:val="00D51C5C"/>
    <w:rsid w:val="00D52A9D"/>
    <w:rsid w:val="00D55AAD"/>
    <w:rsid w:val="00D747AE"/>
    <w:rsid w:val="00D9226C"/>
    <w:rsid w:val="00D95F69"/>
    <w:rsid w:val="00DA20BD"/>
    <w:rsid w:val="00DA4169"/>
    <w:rsid w:val="00DC1434"/>
    <w:rsid w:val="00DD3DD7"/>
    <w:rsid w:val="00DD4208"/>
    <w:rsid w:val="00DD625B"/>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E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8-21/html/2020-17085.htm" TargetMode="External"/><Relationship Id="rId13" Type="http://schemas.openxmlformats.org/officeDocument/2006/relationships/hyperlink" Target="https://www.regulations.gov/docket?D=FDA-2018-N-475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amp;DocumentSymbol=USA%2F1462&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mbers.wto.org/crnattachments/2020/TBT/USA/final_measure/20_5060_00_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info.gov/content/pkg/FR-2020-08-21/pdf/2020-17085.pdf" TargetMode="External"/><Relationship Id="rId14" Type="http://schemas.openxmlformats.org/officeDocument/2006/relationships/hyperlink" Target="http://www.regulations.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7676-526F-40B0-9F7A-51DA9E7B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347</Words>
  <Characters>2189</Characters>
  <Application>Microsoft Office Word</Application>
  <DocSecurity>0</DocSecurity>
  <Lines>57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2020-08-25T09:33:00Z</dcterms:created>
  <dcterms:modified xsi:type="dcterms:W3CDTF">2020-08-25T12:20:00Z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d50ab216-672f-494c-a663-c252c0494819</vt:lpwstr>
  </property>
  <property fmtid="{D5CDD505-2E9C-101B-9397-08002B2CF9AE}" pid="4" name="WTOCLASSIFICATION">
    <vt:lpwstr>WTO OFFICIAL</vt:lpwstr>
  </property>
</Properties>
</file>