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B335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B335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7618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:rsidR="00F85C99" w:rsidRPr="002F6A28" w:rsidRDefault="006B3356" w:rsidP="00F414BA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761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676182" w:rsidRPr="002F6A28" w:rsidRDefault="006B3356" w:rsidP="00F414BA">
            <w:r w:rsidRPr="002F6A28">
              <w:t>Ministry of Information and Communications</w:t>
            </w:r>
          </w:p>
          <w:p w:rsidR="00676182" w:rsidRPr="002F6A28" w:rsidRDefault="006B3356" w:rsidP="00F414BA">
            <w:r w:rsidRPr="002F6A28">
              <w:t xml:space="preserve">Department of Science and Technology </w:t>
            </w:r>
          </w:p>
          <w:p w:rsidR="00676182" w:rsidRPr="002F6A28" w:rsidRDefault="006B3356" w:rsidP="00F414BA">
            <w:r w:rsidRPr="002F6A28">
              <w:t xml:space="preserve">18 Nguyen Du Str., Hai Ba </w:t>
            </w:r>
            <w:proofErr w:type="spellStart"/>
            <w:r w:rsidRPr="002F6A28">
              <w:t>Trung</w:t>
            </w:r>
            <w:proofErr w:type="spellEnd"/>
            <w:r w:rsidRPr="002F6A28">
              <w:t xml:space="preserve"> Dist., Hanoi, Vietnam</w:t>
            </w:r>
          </w:p>
          <w:p w:rsidR="00676182" w:rsidRPr="002F6A28" w:rsidRDefault="006B3356" w:rsidP="00F414BA">
            <w:r w:rsidRPr="002F6A28">
              <w:t>Tel (84-24) 38226580</w:t>
            </w:r>
          </w:p>
          <w:p w:rsidR="00676182" w:rsidRPr="002F6A28" w:rsidRDefault="006B3356" w:rsidP="00F414BA">
            <w:r w:rsidRPr="002F6A28">
              <w:t>Fax: (84-24) 39437328</w:t>
            </w:r>
          </w:p>
          <w:p w:rsidR="007F5715" w:rsidRPr="002F6A28" w:rsidRDefault="006B3356" w:rsidP="00F414BA">
            <w:pPr>
              <w:spacing w:after="120"/>
            </w:pPr>
            <w:r w:rsidRPr="002F6A28">
              <w:t xml:space="preserve">Email: </w:t>
            </w:r>
            <w:hyperlink r:id="rId7" w:history="1">
              <w:r w:rsidR="007F5715" w:rsidRPr="00E977DE">
                <w:rPr>
                  <w:rStyle w:val="Lienhypertexte"/>
                </w:rPr>
                <w:t>dxbinh@mic.gov.vn</w:t>
              </w:r>
            </w:hyperlink>
            <w:bookmarkEnd w:id="5"/>
          </w:p>
          <w:p w:rsidR="00F85C99" w:rsidRPr="002F6A28" w:rsidRDefault="006B3356" w:rsidP="00F414BA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761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B3356" w:rsidP="00F414BA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 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 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 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6761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Electromagnetic compatibility (EMC) (ICS 33.100)</w:t>
            </w:r>
            <w:bookmarkEnd w:id="16"/>
          </w:p>
        </w:tc>
      </w:tr>
      <w:tr w:rsidR="006761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Draft National technical regulation on electromagnetic compatibility for mobile terminals and ancillary equipment of digital cellular telecommunication systems (26 page(s), in Vietnamese)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6761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 xml:space="preserve">This draft National technical regulation is based on </w:t>
            </w:r>
            <w:proofErr w:type="spellStart"/>
            <w:r w:rsidRPr="002F6A28">
              <w:t>ETSI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EN</w:t>
            </w:r>
            <w:proofErr w:type="spellEnd"/>
            <w:r w:rsidRPr="002F6A28">
              <w:t xml:space="preserve"> 301 489-52 V1.1.0 (2016-11).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This draft National technical regulation specifies technical requirement on EMC for User Equipment (</w:t>
            </w:r>
            <w:proofErr w:type="spellStart"/>
            <w:r w:rsidRPr="002F6A28">
              <w:t>UEs</w:t>
            </w:r>
            <w:proofErr w:type="spellEnd"/>
            <w:r w:rsidRPr="002F6A28">
              <w:t>) and ancillary equipment operated on mobile networks. This draft National technical regulation does not cover technical requirements related to antenna port and emissions from the enclosure port of radio equipment.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This draft National technical regulation includes following provisions: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1.</w:t>
            </w:r>
            <w:r w:rsidR="009F319D">
              <w:tab/>
            </w:r>
            <w:r w:rsidRPr="002F6A28">
              <w:t>General provisions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2.</w:t>
            </w:r>
            <w:r w:rsidR="009F319D">
              <w:tab/>
            </w:r>
            <w:r w:rsidRPr="002F6A28">
              <w:t>Technical requirements</w:t>
            </w:r>
          </w:p>
          <w:p w:rsidR="00676182" w:rsidRPr="002F6A28" w:rsidRDefault="006B3356" w:rsidP="009F319D">
            <w:pPr>
              <w:spacing w:before="120" w:after="120"/>
              <w:ind w:left="438" w:firstLine="142"/>
            </w:pPr>
            <w:r w:rsidRPr="002F6A28">
              <w:t>2.1.</w:t>
            </w:r>
            <w:r w:rsidR="009F319D">
              <w:tab/>
            </w:r>
            <w:r w:rsidRPr="002F6A28">
              <w:t>Emission</w:t>
            </w:r>
          </w:p>
          <w:p w:rsidR="00676182" w:rsidRPr="002F6A28" w:rsidRDefault="006B3356" w:rsidP="009F319D">
            <w:pPr>
              <w:spacing w:before="120" w:after="120"/>
              <w:ind w:left="438" w:firstLine="142"/>
            </w:pPr>
            <w:r w:rsidRPr="002F6A28">
              <w:t>2.2.</w:t>
            </w:r>
            <w:r w:rsidR="009F319D">
              <w:tab/>
            </w:r>
            <w:r w:rsidRPr="002F6A28">
              <w:t>Immunity</w:t>
            </w:r>
          </w:p>
          <w:p w:rsidR="00676182" w:rsidRPr="002F6A28" w:rsidRDefault="006B3356" w:rsidP="009F319D">
            <w:pPr>
              <w:spacing w:before="120" w:after="120"/>
              <w:ind w:left="438" w:firstLine="142"/>
            </w:pPr>
            <w:r w:rsidRPr="002F6A28">
              <w:t>2.3.</w:t>
            </w:r>
            <w:r w:rsidR="009F319D">
              <w:tab/>
            </w:r>
            <w:r w:rsidRPr="002F6A28">
              <w:t>Test conditions</w:t>
            </w:r>
          </w:p>
          <w:p w:rsidR="00676182" w:rsidRPr="002F6A28" w:rsidRDefault="006B3356" w:rsidP="009F319D">
            <w:pPr>
              <w:spacing w:before="120" w:after="120"/>
              <w:ind w:left="438" w:firstLine="142"/>
            </w:pPr>
            <w:r w:rsidRPr="002F6A28">
              <w:t>2.4.</w:t>
            </w:r>
            <w:r w:rsidR="009F319D">
              <w:tab/>
            </w:r>
            <w:r w:rsidRPr="002F6A28">
              <w:t>Performance assessment</w:t>
            </w:r>
          </w:p>
          <w:p w:rsidR="00676182" w:rsidRPr="002F6A28" w:rsidRDefault="006B3356" w:rsidP="009F319D">
            <w:pPr>
              <w:spacing w:before="120" w:after="120"/>
              <w:ind w:left="438" w:firstLine="142"/>
            </w:pPr>
            <w:r w:rsidRPr="002F6A28">
              <w:t>2.5.</w:t>
            </w:r>
            <w:r w:rsidR="009F319D">
              <w:tab/>
            </w:r>
            <w:r w:rsidRPr="002F6A28">
              <w:t>Performance criteria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3.</w:t>
            </w:r>
            <w:r w:rsidR="009F319D">
              <w:tab/>
            </w:r>
            <w:r w:rsidRPr="002F6A28">
              <w:t>Regulatory requirements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lastRenderedPageBreak/>
              <w:t>4.</w:t>
            </w:r>
            <w:r w:rsidR="009F319D">
              <w:tab/>
            </w:r>
            <w:r w:rsidRPr="002F6A28">
              <w:t>Obligation of organizations and individuals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5.</w:t>
            </w:r>
            <w:r w:rsidR="009F319D">
              <w:tab/>
            </w:r>
            <w:r w:rsidRPr="002F6A28">
              <w:t>Implementation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Annex A (normative): CDMA Direct Spread Performance assessment voice call. Audio breakthrough.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Annex B (normative): CDMA Direct Spread Performance assessment of data transfer call. Error Ratios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Annex C (informative): Examples of cellular mobile and portable radio and ancillary equipment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Bibliography</w:t>
            </w:r>
          </w:p>
          <w:p w:rsidR="00676182" w:rsidRPr="002F6A28" w:rsidRDefault="006B3356" w:rsidP="00F414BA">
            <w:pPr>
              <w:spacing w:before="120" w:after="120"/>
            </w:pPr>
            <w:r w:rsidRPr="002F6A28">
              <w:t>This National technical regulation is intended to supersede current National technical standards (</w:t>
            </w:r>
            <w:proofErr w:type="spellStart"/>
            <w:r w:rsidRPr="002F6A28">
              <w:t>QCVN</w:t>
            </w:r>
            <w:proofErr w:type="spellEnd"/>
            <w:r w:rsidRPr="002F6A28">
              <w:t xml:space="preserve"> 86:2015/</w:t>
            </w:r>
            <w:proofErr w:type="spellStart"/>
            <w:r w:rsidRPr="002F6A28">
              <w:t>BTTTT</w:t>
            </w:r>
            <w:proofErr w:type="spellEnd"/>
            <w:r w:rsidRPr="002F6A28">
              <w:t xml:space="preserve"> and </w:t>
            </w:r>
            <w:proofErr w:type="spellStart"/>
            <w:r w:rsidRPr="002F6A28">
              <w:t>QCVN</w:t>
            </w:r>
            <w:proofErr w:type="spellEnd"/>
            <w:r w:rsidRPr="002F6A28">
              <w:t xml:space="preserve"> 18:2014/</w:t>
            </w:r>
            <w:proofErr w:type="spellStart"/>
            <w:r w:rsidRPr="002F6A28">
              <w:t>BTTTT</w:t>
            </w:r>
            <w:proofErr w:type="spellEnd"/>
            <w:r w:rsidRPr="002F6A28">
              <w:t xml:space="preserve">) for GSM, </w:t>
            </w:r>
            <w:proofErr w:type="spellStart"/>
            <w:r w:rsidRPr="002F6A28">
              <w:t>WCDMA</w:t>
            </w:r>
            <w:proofErr w:type="spellEnd"/>
            <w:r w:rsidRPr="002F6A28">
              <w:t>, E-</w:t>
            </w:r>
            <w:proofErr w:type="spellStart"/>
            <w:r w:rsidRPr="002F6A28">
              <w:t>UTRA</w:t>
            </w:r>
            <w:proofErr w:type="spellEnd"/>
            <w:r w:rsidRPr="002F6A28">
              <w:t>, LTE User Equipment and ancillary equipment.</w:t>
            </w:r>
          </w:p>
        </w:tc>
      </w:tr>
      <w:tr w:rsidR="006761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  <w:rPr>
                <w:b/>
              </w:rPr>
            </w:pPr>
            <w:bookmarkStart w:id="22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7f"/>
            <w:r w:rsidRPr="002F6A28">
              <w:t>Protection of human health or safety</w:t>
            </w:r>
            <w:bookmarkEnd w:id="23"/>
          </w:p>
        </w:tc>
      </w:tr>
      <w:tr w:rsidR="006761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B3356" w:rsidP="00F414BA">
            <w:pPr>
              <w:spacing w:before="120" w:after="120"/>
            </w:pPr>
            <w:bookmarkStart w:id="24" w:name="X_TBT_Reg_8A"/>
            <w:r w:rsidRPr="002F6A28">
              <w:rPr>
                <w:b/>
              </w:rPr>
              <w:t>Relevant documents</w:t>
            </w:r>
            <w:bookmarkEnd w:id="24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76182" w:rsidRPr="002F6A28" w:rsidRDefault="006B3356" w:rsidP="00F414B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Law on quality of products and goods</w:t>
            </w:r>
          </w:p>
          <w:p w:rsidR="00676182" w:rsidRPr="002F6A28" w:rsidRDefault="006B3356" w:rsidP="00F414B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Law on standards and technical regulations</w:t>
            </w:r>
          </w:p>
          <w:p w:rsidR="00676182" w:rsidRPr="002F6A28" w:rsidRDefault="006B3356" w:rsidP="00F414B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Circular No.30/2011/TT-</w:t>
            </w:r>
            <w:proofErr w:type="spellStart"/>
            <w:r w:rsidRPr="002F6A28">
              <w:rPr>
                <w:bCs/>
              </w:rPr>
              <w:t>BTTTT</w:t>
            </w:r>
            <w:proofErr w:type="spellEnd"/>
            <w:r w:rsidRPr="002F6A28">
              <w:rPr>
                <w:bCs/>
              </w:rPr>
              <w:t xml:space="preserve"> dated 31 October 2011 specifying mandatory certification and declaration of products and goods in information technology and communications sector</w:t>
            </w:r>
          </w:p>
          <w:p w:rsidR="00676182" w:rsidRPr="002F6A28" w:rsidRDefault="006B3356" w:rsidP="00F414B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Circular No.15/2018/TT-</w:t>
            </w:r>
            <w:proofErr w:type="spellStart"/>
            <w:r w:rsidRPr="002F6A28">
              <w:rPr>
                <w:bCs/>
              </w:rPr>
              <w:t>BTTTT</w:t>
            </w:r>
            <w:proofErr w:type="spellEnd"/>
            <w:r w:rsidRPr="002F6A28">
              <w:rPr>
                <w:bCs/>
              </w:rPr>
              <w:t xml:space="preserve"> dated 15 November 2018 providing modifications and amendments for the Circular No.30/2011/TT-</w:t>
            </w:r>
            <w:proofErr w:type="spellStart"/>
            <w:r w:rsidRPr="002F6A28">
              <w:rPr>
                <w:bCs/>
              </w:rPr>
              <w:t>BTTTT</w:t>
            </w:r>
            <w:proofErr w:type="spellEnd"/>
          </w:p>
          <w:p w:rsidR="00676182" w:rsidRPr="002F6A28" w:rsidRDefault="006B3356" w:rsidP="00F414B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QCVN</w:t>
            </w:r>
            <w:proofErr w:type="spellEnd"/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86:2015/</w:t>
            </w:r>
            <w:proofErr w:type="spellStart"/>
            <w:r w:rsidRPr="002F6A28">
              <w:rPr>
                <w:bCs/>
              </w:rPr>
              <w:t>BTTTT</w:t>
            </w:r>
            <w:proofErr w:type="spellEnd"/>
            <w:r w:rsidRPr="002F6A28">
              <w:rPr>
                <w:bCs/>
              </w:rPr>
              <w:t xml:space="preserve"> National technical regulation on Electromagnetic compatibility (EMC) requirements for mobile and ancillary equipment of digital cellular telecommunications systems GSM and </w:t>
            </w:r>
            <w:proofErr w:type="spellStart"/>
            <w:r w:rsidRPr="002F6A28">
              <w:rPr>
                <w:bCs/>
              </w:rPr>
              <w:t>DCS</w:t>
            </w:r>
            <w:proofErr w:type="spellEnd"/>
          </w:p>
          <w:p w:rsidR="00676182" w:rsidRPr="002F6A28" w:rsidRDefault="006B3356" w:rsidP="00F414B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QCVN</w:t>
            </w:r>
            <w:proofErr w:type="spellEnd"/>
            <w:r w:rsidRPr="002F6A28">
              <w:rPr>
                <w:bCs/>
              </w:rPr>
              <w:t xml:space="preserve"> 18:2014/</w:t>
            </w:r>
            <w:proofErr w:type="spellStart"/>
            <w:r w:rsidRPr="002F6A28">
              <w:rPr>
                <w:bCs/>
              </w:rPr>
              <w:t>BTTTT</w:t>
            </w:r>
            <w:proofErr w:type="spellEnd"/>
            <w:r w:rsidRPr="002F6A28">
              <w:rPr>
                <w:bCs/>
              </w:rPr>
              <w:t xml:space="preserve"> National technical regulation on General Electromagnetic Compatibility for Radio Communications Equipment</w:t>
            </w:r>
          </w:p>
        </w:tc>
      </w:tr>
      <w:tr w:rsidR="0067618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B3356" w:rsidP="00F414B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B3356" w:rsidP="00F414BA">
            <w:pPr>
              <w:spacing w:before="120" w:after="120"/>
            </w:pPr>
            <w:bookmarkStart w:id="25" w:name="X_TBT_Reg_9A"/>
            <w:r w:rsidRPr="002F6A28">
              <w:rPr>
                <w:b/>
              </w:rPr>
              <w:t>Proposed date of adoption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6" w:name="sps10a"/>
            <w:r w:rsidRPr="002F6A28">
              <w:t>1 June 2019</w:t>
            </w:r>
            <w:bookmarkStart w:id="27" w:name="sps10b"/>
            <w:bookmarkEnd w:id="26"/>
            <w:bookmarkEnd w:id="27"/>
          </w:p>
          <w:p w:rsidR="00EE3A11" w:rsidRPr="002F6A28" w:rsidRDefault="006B3356" w:rsidP="00F414BA">
            <w:pPr>
              <w:spacing w:after="120"/>
            </w:pPr>
            <w:bookmarkStart w:id="28" w:name="X_TBT_Reg_9B"/>
            <w:r w:rsidRPr="002F6A28">
              <w:rPr>
                <w:b/>
              </w:rPr>
              <w:t>Proposed date of entry into force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1a"/>
            <w:r w:rsidRPr="002F6A28">
              <w:t>1 August 2019</w:t>
            </w:r>
            <w:bookmarkStart w:id="30" w:name="sps11b"/>
            <w:bookmarkEnd w:id="29"/>
            <w:bookmarkEnd w:id="30"/>
          </w:p>
        </w:tc>
      </w:tr>
      <w:tr w:rsidR="006761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B3356" w:rsidP="00F414BA">
            <w:pPr>
              <w:spacing w:before="120" w:after="120"/>
            </w:pPr>
            <w:bookmarkStart w:id="31" w:name="X_TBT_Reg_10A"/>
            <w:r w:rsidRPr="002F6A28">
              <w:rPr>
                <w:b/>
              </w:rPr>
              <w:t>Final date for comments</w:t>
            </w:r>
            <w:bookmarkEnd w:id="3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2" w:name="sps12a"/>
            <w:r w:rsidRPr="002F6A28">
              <w:rPr>
                <w:bCs/>
              </w:rPr>
              <w:t>60 days from notification</w:t>
            </w:r>
            <w:bookmarkEnd w:id="32"/>
          </w:p>
        </w:tc>
      </w:tr>
      <w:tr w:rsidR="0067618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B335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B3356" w:rsidP="00B16145">
            <w:pPr>
              <w:keepNext/>
              <w:keepLines/>
              <w:spacing w:before="120" w:after="120"/>
            </w:pPr>
            <w:bookmarkStart w:id="33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3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4" w:name="sps13b"/>
            <w:r w:rsidRPr="002F6A28">
              <w:rPr>
                <w:b/>
              </w:rPr>
              <w:t>X</w:t>
            </w:r>
            <w:bookmarkEnd w:id="34"/>
            <w:r w:rsidRPr="002F6A28">
              <w:rPr>
                <w:b/>
              </w:rPr>
              <w:t xml:space="preserve">] </w:t>
            </w:r>
            <w:bookmarkStart w:id="35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6" w:name="sps13c"/>
          </w:p>
          <w:p w:rsidR="00676182" w:rsidRPr="002F6A28" w:rsidRDefault="006B3356" w:rsidP="00B16145">
            <w:pPr>
              <w:keepNext/>
              <w:keepLines/>
            </w:pPr>
            <w:r w:rsidRPr="002F6A28">
              <w:t>Ministry of Information and Communications</w:t>
            </w:r>
          </w:p>
          <w:p w:rsidR="00676182" w:rsidRPr="002F6A28" w:rsidRDefault="006B3356" w:rsidP="00B16145">
            <w:pPr>
              <w:keepNext/>
              <w:keepLines/>
            </w:pPr>
            <w:r w:rsidRPr="002F6A28">
              <w:t xml:space="preserve">Department of Science and Technology </w:t>
            </w:r>
          </w:p>
          <w:p w:rsidR="00676182" w:rsidRPr="002F6A28" w:rsidRDefault="006B3356" w:rsidP="00B16145">
            <w:pPr>
              <w:keepNext/>
              <w:keepLines/>
            </w:pPr>
            <w:r w:rsidRPr="002F6A28">
              <w:t xml:space="preserve">18 Nguyen Du Str., Hai Ba </w:t>
            </w:r>
            <w:proofErr w:type="spellStart"/>
            <w:r w:rsidRPr="002F6A28">
              <w:t>Trung</w:t>
            </w:r>
            <w:proofErr w:type="spellEnd"/>
            <w:r w:rsidRPr="002F6A28">
              <w:t xml:space="preserve"> Dist., Hanoi, Vietnam</w:t>
            </w:r>
          </w:p>
          <w:p w:rsidR="00676182" w:rsidRPr="002F6A28" w:rsidRDefault="006B3356" w:rsidP="00B16145">
            <w:pPr>
              <w:keepNext/>
              <w:keepLines/>
            </w:pPr>
            <w:r w:rsidRPr="002F6A28">
              <w:t>Tel (84-24) 38226580</w:t>
            </w:r>
          </w:p>
          <w:p w:rsidR="00676182" w:rsidRPr="002F6A28" w:rsidRDefault="006B3356" w:rsidP="00B16145">
            <w:pPr>
              <w:keepNext/>
              <w:keepLines/>
            </w:pPr>
            <w:r w:rsidRPr="002F6A28">
              <w:t>Fax: (84-24) 39437328</w:t>
            </w:r>
          </w:p>
          <w:p w:rsidR="00676182" w:rsidRPr="002F6A28" w:rsidRDefault="006B3356" w:rsidP="00F132A3">
            <w:pPr>
              <w:keepNext/>
              <w:keepLines/>
              <w:spacing w:after="120"/>
            </w:pPr>
            <w:r w:rsidRPr="002F6A28">
              <w:t xml:space="preserve">Email: </w:t>
            </w:r>
            <w:hyperlink r:id="rId8" w:history="1">
              <w:r w:rsidR="00F132A3" w:rsidRPr="00E977DE">
                <w:rPr>
                  <w:rStyle w:val="Lienhypertexte"/>
                </w:rPr>
                <w:t>dxbinh@mic.gov.vn</w:t>
              </w:r>
            </w:hyperlink>
            <w:r w:rsidRPr="002F6A28">
              <w:t xml:space="preserve">, </w:t>
            </w:r>
            <w:hyperlink r:id="rId9" w:history="1">
              <w:r w:rsidR="00F132A3" w:rsidRPr="00E977DE">
                <w:rPr>
                  <w:rStyle w:val="Lienhypertexte"/>
                </w:rPr>
                <w:t>ngochai@mic.gov.vn</w:t>
              </w:r>
            </w:hyperlink>
            <w:r w:rsidRPr="002F6A28">
              <w:t xml:space="preserve"> </w:t>
            </w:r>
          </w:p>
          <w:p w:rsidR="00676182" w:rsidRPr="002F6A28" w:rsidRDefault="006B3356" w:rsidP="009F319D">
            <w:pPr>
              <w:keepNext/>
              <w:keepLines/>
              <w:spacing w:after="120"/>
            </w:pPr>
            <w:r w:rsidRPr="002F6A28">
              <w:t xml:space="preserve">Or can be downloaded at: </w:t>
            </w:r>
          </w:p>
          <w:p w:rsidR="00676182" w:rsidRPr="002F6A28" w:rsidRDefault="00401771" w:rsidP="00B16145">
            <w:pPr>
              <w:keepNext/>
              <w:keepLines/>
              <w:spacing w:after="120"/>
            </w:pPr>
            <w:hyperlink r:id="rId10" w:history="1">
              <w:r w:rsidR="006B3356" w:rsidRPr="002F6A28">
                <w:rPr>
                  <w:color w:val="0000FF"/>
                  <w:u w:val="single"/>
                </w:rPr>
                <w:t>http://mic.gov.vn/mra/Pages/TinTuc/102415/Du-thao-Qui-chuan-ky-thuat-quoc-gia--de-lay-y-kien-gop-y-.html</w:t>
              </w:r>
            </w:hyperlink>
            <w:r w:rsidR="006B3356" w:rsidRPr="002F6A28">
              <w:t xml:space="preserve"> (item No.128)</w:t>
            </w:r>
            <w:bookmarkEnd w:id="36"/>
          </w:p>
        </w:tc>
      </w:tr>
    </w:tbl>
    <w:p w:rsidR="00EE3A11" w:rsidRPr="002F6A28" w:rsidRDefault="00EE3A11" w:rsidP="002F6A28"/>
    <w:sectPr w:rsidR="00EE3A11" w:rsidRPr="002F6A28" w:rsidSect="00D960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63" w:rsidRDefault="006B3356">
      <w:r>
        <w:separator/>
      </w:r>
    </w:p>
  </w:endnote>
  <w:endnote w:type="continuationSeparator" w:id="0">
    <w:p w:rsidR="00E67263" w:rsidRDefault="006B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9605C" w:rsidRDefault="00D9605C" w:rsidP="00D9605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9605C" w:rsidRDefault="00D9605C" w:rsidP="00D9605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B335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63" w:rsidRDefault="006B3356">
      <w:r>
        <w:separator/>
      </w:r>
    </w:p>
  </w:footnote>
  <w:footnote w:type="continuationSeparator" w:id="0">
    <w:p w:rsidR="00E67263" w:rsidRDefault="006B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5C" w:rsidRPr="00D9605C" w:rsidRDefault="00D9605C" w:rsidP="00D960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605C">
      <w:t>G/TBT/N/</w:t>
    </w:r>
    <w:proofErr w:type="spellStart"/>
    <w:r w:rsidRPr="00D9605C">
      <w:t>VNM</w:t>
    </w:r>
    <w:proofErr w:type="spellEnd"/>
    <w:r w:rsidRPr="00D9605C">
      <w:t>/138</w:t>
    </w:r>
  </w:p>
  <w:p w:rsidR="00D9605C" w:rsidRPr="00D9605C" w:rsidRDefault="00D9605C" w:rsidP="00D960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605C" w:rsidRPr="00D9605C" w:rsidRDefault="00D9605C" w:rsidP="00D960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605C">
      <w:t xml:space="preserve">- </w:t>
    </w:r>
    <w:r w:rsidRPr="00D9605C">
      <w:fldChar w:fldCharType="begin"/>
    </w:r>
    <w:r w:rsidRPr="00D9605C">
      <w:instrText xml:space="preserve"> PAGE </w:instrText>
    </w:r>
    <w:r w:rsidRPr="00D9605C">
      <w:fldChar w:fldCharType="separate"/>
    </w:r>
    <w:r w:rsidRPr="00D9605C">
      <w:rPr>
        <w:noProof/>
      </w:rPr>
      <w:t>2</w:t>
    </w:r>
    <w:r w:rsidRPr="00D9605C">
      <w:fldChar w:fldCharType="end"/>
    </w:r>
    <w:r w:rsidRPr="00D9605C">
      <w:t xml:space="preserve"> -</w:t>
    </w:r>
  </w:p>
  <w:p w:rsidR="009239F7" w:rsidRPr="00D9605C" w:rsidRDefault="009239F7" w:rsidP="00D9605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5C" w:rsidRPr="00D9605C" w:rsidRDefault="00D9605C" w:rsidP="00D960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605C">
      <w:t>G/TBT/N/</w:t>
    </w:r>
    <w:proofErr w:type="spellStart"/>
    <w:r w:rsidRPr="00D9605C">
      <w:t>VNM</w:t>
    </w:r>
    <w:proofErr w:type="spellEnd"/>
    <w:r w:rsidRPr="00D9605C">
      <w:t>/138</w:t>
    </w:r>
  </w:p>
  <w:p w:rsidR="00D9605C" w:rsidRPr="00D9605C" w:rsidRDefault="00D9605C" w:rsidP="00D960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605C" w:rsidRPr="00D9605C" w:rsidRDefault="00D9605C" w:rsidP="00D960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605C">
      <w:t xml:space="preserve">- </w:t>
    </w:r>
    <w:r w:rsidRPr="00D9605C">
      <w:fldChar w:fldCharType="begin"/>
    </w:r>
    <w:r w:rsidRPr="00D9605C">
      <w:instrText xml:space="preserve"> PAGE </w:instrText>
    </w:r>
    <w:r w:rsidRPr="00D9605C">
      <w:fldChar w:fldCharType="separate"/>
    </w:r>
    <w:r w:rsidRPr="00D9605C">
      <w:rPr>
        <w:noProof/>
      </w:rPr>
      <w:t>2</w:t>
    </w:r>
    <w:r w:rsidRPr="00D9605C">
      <w:fldChar w:fldCharType="end"/>
    </w:r>
    <w:r w:rsidRPr="00D9605C">
      <w:t xml:space="preserve"> -</w:t>
    </w:r>
  </w:p>
  <w:p w:rsidR="009239F7" w:rsidRPr="00D9605C" w:rsidRDefault="009239F7" w:rsidP="00D9605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618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9605C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7"/>
    <w:tr w:rsidR="0067618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C6FC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7618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9605C" w:rsidRDefault="00D9605C" w:rsidP="00B801E9">
          <w:pPr>
            <w:jc w:val="right"/>
            <w:rPr>
              <w:b/>
              <w:szCs w:val="16"/>
            </w:rPr>
          </w:pPr>
          <w:bookmarkStart w:id="38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/138</w:t>
          </w:r>
        </w:p>
        <w:bookmarkEnd w:id="38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7618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01771" w:rsidP="00B801E9">
          <w:pPr>
            <w:jc w:val="right"/>
            <w:rPr>
              <w:szCs w:val="16"/>
            </w:rPr>
          </w:pPr>
          <w:bookmarkStart w:id="39" w:name="spsDateDistribution"/>
          <w:bookmarkStart w:id="40" w:name="bmkDate"/>
          <w:bookmarkEnd w:id="39"/>
          <w:bookmarkEnd w:id="40"/>
          <w:r>
            <w:rPr>
              <w:szCs w:val="16"/>
            </w:rPr>
            <w:t>25 March 2019</w:t>
          </w:r>
          <w:bookmarkStart w:id="41" w:name="_GoBack"/>
          <w:bookmarkEnd w:id="41"/>
        </w:p>
      </w:tc>
    </w:tr>
    <w:tr w:rsidR="0067618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B3356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401771">
            <w:rPr>
              <w:color w:val="FF0000"/>
              <w:szCs w:val="16"/>
            </w:rPr>
            <w:t>19-1811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B3356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67618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9605C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9605C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4494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8C76EC" w:tentative="1">
      <w:start w:val="1"/>
      <w:numFmt w:val="lowerLetter"/>
      <w:lvlText w:val="%2."/>
      <w:lvlJc w:val="left"/>
      <w:pPr>
        <w:ind w:left="1080" w:hanging="360"/>
      </w:pPr>
    </w:lvl>
    <w:lvl w:ilvl="2" w:tplc="D37237DA" w:tentative="1">
      <w:start w:val="1"/>
      <w:numFmt w:val="lowerRoman"/>
      <w:lvlText w:val="%3."/>
      <w:lvlJc w:val="right"/>
      <w:pPr>
        <w:ind w:left="1800" w:hanging="180"/>
      </w:pPr>
    </w:lvl>
    <w:lvl w:ilvl="3" w:tplc="39B41884" w:tentative="1">
      <w:start w:val="1"/>
      <w:numFmt w:val="decimal"/>
      <w:lvlText w:val="%4."/>
      <w:lvlJc w:val="left"/>
      <w:pPr>
        <w:ind w:left="2520" w:hanging="360"/>
      </w:pPr>
    </w:lvl>
    <w:lvl w:ilvl="4" w:tplc="FE5A7BE0" w:tentative="1">
      <w:start w:val="1"/>
      <w:numFmt w:val="lowerLetter"/>
      <w:lvlText w:val="%5."/>
      <w:lvlJc w:val="left"/>
      <w:pPr>
        <w:ind w:left="3240" w:hanging="360"/>
      </w:pPr>
    </w:lvl>
    <w:lvl w:ilvl="5" w:tplc="A0F0895E" w:tentative="1">
      <w:start w:val="1"/>
      <w:numFmt w:val="lowerRoman"/>
      <w:lvlText w:val="%6."/>
      <w:lvlJc w:val="right"/>
      <w:pPr>
        <w:ind w:left="3960" w:hanging="180"/>
      </w:pPr>
    </w:lvl>
    <w:lvl w:ilvl="6" w:tplc="828A5A7A" w:tentative="1">
      <w:start w:val="1"/>
      <w:numFmt w:val="decimal"/>
      <w:lvlText w:val="%7."/>
      <w:lvlJc w:val="left"/>
      <w:pPr>
        <w:ind w:left="4680" w:hanging="360"/>
      </w:pPr>
    </w:lvl>
    <w:lvl w:ilvl="7" w:tplc="97F2C8C8" w:tentative="1">
      <w:start w:val="1"/>
      <w:numFmt w:val="lowerLetter"/>
      <w:lvlText w:val="%8."/>
      <w:lvlJc w:val="left"/>
      <w:pPr>
        <w:ind w:left="5400" w:hanging="360"/>
      </w:pPr>
    </w:lvl>
    <w:lvl w:ilvl="8" w:tplc="3DEA9F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F3441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2CE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7C4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327E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42FF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1A11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DCD7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284F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C46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01771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C6FC0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76182"/>
    <w:rsid w:val="00682D50"/>
    <w:rsid w:val="006845EE"/>
    <w:rsid w:val="0069259F"/>
    <w:rsid w:val="006A72C8"/>
    <w:rsid w:val="006B3356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715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9F319D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605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263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32A3"/>
    <w:rsid w:val="00F263FA"/>
    <w:rsid w:val="00F32397"/>
    <w:rsid w:val="00F40595"/>
    <w:rsid w:val="00F414BA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578803"/>
  <w15:docId w15:val="{1D8C203D-CA1B-4FE7-9E32-687754B7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F5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binh@mic.gov.v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xbinh@mic.gov.v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ic.gov.vn/mra/Pages/TinTuc/102415/Du-thao-Qui-chuan-ky-thuat-quoc-gia--de-lay-y-kien-gop-y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ochai@mic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9</cp:revision>
  <dcterms:created xsi:type="dcterms:W3CDTF">2019-03-25T08:31:00Z</dcterms:created>
  <dcterms:modified xsi:type="dcterms:W3CDTF">2019-03-25T10:19:00Z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G/TBT/N/VNM/138</vt:lpwstr>
  </property>
</Properties>
</file>