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F04273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F04273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F56F5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042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0427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Burundi</w:t>
            </w:r>
            <w:bookmarkEnd w:id="1"/>
            <w:r w:rsidRPr="002F6A28">
              <w:t xml:space="preserve"> </w:t>
            </w:r>
          </w:p>
          <w:p w:rsidR="00F85C99" w:rsidRPr="002F6A28" w:rsidRDefault="00F0427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F56F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42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427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200433" w:rsidRPr="002F6A28" w:rsidRDefault="00F04273" w:rsidP="00155128">
            <w:pPr>
              <w:spacing w:before="120" w:after="120"/>
              <w:jc w:val="left"/>
            </w:pPr>
            <w:r w:rsidRPr="002F6A28">
              <w:t>Burundi Bureau of Standards and Quality Control (BBN)</w:t>
            </w:r>
            <w:r w:rsidRPr="002F6A28">
              <w:br/>
              <w:t>Boulevard de la Tanzanie N° 500</w:t>
            </w:r>
            <w:r w:rsidRPr="002F6A28">
              <w:br/>
              <w:t>BP: 3535 Bujumbura, Burundi</w:t>
            </w:r>
            <w:r w:rsidRPr="002F6A28">
              <w:br/>
              <w:t>Tel: +25722221815/+25722221577</w:t>
            </w:r>
            <w:r w:rsidRPr="002F6A28">
              <w:br/>
              <w:t xml:space="preserve">E- 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info@bbnburundi.org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www.bbn-burundi.org</w:t>
              </w:r>
            </w:hyperlink>
            <w:bookmarkEnd w:id="5"/>
          </w:p>
          <w:p w:rsidR="00F85C99" w:rsidRPr="002F6A28" w:rsidRDefault="00F0427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2F56F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42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F0427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F56F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42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427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Edible oils and fats. Oilseeds (ICS 67.200)</w:t>
            </w:r>
            <w:bookmarkStart w:id="20" w:name="sps3a"/>
            <w:bookmarkEnd w:id="20"/>
          </w:p>
        </w:tc>
      </w:tr>
      <w:tr w:rsidR="002F56F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427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427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Palm stearin — Specification (18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F56F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42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427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East Africa Standard adopted as Burundi standard specifies the requirements, sampling and test methods for crude, semi-refined and refined palm stearin derived from fleshy mesocarp of the fruit of the oil palm (</w:t>
            </w:r>
            <w:r w:rsidR="00FE448B" w:rsidRPr="00C379C8">
              <w:rPr>
                <w:i/>
                <w:iCs/>
              </w:rPr>
              <w:t>Elaeis guineensis</w:t>
            </w:r>
            <w:r w:rsidR="00FE448B" w:rsidRPr="00C379C8">
              <w:t xml:space="preserve">). </w:t>
            </w:r>
          </w:p>
          <w:p w:rsidR="00FE448B" w:rsidRPr="00C379C8" w:rsidRDefault="00F04273" w:rsidP="002F6A28">
            <w:pPr>
              <w:spacing w:after="120"/>
            </w:pPr>
            <w:r w:rsidRPr="00C379C8">
              <w:t>Note: Palm stearin refers to crude, semi-refined and refined palm stearin.</w:t>
            </w:r>
          </w:p>
        </w:tc>
      </w:tr>
      <w:tr w:rsidR="002F56F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42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427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Quality requirements; Harmonization</w:t>
            </w:r>
            <w:bookmarkStart w:id="27" w:name="sps7f"/>
            <w:bookmarkEnd w:id="27"/>
          </w:p>
        </w:tc>
      </w:tr>
      <w:tr w:rsidR="002F56F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427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F04273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200433" w:rsidRPr="002F6A28" w:rsidRDefault="00F0427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AOAC 952.13, </w:t>
            </w:r>
            <w:r w:rsidRPr="002F6A28">
              <w:rPr>
                <w:bCs/>
                <w:i/>
                <w:iCs/>
              </w:rPr>
              <w:t>Arsenic in food. Silver diethyldithiocarbamate</w:t>
            </w:r>
          </w:p>
          <w:p w:rsidR="00200433" w:rsidRPr="002F6A28" w:rsidRDefault="00F0427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CODEX STAN 192, </w:t>
            </w:r>
            <w:r w:rsidRPr="002F6A28">
              <w:rPr>
                <w:bCs/>
                <w:i/>
                <w:iCs/>
              </w:rPr>
              <w:t>General standard for food additives</w:t>
            </w:r>
          </w:p>
          <w:p w:rsidR="00200433" w:rsidRPr="002F6A28" w:rsidRDefault="00F0427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38, </w:t>
            </w:r>
            <w:r w:rsidRPr="002F6A28">
              <w:rPr>
                <w:bCs/>
                <w:i/>
                <w:iCs/>
              </w:rPr>
              <w:t>Labelling of pre-packaged foods — Specification</w:t>
            </w:r>
          </w:p>
          <w:p w:rsidR="00200433" w:rsidRPr="002F6A28" w:rsidRDefault="00F0427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EAS 39, </w:t>
            </w:r>
            <w:r w:rsidRPr="002F6A28">
              <w:rPr>
                <w:bCs/>
                <w:i/>
                <w:iCs/>
              </w:rPr>
              <w:t>Hygiene in the food and drink manufacturing industry — Code of practice</w:t>
            </w:r>
          </w:p>
          <w:p w:rsidR="00200433" w:rsidRPr="002F6A28" w:rsidRDefault="00F0427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660, </w:t>
            </w:r>
            <w:r w:rsidRPr="002F6A28">
              <w:rPr>
                <w:bCs/>
                <w:i/>
                <w:iCs/>
              </w:rPr>
              <w:t>Animal and vegetable fats and oils — Determination of acid value and acidity</w:t>
            </w:r>
          </w:p>
          <w:p w:rsidR="00200433" w:rsidRPr="002F6A28" w:rsidRDefault="00F0427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ISO 661, </w:t>
            </w:r>
            <w:r w:rsidRPr="002F6A28">
              <w:rPr>
                <w:bCs/>
                <w:i/>
                <w:iCs/>
              </w:rPr>
              <w:t>Animal and vegetable fats and oils — Preparation of test sample</w:t>
            </w:r>
          </w:p>
          <w:p w:rsidR="00200433" w:rsidRPr="002F6A28" w:rsidRDefault="00F0427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662, </w:t>
            </w:r>
            <w:r w:rsidRPr="002F6A28">
              <w:rPr>
                <w:bCs/>
                <w:i/>
                <w:iCs/>
              </w:rPr>
              <w:t>Animal and vegetable fats and oils — Determination of moisture and volatile matter content</w:t>
            </w:r>
          </w:p>
          <w:p w:rsidR="00200433" w:rsidRPr="002F6A28" w:rsidRDefault="00F0427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663, </w:t>
            </w:r>
            <w:r w:rsidRPr="002F6A28">
              <w:rPr>
                <w:bCs/>
                <w:i/>
                <w:iCs/>
              </w:rPr>
              <w:t>Animal and vegetable fats and oils — Determination of insoluble impurities content</w:t>
            </w:r>
          </w:p>
          <w:p w:rsidR="00200433" w:rsidRPr="002F6A28" w:rsidRDefault="00F0427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3596, </w:t>
            </w:r>
            <w:r w:rsidRPr="002F6A28">
              <w:rPr>
                <w:bCs/>
                <w:i/>
                <w:iCs/>
              </w:rPr>
              <w:t>Animal and vegetable fats and oils — Determination of unsaponifiable matter — Method using diethyl ether extraction</w:t>
            </w:r>
          </w:p>
          <w:p w:rsidR="00200433" w:rsidRPr="002F6A28" w:rsidRDefault="00F0427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3657, </w:t>
            </w:r>
            <w:r w:rsidRPr="002F6A28">
              <w:rPr>
                <w:bCs/>
                <w:i/>
                <w:iCs/>
              </w:rPr>
              <w:t>Animal and vegetable fats and oils — Determination of saponification value</w:t>
            </w:r>
          </w:p>
          <w:p w:rsidR="00200433" w:rsidRPr="002F6A28" w:rsidRDefault="00F0427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3960, </w:t>
            </w:r>
            <w:r w:rsidRPr="002F6A28">
              <w:rPr>
                <w:bCs/>
                <w:i/>
                <w:iCs/>
              </w:rPr>
              <w:t>Animal and vegetable fats and oils — Determination of peroxide value — Iodometric (visual) endpoint determination</w:t>
            </w:r>
          </w:p>
          <w:p w:rsidR="00200433" w:rsidRPr="002F6A28" w:rsidRDefault="00F0427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3961, </w:t>
            </w:r>
            <w:r w:rsidRPr="002F6A28">
              <w:rPr>
                <w:bCs/>
                <w:i/>
                <w:iCs/>
              </w:rPr>
              <w:t>Animal and vegetable fats and oils — Determination of iodine value</w:t>
            </w:r>
          </w:p>
          <w:p w:rsidR="00200433" w:rsidRPr="002F6A28" w:rsidRDefault="00F0427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5508, </w:t>
            </w:r>
            <w:r w:rsidRPr="002F6A28">
              <w:rPr>
                <w:bCs/>
                <w:i/>
                <w:iCs/>
              </w:rPr>
              <w:t>Animal and vegetable fats and oils — Analysis by gas chromatography of methyl esters of fatty acids</w:t>
            </w:r>
          </w:p>
          <w:p w:rsidR="00200433" w:rsidRPr="002F6A28" w:rsidRDefault="00F0427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5555, </w:t>
            </w:r>
            <w:r w:rsidRPr="002F6A28">
              <w:rPr>
                <w:bCs/>
                <w:i/>
                <w:iCs/>
              </w:rPr>
              <w:t>Animal and vegetable fats and oils — Sampling</w:t>
            </w:r>
          </w:p>
          <w:p w:rsidR="00200433" w:rsidRPr="002F6A28" w:rsidRDefault="00F0427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6320, </w:t>
            </w:r>
            <w:r w:rsidRPr="002F6A28">
              <w:rPr>
                <w:bCs/>
                <w:i/>
                <w:iCs/>
              </w:rPr>
              <w:t>Animal and vegetable fats and oils — Determination of refractive index</w:t>
            </w:r>
          </w:p>
          <w:p w:rsidR="00200433" w:rsidRPr="002F6A28" w:rsidRDefault="00F0427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6321, </w:t>
            </w:r>
            <w:r w:rsidRPr="002F6A28">
              <w:rPr>
                <w:bCs/>
                <w:i/>
                <w:iCs/>
              </w:rPr>
              <w:t>Animal and vegetable fats and oils — Determination of melting point in open capillary tubes (Slip point)</w:t>
            </w:r>
          </w:p>
          <w:p w:rsidR="00200433" w:rsidRPr="002F6A28" w:rsidRDefault="00F0427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6883</w:t>
            </w:r>
            <w:r w:rsidRPr="002F6A28">
              <w:rPr>
                <w:bCs/>
                <w:i/>
                <w:iCs/>
              </w:rPr>
              <w:t>, Animal and vegetable fats and oils — Determination of conventional mass per volume (litre weight in air)</w:t>
            </w:r>
          </w:p>
          <w:p w:rsidR="00200433" w:rsidRPr="002F6A28" w:rsidRDefault="00F0427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12193, </w:t>
            </w:r>
            <w:r w:rsidRPr="002F6A28">
              <w:rPr>
                <w:bCs/>
                <w:i/>
                <w:iCs/>
              </w:rPr>
              <w:t>Animal and vegetable fats and oils — Determination of lead by direct graphite furnace atomic absorption spectroscopy</w:t>
            </w:r>
          </w:p>
          <w:p w:rsidR="00200433" w:rsidRPr="002F6A28" w:rsidRDefault="00F04273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ISO 15305</w:t>
            </w:r>
            <w:r w:rsidRPr="002F6A28">
              <w:rPr>
                <w:bCs/>
                <w:i/>
                <w:iCs/>
              </w:rPr>
              <w:t>, Animal and vegetable fats and oils — Determination of Lovibond colour</w:t>
            </w:r>
          </w:p>
        </w:tc>
      </w:tr>
      <w:tr w:rsidR="002F56F5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042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0427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To be determined </w:t>
            </w:r>
            <w:bookmarkEnd w:id="31"/>
          </w:p>
          <w:p w:rsidR="00EE3A11" w:rsidRPr="002F6A28" w:rsidRDefault="00F0427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To be determined </w:t>
            </w:r>
            <w:bookmarkEnd w:id="34"/>
          </w:p>
        </w:tc>
      </w:tr>
      <w:tr w:rsidR="002F56F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427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0427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F56F5" w:rsidRPr="004A398B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0427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0427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200433" w:rsidRPr="004A7C5E" w:rsidRDefault="00F04273" w:rsidP="00B16145">
            <w:pPr>
              <w:keepNext/>
              <w:keepLines/>
              <w:spacing w:before="120" w:after="120"/>
              <w:jc w:val="left"/>
              <w:rPr>
                <w:lang w:val="fr-CH"/>
              </w:rPr>
            </w:pPr>
            <w:r w:rsidRPr="004A7C5E">
              <w:rPr>
                <w:lang w:val="fr-CH"/>
              </w:rPr>
              <w:t>Documentation and Information Centre Division at BBN</w:t>
            </w:r>
            <w:r w:rsidRPr="004A7C5E">
              <w:rPr>
                <w:lang w:val="fr-CH"/>
              </w:rPr>
              <w:br/>
              <w:t>Boulevard de la Tanzanie N° 500</w:t>
            </w:r>
            <w:r w:rsidRPr="004A7C5E">
              <w:rPr>
                <w:lang w:val="fr-CH"/>
              </w:rPr>
              <w:br/>
              <w:t>BP: 3535 Bujumbura, Burundi</w:t>
            </w:r>
            <w:r w:rsidRPr="004A7C5E">
              <w:rPr>
                <w:lang w:val="fr-CH"/>
              </w:rPr>
              <w:br/>
              <w:t>Tel: +25722221815 or +25722221577</w:t>
            </w:r>
            <w:r w:rsidRPr="004A7C5E">
              <w:rPr>
                <w:lang w:val="fr-CH"/>
              </w:rPr>
              <w:br/>
              <w:t xml:space="preserve">E- Mail: </w:t>
            </w:r>
            <w:hyperlink r:id="rId9" w:history="1">
              <w:r w:rsidRPr="004A7C5E">
                <w:rPr>
                  <w:color w:val="0000FF"/>
                  <w:u w:val="single"/>
                  <w:lang w:val="fr-CH"/>
                </w:rPr>
                <w:t>info@bbnburundi.org</w:t>
              </w:r>
            </w:hyperlink>
            <w:r w:rsidRPr="004A7C5E">
              <w:rPr>
                <w:lang w:val="fr-CH"/>
              </w:rPr>
              <w:br/>
              <w:t xml:space="preserve">Website: </w:t>
            </w:r>
            <w:hyperlink r:id="rId10" w:history="1">
              <w:r w:rsidRPr="004A7C5E">
                <w:rPr>
                  <w:color w:val="0000FF"/>
                  <w:u w:val="single"/>
                  <w:lang w:val="fr-CH"/>
                </w:rPr>
                <w:t>www.bbn-burundi.org</w:t>
              </w:r>
            </w:hyperlink>
            <w:bookmarkEnd w:id="40"/>
          </w:p>
        </w:tc>
      </w:tr>
    </w:tbl>
    <w:p w:rsidR="00EE3A11" w:rsidRPr="004A7C5E" w:rsidRDefault="00EE3A11" w:rsidP="002F6A28">
      <w:pPr>
        <w:rPr>
          <w:lang w:val="fr-CH"/>
        </w:rPr>
      </w:pPr>
    </w:p>
    <w:sectPr w:rsidR="00EE3A11" w:rsidRPr="004A7C5E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2F0" w:rsidRDefault="00F04273">
      <w:r>
        <w:separator/>
      </w:r>
    </w:p>
  </w:endnote>
  <w:endnote w:type="continuationSeparator" w:id="0">
    <w:p w:rsidR="00EC62F0" w:rsidRDefault="00F0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04273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04273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F04273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2F0" w:rsidRDefault="00F04273">
      <w:r>
        <w:separator/>
      </w:r>
    </w:p>
  </w:footnote>
  <w:footnote w:type="continuationSeparator" w:id="0">
    <w:p w:rsidR="00EC62F0" w:rsidRDefault="00F04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0427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0427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F0427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G/TBT/N/BDI/68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F04273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F56F5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F56F5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F0427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068767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F56F5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F0427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G/TBT/N/BDI/68</w:t>
          </w:r>
          <w:bookmarkEnd w:id="43"/>
        </w:p>
      </w:tc>
    </w:tr>
    <w:tr w:rsidR="002F56F5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0427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15 January 2020</w:t>
          </w:r>
        </w:p>
      </w:tc>
    </w:tr>
    <w:tr w:rsidR="002F56F5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0427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4A398B">
            <w:rPr>
              <w:color w:val="FF0000"/>
              <w:szCs w:val="16"/>
            </w:rPr>
            <w:t>0412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04273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F56F5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F04273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F04273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53C45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F4E0ADA" w:tentative="1">
      <w:start w:val="1"/>
      <w:numFmt w:val="lowerLetter"/>
      <w:lvlText w:val="%2."/>
      <w:lvlJc w:val="left"/>
      <w:pPr>
        <w:ind w:left="1080" w:hanging="360"/>
      </w:pPr>
    </w:lvl>
    <w:lvl w:ilvl="2" w:tplc="8974A480" w:tentative="1">
      <w:start w:val="1"/>
      <w:numFmt w:val="lowerRoman"/>
      <w:lvlText w:val="%3."/>
      <w:lvlJc w:val="right"/>
      <w:pPr>
        <w:ind w:left="1800" w:hanging="180"/>
      </w:pPr>
    </w:lvl>
    <w:lvl w:ilvl="3" w:tplc="65F6E8DC" w:tentative="1">
      <w:start w:val="1"/>
      <w:numFmt w:val="decimal"/>
      <w:lvlText w:val="%4."/>
      <w:lvlJc w:val="left"/>
      <w:pPr>
        <w:ind w:left="2520" w:hanging="360"/>
      </w:pPr>
    </w:lvl>
    <w:lvl w:ilvl="4" w:tplc="EDD46902" w:tentative="1">
      <w:start w:val="1"/>
      <w:numFmt w:val="lowerLetter"/>
      <w:lvlText w:val="%5."/>
      <w:lvlJc w:val="left"/>
      <w:pPr>
        <w:ind w:left="3240" w:hanging="360"/>
      </w:pPr>
    </w:lvl>
    <w:lvl w:ilvl="5" w:tplc="D3307F82" w:tentative="1">
      <w:start w:val="1"/>
      <w:numFmt w:val="lowerRoman"/>
      <w:lvlText w:val="%6."/>
      <w:lvlJc w:val="right"/>
      <w:pPr>
        <w:ind w:left="3960" w:hanging="180"/>
      </w:pPr>
    </w:lvl>
    <w:lvl w:ilvl="6" w:tplc="118228B0" w:tentative="1">
      <w:start w:val="1"/>
      <w:numFmt w:val="decimal"/>
      <w:lvlText w:val="%7."/>
      <w:lvlJc w:val="left"/>
      <w:pPr>
        <w:ind w:left="4680" w:hanging="360"/>
      </w:pPr>
    </w:lvl>
    <w:lvl w:ilvl="7" w:tplc="3E50182A" w:tentative="1">
      <w:start w:val="1"/>
      <w:numFmt w:val="lowerLetter"/>
      <w:lvlText w:val="%8."/>
      <w:lvlJc w:val="left"/>
      <w:pPr>
        <w:ind w:left="5400" w:hanging="360"/>
      </w:pPr>
    </w:lvl>
    <w:lvl w:ilvl="8" w:tplc="7D9087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CC01A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130BD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9A86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5630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E258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32CF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D41D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F49B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46082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0433"/>
    <w:rsid w:val="00204CC3"/>
    <w:rsid w:val="00233408"/>
    <w:rsid w:val="00267723"/>
    <w:rsid w:val="00270637"/>
    <w:rsid w:val="0027067B"/>
    <w:rsid w:val="002D21E3"/>
    <w:rsid w:val="002E174F"/>
    <w:rsid w:val="002F56F5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A398B"/>
    <w:rsid w:val="004A7C5E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62F0"/>
    <w:rsid w:val="00ED54E0"/>
    <w:rsid w:val="00ED66D3"/>
    <w:rsid w:val="00EE3A11"/>
    <w:rsid w:val="00EE4445"/>
    <w:rsid w:val="00F0047B"/>
    <w:rsid w:val="00F04273"/>
    <w:rsid w:val="00F263FA"/>
    <w:rsid w:val="00F32397"/>
    <w:rsid w:val="00F3593F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F2B80"/>
  <w15:docId w15:val="{7729947B-F995-419A-B1D7-BBAF2224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n-burundi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bnburundi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bn-burund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bnburundi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2020-01-14T15:52:00Z</dcterms:created>
  <dcterms:modified xsi:type="dcterms:W3CDTF">2020-01-15T07:35:00Z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