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0128F" w:rsidP="002F6A28">
      <w:pPr>
        <w:pStyle w:val="Title"/>
        <w:rPr>
          <w:caps w:val="0"/>
          <w:kern w:val="0"/>
        </w:rPr>
      </w:pPr>
      <w:r w:rsidRPr="002F6A28">
        <w:rPr>
          <w:caps w:val="0"/>
          <w:kern w:val="0"/>
        </w:rPr>
        <w:t>NOTIFICATION</w:t>
      </w:r>
    </w:p>
    <w:p w:rsidR="009239F7" w:rsidRPr="002F6A28" w:rsidRDefault="00B0128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E4FD4" w:rsidTr="0069259F">
        <w:tc>
          <w:tcPr>
            <w:tcW w:w="713" w:type="dxa"/>
            <w:tcBorders>
              <w:bottom w:val="single" w:sz="6" w:space="0" w:color="auto"/>
            </w:tcBorders>
            <w:shd w:val="clear" w:color="auto" w:fill="auto"/>
          </w:tcPr>
          <w:p w:rsidR="00F85C99" w:rsidRPr="002F6A28" w:rsidRDefault="00B0128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0128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Egypt</w:t>
            </w:r>
            <w:bookmarkEnd w:id="1"/>
            <w:r w:rsidRPr="002F6A28">
              <w:t xml:space="preserve"> </w:t>
            </w:r>
          </w:p>
          <w:p w:rsidR="00F85C99" w:rsidRPr="002F6A28" w:rsidRDefault="00B0128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128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9A7C1D" w:rsidRPr="002F6A28" w:rsidRDefault="00B0128F"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 xml:space="preserve"> / </w:t>
            </w:r>
            <w:hyperlink r:id="rId8" w:history="1">
              <w:r w:rsidRPr="002F6A28">
                <w:rPr>
                  <w:color w:val="0000FF"/>
                  <w:u w:val="single"/>
                </w:rPr>
                <w:t>tbteos@eos.org.eg</w:t>
              </w:r>
            </w:hyperlink>
            <w:r w:rsidRPr="002F6A28">
              <w:t xml:space="preserve"> </w:t>
            </w:r>
            <w:r w:rsidRPr="002F6A28">
              <w:br/>
              <w:t xml:space="preserve">Website: </w:t>
            </w:r>
            <w:hyperlink r:id="rId9" w:history="1">
              <w:r w:rsidRPr="002F6A28">
                <w:rPr>
                  <w:color w:val="0000FF"/>
                  <w:u w:val="single"/>
                </w:rPr>
                <w:t>http://www.eos.org.eg</w:t>
              </w:r>
            </w:hyperlink>
            <w:r w:rsidRPr="002F6A28">
              <w:t xml:space="preserve"> </w:t>
            </w:r>
            <w:r w:rsidRPr="002F6A28">
              <w:br/>
              <w:t xml:space="preserve">Tel.: + (202) 22845528 </w:t>
            </w:r>
            <w:r w:rsidRPr="002F6A28">
              <w:br/>
              <w:t xml:space="preserve">Fax: + (202) 22845504 </w:t>
            </w:r>
            <w:bookmarkEnd w:id="5"/>
          </w:p>
          <w:p w:rsidR="00F85C99" w:rsidRPr="002F6A28" w:rsidRDefault="00B0128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0128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0128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Heat pumps (ICS 27.080), Refrigerating technology (ICS 27.200)</w:t>
            </w:r>
            <w:bookmarkStart w:id="20" w:name="sps3a"/>
            <w:bookmarkEnd w:id="20"/>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128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of Egyptian standard ES 5056-1 for "Refrigerating systems and heat pumps — Safety and environmental requirements — Part 1: Definitions, classification and selection criteria" (62 page(s), in Arabic)</w:t>
            </w:r>
            <w:bookmarkStart w:id="22" w:name="sps5a"/>
            <w:bookmarkStart w:id="23" w:name="sps5c"/>
            <w:bookmarkStart w:id="24" w:name="sps5b"/>
            <w:bookmarkEnd w:id="22"/>
            <w:bookmarkEnd w:id="23"/>
            <w:bookmarkEnd w:id="24"/>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128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of this draft standard specifies the requirements for the safety of persons and property, provides guidance for the protection of the environment, and establishes procedures for the operation, maintenance, and repair of refrigerating systems and the recovery of refrigerants.</w:t>
            </w:r>
          </w:p>
          <w:p w:rsidR="00FE448B" w:rsidRPr="00C379C8" w:rsidRDefault="00B0128F" w:rsidP="002F6A28">
            <w:pPr>
              <w:spacing w:after="120"/>
            </w:pPr>
            <w:r w:rsidRPr="00C379C8">
              <w:t>This part specifies the classification and selection criteria applicable to the refrigerating systems and heat pumps. These classification and selection criteria are used in ES 5149</w:t>
            </w:r>
            <w:r w:rsidRPr="00C379C8">
              <w:noBreakHyphen/>
              <w:t>2, ES 5149</w:t>
            </w:r>
            <w:r w:rsidRPr="00C379C8">
              <w:noBreakHyphen/>
              <w:t>3, and ES 5149</w:t>
            </w:r>
            <w:r w:rsidRPr="00C379C8">
              <w:noBreakHyphen/>
              <w:t xml:space="preserve">4. </w:t>
            </w:r>
          </w:p>
          <w:p w:rsidR="00FE448B" w:rsidRPr="00C379C8" w:rsidRDefault="00B0128F" w:rsidP="002F6A28">
            <w:pPr>
              <w:spacing w:after="120"/>
            </w:pPr>
            <w:r w:rsidRPr="00C379C8">
              <w:t>This part applies to:</w:t>
            </w:r>
          </w:p>
          <w:p w:rsidR="00FE448B" w:rsidRPr="00C379C8" w:rsidRDefault="00B0128F" w:rsidP="002F6A28">
            <w:pPr>
              <w:spacing w:after="120"/>
            </w:pPr>
            <w:r w:rsidRPr="00C379C8">
              <w:t>a) refrigerating systems, stationary or mobile, of all sizes including heat pumps;</w:t>
            </w:r>
          </w:p>
          <w:p w:rsidR="00FE448B" w:rsidRPr="00C379C8" w:rsidRDefault="00B0128F" w:rsidP="002F6A28">
            <w:pPr>
              <w:spacing w:after="120"/>
            </w:pPr>
            <w:r w:rsidRPr="00C379C8">
              <w:t>b) secondary cooling or heating systems;</w:t>
            </w:r>
          </w:p>
          <w:p w:rsidR="00FE448B" w:rsidRPr="00C379C8" w:rsidRDefault="00B0128F" w:rsidP="002F6A28">
            <w:pPr>
              <w:spacing w:after="120"/>
            </w:pPr>
            <w:r w:rsidRPr="00C379C8">
              <w:t>c) the location of the refrigerating systems;</w:t>
            </w:r>
          </w:p>
          <w:p w:rsidR="00FE448B" w:rsidRPr="00C379C8" w:rsidRDefault="00B0128F" w:rsidP="002F6A28">
            <w:pPr>
              <w:spacing w:after="120"/>
            </w:pPr>
            <w:r w:rsidRPr="00C379C8">
              <w:t>d) replaced parts and added components after adoption of this part ES 5149-1 if they are not identical in function and in the capacity.</w:t>
            </w:r>
          </w:p>
          <w:p w:rsidR="00FE448B" w:rsidRPr="00C379C8" w:rsidRDefault="00B0128F" w:rsidP="002F6A28">
            <w:pPr>
              <w:spacing w:after="120"/>
            </w:pPr>
            <w:r w:rsidRPr="00C379C8">
              <w:t>This part applies to fixed or mobile systems, except to vehicle air conditioning systems covered by a specific product standard, e.g. ISO 13043 and SAE J 639.</w:t>
            </w:r>
          </w:p>
          <w:p w:rsidR="00FE448B" w:rsidRPr="00C379C8" w:rsidRDefault="00B0128F" w:rsidP="002F6A28">
            <w:pPr>
              <w:spacing w:after="120"/>
            </w:pPr>
            <w:r w:rsidRPr="00C379C8">
              <w:lastRenderedPageBreak/>
              <w:t>This part is applicable to new refrigerating systems, extensions or modifications of already existing systems, and for used systems, being transferred to and operated on another site. It also applies in the case of the conversion of a system to another refrigerant.</w:t>
            </w:r>
          </w:p>
          <w:p w:rsidR="00FE448B" w:rsidRPr="00C379C8" w:rsidRDefault="00B0128F" w:rsidP="002F6A28">
            <w:pPr>
              <w:spacing w:after="120"/>
            </w:pPr>
            <w:r w:rsidRPr="00C379C8">
              <w:t>Annex A specifies the limits for the quantity of refrigerant charge permitted in systems in various locations and occupancy classes.</w:t>
            </w:r>
          </w:p>
          <w:p w:rsidR="00FE448B" w:rsidRPr="00C379C8" w:rsidRDefault="00B0128F" w:rsidP="002F6A28">
            <w:pPr>
              <w:spacing w:after="120"/>
            </w:pPr>
            <w:r w:rsidRPr="00C379C8">
              <w:t>Annex B specifies the criteria for safety and environmental considerations of different refrigerants used in refrigeration and air conditioning.</w:t>
            </w:r>
          </w:p>
          <w:p w:rsidR="00FE448B" w:rsidRPr="00C379C8" w:rsidRDefault="00B0128F" w:rsidP="002F6A28">
            <w:pPr>
              <w:spacing w:after="120"/>
            </w:pPr>
            <w:r w:rsidRPr="00C379C8">
              <w:t>Systems containing refrigerants which are not listed in ES 4855 are not covered in this part of standard.</w:t>
            </w:r>
          </w:p>
          <w:p w:rsidR="00FE448B" w:rsidRPr="00C379C8" w:rsidRDefault="00B0128F" w:rsidP="002F6A28">
            <w:pPr>
              <w:spacing w:after="120"/>
            </w:pPr>
            <w:r w:rsidRPr="00C379C8">
              <w:t>Worth mentioning is that this draft standard is technically identical with ISO 5149-1:2014 (Confirmed In 2020).</w:t>
            </w:r>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B0128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Safety requirements</w:t>
            </w:r>
            <w:r>
              <w:t>;</w:t>
            </w:r>
            <w:r w:rsidR="00EE3A11" w:rsidRPr="00C379C8">
              <w:t xml:space="preserve"> Protection of the environment; Other</w:t>
            </w:r>
            <w:bookmarkStart w:id="27" w:name="sps7f"/>
            <w:bookmarkEnd w:id="27"/>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B0453D" w:rsidRDefault="00B0128F" w:rsidP="00B0453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B0128F" w:rsidP="00B0453D">
            <w:pPr>
              <w:pStyle w:val="ListParagraph"/>
              <w:numPr>
                <w:ilvl w:val="0"/>
                <w:numId w:val="16"/>
              </w:numPr>
              <w:spacing w:before="120" w:after="120"/>
            </w:pPr>
            <w:r w:rsidRPr="00B0453D">
              <w:rPr>
                <w:bCs/>
              </w:rPr>
              <w:t>ISO</w:t>
            </w:r>
            <w:r>
              <w:rPr>
                <w:bCs/>
              </w:rPr>
              <w:t xml:space="preserve"> </w:t>
            </w:r>
            <w:r w:rsidRPr="00B0453D">
              <w:rPr>
                <w:bCs/>
              </w:rPr>
              <w:t xml:space="preserve">5149-1:2014 (Confirmed </w:t>
            </w:r>
            <w:r>
              <w:rPr>
                <w:bCs/>
              </w:rPr>
              <w:t>i</w:t>
            </w:r>
            <w:r w:rsidRPr="00B0453D">
              <w:rPr>
                <w:bCs/>
              </w:rPr>
              <w:t>n 2020)</w:t>
            </w:r>
          </w:p>
        </w:tc>
      </w:tr>
      <w:tr w:rsidR="00DE4FD4" w:rsidTr="00AE6CC8">
        <w:trPr>
          <w:cantSplit/>
        </w:trPr>
        <w:tc>
          <w:tcPr>
            <w:tcW w:w="713" w:type="dxa"/>
            <w:tcBorders>
              <w:top w:val="single" w:sz="6" w:space="0" w:color="auto"/>
              <w:bottom w:val="single" w:sz="6" w:space="0" w:color="auto"/>
            </w:tcBorders>
            <w:shd w:val="clear" w:color="auto" w:fill="auto"/>
          </w:tcPr>
          <w:p w:rsidR="00EE3A11" w:rsidRPr="002F6A28" w:rsidRDefault="00B0128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0128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B0128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E4FD4" w:rsidTr="0069259F">
        <w:tc>
          <w:tcPr>
            <w:tcW w:w="713" w:type="dxa"/>
            <w:tcBorders>
              <w:top w:val="single" w:sz="6" w:space="0" w:color="auto"/>
              <w:bottom w:val="single" w:sz="6" w:space="0" w:color="auto"/>
            </w:tcBorders>
            <w:shd w:val="clear" w:color="auto" w:fill="auto"/>
          </w:tcPr>
          <w:p w:rsidR="00F85C99" w:rsidRPr="002F6A28" w:rsidRDefault="00B0128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0128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E4FD4" w:rsidTr="0069259F">
        <w:tc>
          <w:tcPr>
            <w:tcW w:w="713" w:type="dxa"/>
            <w:tcBorders>
              <w:top w:val="single" w:sz="6" w:space="0" w:color="auto"/>
            </w:tcBorders>
            <w:shd w:val="clear" w:color="auto" w:fill="auto"/>
          </w:tcPr>
          <w:p w:rsidR="00F85C99" w:rsidRPr="002F6A28" w:rsidRDefault="00B0128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0128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A7C1D" w:rsidRPr="002F6A28" w:rsidRDefault="00B0128F" w:rsidP="00B16145">
            <w:pPr>
              <w:keepNext/>
              <w:keepLines/>
              <w:spacing w:before="120" w:after="120"/>
              <w:jc w:val="left"/>
            </w:pPr>
            <w:r w:rsidRPr="002F6A28">
              <w:t xml:space="preserve">Egyptian Organization for Standardization and Quality </w:t>
            </w:r>
            <w:r w:rsidRPr="002F6A28">
              <w:br/>
              <w:t>Address: 16 Tadreeb El-Modarrebeen St., Ameriya, Cairo- Egypt</w:t>
            </w:r>
            <w:r w:rsidRPr="002F6A28">
              <w:br/>
              <w:t xml:space="preserve">E-mail: </w:t>
            </w:r>
            <w:hyperlink r:id="rId10" w:history="1">
              <w:r w:rsidRPr="002F6A28">
                <w:rPr>
                  <w:color w:val="0000FF"/>
                  <w:u w:val="single"/>
                </w:rPr>
                <w:t>eos@idsc.net.eg</w:t>
              </w:r>
            </w:hyperlink>
            <w:r w:rsidRPr="002F6A28">
              <w:t xml:space="preserve"> / </w:t>
            </w:r>
            <w:hyperlink r:id="rId11" w:history="1">
              <w:r w:rsidRPr="002F6A28">
                <w:rPr>
                  <w:color w:val="0000FF"/>
                  <w:u w:val="single"/>
                </w:rPr>
                <w:t>tbteos@eos.org.eg</w:t>
              </w:r>
            </w:hyperlink>
            <w:r w:rsidRPr="002F6A28">
              <w:t xml:space="preserve"> </w:t>
            </w:r>
            <w:r w:rsidRPr="002F6A28">
              <w:br/>
              <w:t xml:space="preserve">Website: </w:t>
            </w:r>
            <w:hyperlink r:id="rId12" w:history="1">
              <w:r w:rsidRPr="002F6A28">
                <w:rPr>
                  <w:color w:val="0000FF"/>
                  <w:u w:val="single"/>
                </w:rPr>
                <w:t>http://www.eos.org.eg</w:t>
              </w:r>
            </w:hyperlink>
            <w:r w:rsidRPr="002F6A28">
              <w:t xml:space="preserve"> </w:t>
            </w:r>
            <w:r w:rsidRPr="002F6A28">
              <w:br/>
              <w:t>Tel: + (202) 22845528</w:t>
            </w:r>
            <w:r w:rsidRPr="002F6A28">
              <w:br/>
              <w:t xml:space="preserve">Fax: + (202) 22845504 </w:t>
            </w:r>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ABE" w:rsidRDefault="00B0128F">
      <w:r>
        <w:separator/>
      </w:r>
    </w:p>
  </w:endnote>
  <w:endnote w:type="continuationSeparator" w:id="0">
    <w:p w:rsidR="009F6ABE" w:rsidRDefault="00B0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128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128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0128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ABE" w:rsidRDefault="00B0128F">
      <w:r>
        <w:separator/>
      </w:r>
    </w:p>
  </w:footnote>
  <w:footnote w:type="continuationSeparator" w:id="0">
    <w:p w:rsidR="009F6ABE" w:rsidRDefault="00B0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128F"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0128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0128F" w:rsidP="009239F7">
    <w:pPr>
      <w:pStyle w:val="Header"/>
      <w:pBdr>
        <w:bottom w:val="single" w:sz="4" w:space="1" w:color="auto"/>
      </w:pBdr>
      <w:tabs>
        <w:tab w:val="clear" w:pos="4513"/>
        <w:tab w:val="clear" w:pos="9027"/>
      </w:tabs>
      <w:jc w:val="center"/>
    </w:pPr>
    <w:bookmarkStart w:id="41" w:name="spsSymbolHeader"/>
    <w:r w:rsidRPr="002F6A28">
      <w:t>G/TBT/N/EGY/271</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B0128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4FD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E4FD4" w:rsidTr="008612A9">
      <w:trPr>
        <w:trHeight w:val="213"/>
        <w:jc w:val="center"/>
      </w:trPr>
      <w:tc>
        <w:tcPr>
          <w:tcW w:w="3794" w:type="dxa"/>
          <w:vMerge w:val="restart"/>
          <w:shd w:val="clear" w:color="auto" w:fill="FFFFFF"/>
          <w:tcMar>
            <w:left w:w="0" w:type="dxa"/>
            <w:right w:w="0" w:type="dxa"/>
          </w:tcMar>
        </w:tcPr>
        <w:p w:rsidR="00ED54E0" w:rsidRPr="009239F7" w:rsidRDefault="00B0128F"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8992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E4FD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0128F" w:rsidP="00B801E9">
          <w:pPr>
            <w:jc w:val="right"/>
            <w:rPr>
              <w:b/>
              <w:szCs w:val="16"/>
            </w:rPr>
          </w:pPr>
          <w:bookmarkStart w:id="43" w:name="bmkSymbols"/>
          <w:r w:rsidRPr="002F6A28">
            <w:rPr>
              <w:b/>
              <w:szCs w:val="16"/>
            </w:rPr>
            <w:t>G/TBT/N/EGY/271</w:t>
          </w:r>
          <w:bookmarkEnd w:id="43"/>
        </w:p>
      </w:tc>
    </w:tr>
    <w:tr w:rsidR="00DE4FD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B77F7" w:rsidP="00B801E9">
          <w:pPr>
            <w:jc w:val="right"/>
            <w:rPr>
              <w:szCs w:val="16"/>
            </w:rPr>
          </w:pPr>
          <w:bookmarkStart w:id="44" w:name="spsDateDistribution"/>
          <w:bookmarkStart w:id="45" w:name="bmkDate"/>
          <w:bookmarkEnd w:id="44"/>
          <w:bookmarkEnd w:id="45"/>
          <w:r>
            <w:rPr>
              <w:szCs w:val="16"/>
            </w:rPr>
            <w:t>5 Octob</w:t>
          </w:r>
          <w:r w:rsidR="00B0128F">
            <w:rPr>
              <w:szCs w:val="16"/>
            </w:rPr>
            <w:t>e</w:t>
          </w:r>
          <w:r>
            <w:rPr>
              <w:szCs w:val="16"/>
            </w:rPr>
            <w:t>r 2020</w:t>
          </w:r>
        </w:p>
      </w:tc>
    </w:tr>
    <w:tr w:rsidR="00DE4FD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128F" w:rsidP="0097650D">
          <w:pPr>
            <w:jc w:val="left"/>
            <w:rPr>
              <w:b/>
            </w:rPr>
          </w:pPr>
          <w:bookmarkStart w:id="46" w:name="bmkSerial"/>
          <w:r w:rsidRPr="002F6A28">
            <w:rPr>
              <w:color w:val="FF0000"/>
              <w:szCs w:val="16"/>
            </w:rPr>
            <w:t>(</w:t>
          </w:r>
          <w:bookmarkStart w:id="47" w:name="spsSerialNumber"/>
          <w:bookmarkEnd w:id="47"/>
          <w:r w:rsidR="005B77F7">
            <w:rPr>
              <w:color w:val="FF0000"/>
              <w:szCs w:val="16"/>
            </w:rPr>
            <w:t>20-</w:t>
          </w:r>
          <w:r w:rsidR="00C67C37">
            <w:rPr>
              <w:color w:val="FF0000"/>
              <w:szCs w:val="16"/>
            </w:rPr>
            <w:t>6737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0128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E4FD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128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0128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66108"/>
    <w:multiLevelType w:val="hybridMultilevel"/>
    <w:tmpl w:val="59B04690"/>
    <w:lvl w:ilvl="0" w:tplc="8B420F60">
      <w:start w:val="1"/>
      <w:numFmt w:val="bullet"/>
      <w:lvlText w:val=""/>
      <w:lvlJc w:val="left"/>
      <w:pPr>
        <w:ind w:left="720" w:hanging="360"/>
      </w:pPr>
      <w:rPr>
        <w:rFonts w:ascii="Symbol" w:hAnsi="Symbol" w:hint="default"/>
      </w:rPr>
    </w:lvl>
    <w:lvl w:ilvl="1" w:tplc="14380734" w:tentative="1">
      <w:start w:val="1"/>
      <w:numFmt w:val="bullet"/>
      <w:lvlText w:val="o"/>
      <w:lvlJc w:val="left"/>
      <w:pPr>
        <w:ind w:left="1440" w:hanging="360"/>
      </w:pPr>
      <w:rPr>
        <w:rFonts w:ascii="Courier New" w:hAnsi="Courier New" w:cs="Courier New" w:hint="default"/>
      </w:rPr>
    </w:lvl>
    <w:lvl w:ilvl="2" w:tplc="DA4E7526" w:tentative="1">
      <w:start w:val="1"/>
      <w:numFmt w:val="bullet"/>
      <w:lvlText w:val=""/>
      <w:lvlJc w:val="left"/>
      <w:pPr>
        <w:ind w:left="2160" w:hanging="360"/>
      </w:pPr>
      <w:rPr>
        <w:rFonts w:ascii="Wingdings" w:hAnsi="Wingdings" w:hint="default"/>
      </w:rPr>
    </w:lvl>
    <w:lvl w:ilvl="3" w:tplc="C124FAB2" w:tentative="1">
      <w:start w:val="1"/>
      <w:numFmt w:val="bullet"/>
      <w:lvlText w:val=""/>
      <w:lvlJc w:val="left"/>
      <w:pPr>
        <w:ind w:left="2880" w:hanging="360"/>
      </w:pPr>
      <w:rPr>
        <w:rFonts w:ascii="Symbol" w:hAnsi="Symbol" w:hint="default"/>
      </w:rPr>
    </w:lvl>
    <w:lvl w:ilvl="4" w:tplc="12C6924E" w:tentative="1">
      <w:start w:val="1"/>
      <w:numFmt w:val="bullet"/>
      <w:lvlText w:val="o"/>
      <w:lvlJc w:val="left"/>
      <w:pPr>
        <w:ind w:left="3600" w:hanging="360"/>
      </w:pPr>
      <w:rPr>
        <w:rFonts w:ascii="Courier New" w:hAnsi="Courier New" w:cs="Courier New" w:hint="default"/>
      </w:rPr>
    </w:lvl>
    <w:lvl w:ilvl="5" w:tplc="44DC205E" w:tentative="1">
      <w:start w:val="1"/>
      <w:numFmt w:val="bullet"/>
      <w:lvlText w:val=""/>
      <w:lvlJc w:val="left"/>
      <w:pPr>
        <w:ind w:left="4320" w:hanging="360"/>
      </w:pPr>
      <w:rPr>
        <w:rFonts w:ascii="Wingdings" w:hAnsi="Wingdings" w:hint="default"/>
      </w:rPr>
    </w:lvl>
    <w:lvl w:ilvl="6" w:tplc="1112563A" w:tentative="1">
      <w:start w:val="1"/>
      <w:numFmt w:val="bullet"/>
      <w:lvlText w:val=""/>
      <w:lvlJc w:val="left"/>
      <w:pPr>
        <w:ind w:left="5040" w:hanging="360"/>
      </w:pPr>
      <w:rPr>
        <w:rFonts w:ascii="Symbol" w:hAnsi="Symbol" w:hint="default"/>
      </w:rPr>
    </w:lvl>
    <w:lvl w:ilvl="7" w:tplc="587E554E" w:tentative="1">
      <w:start w:val="1"/>
      <w:numFmt w:val="bullet"/>
      <w:lvlText w:val="o"/>
      <w:lvlJc w:val="left"/>
      <w:pPr>
        <w:ind w:left="5760" w:hanging="360"/>
      </w:pPr>
      <w:rPr>
        <w:rFonts w:ascii="Courier New" w:hAnsi="Courier New" w:cs="Courier New" w:hint="default"/>
      </w:rPr>
    </w:lvl>
    <w:lvl w:ilvl="8" w:tplc="09A084D6"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F66CB10">
      <w:start w:val="1"/>
      <w:numFmt w:val="decimal"/>
      <w:pStyle w:val="SummaryText"/>
      <w:lvlText w:val="%1."/>
      <w:lvlJc w:val="left"/>
      <w:pPr>
        <w:ind w:left="360" w:hanging="360"/>
      </w:pPr>
    </w:lvl>
    <w:lvl w:ilvl="1" w:tplc="E2E2B3E2" w:tentative="1">
      <w:start w:val="1"/>
      <w:numFmt w:val="lowerLetter"/>
      <w:lvlText w:val="%2."/>
      <w:lvlJc w:val="left"/>
      <w:pPr>
        <w:ind w:left="1080" w:hanging="360"/>
      </w:pPr>
    </w:lvl>
    <w:lvl w:ilvl="2" w:tplc="8EE67D8C" w:tentative="1">
      <w:start w:val="1"/>
      <w:numFmt w:val="lowerRoman"/>
      <w:lvlText w:val="%3."/>
      <w:lvlJc w:val="right"/>
      <w:pPr>
        <w:ind w:left="1800" w:hanging="180"/>
      </w:pPr>
    </w:lvl>
    <w:lvl w:ilvl="3" w:tplc="D704366E" w:tentative="1">
      <w:start w:val="1"/>
      <w:numFmt w:val="decimal"/>
      <w:lvlText w:val="%4."/>
      <w:lvlJc w:val="left"/>
      <w:pPr>
        <w:ind w:left="2520" w:hanging="360"/>
      </w:pPr>
    </w:lvl>
    <w:lvl w:ilvl="4" w:tplc="89CCB92C" w:tentative="1">
      <w:start w:val="1"/>
      <w:numFmt w:val="lowerLetter"/>
      <w:lvlText w:val="%5."/>
      <w:lvlJc w:val="left"/>
      <w:pPr>
        <w:ind w:left="3240" w:hanging="360"/>
      </w:pPr>
    </w:lvl>
    <w:lvl w:ilvl="5" w:tplc="7792C0BE" w:tentative="1">
      <w:start w:val="1"/>
      <w:numFmt w:val="lowerRoman"/>
      <w:lvlText w:val="%6."/>
      <w:lvlJc w:val="right"/>
      <w:pPr>
        <w:ind w:left="3960" w:hanging="180"/>
      </w:pPr>
    </w:lvl>
    <w:lvl w:ilvl="6" w:tplc="D1AC2B32" w:tentative="1">
      <w:start w:val="1"/>
      <w:numFmt w:val="decimal"/>
      <w:lvlText w:val="%7."/>
      <w:lvlJc w:val="left"/>
      <w:pPr>
        <w:ind w:left="4680" w:hanging="360"/>
      </w:pPr>
    </w:lvl>
    <w:lvl w:ilvl="7" w:tplc="9AC2983C" w:tentative="1">
      <w:start w:val="1"/>
      <w:numFmt w:val="lowerLetter"/>
      <w:lvlText w:val="%8."/>
      <w:lvlJc w:val="left"/>
      <w:pPr>
        <w:ind w:left="5400" w:hanging="360"/>
      </w:pPr>
    </w:lvl>
    <w:lvl w:ilvl="8" w:tplc="C5DE6A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02057"/>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B77F7"/>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A7C1D"/>
    <w:rsid w:val="009B6669"/>
    <w:rsid w:val="009D1D8C"/>
    <w:rsid w:val="009D1FF8"/>
    <w:rsid w:val="009E75ED"/>
    <w:rsid w:val="009F1F2F"/>
    <w:rsid w:val="009F21A8"/>
    <w:rsid w:val="009F6AB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128F"/>
    <w:rsid w:val="00B0453D"/>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7C37"/>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4FD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2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os@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teos@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2020-10-05T07:46:00Z</dcterms:created>
  <dcterms:modified xsi:type="dcterms:W3CDTF">2020-10-05T08:59:00Z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42f88941-84f1-4013-a812-260ca7e042d6</vt:lpwstr>
  </property>
  <property fmtid="{D5CDD505-2E9C-101B-9397-08002B2CF9AE}" pid="4" name="WTOCLASSIFICATION">
    <vt:lpwstr>WTO OFFICIAL</vt:lpwstr>
  </property>
</Properties>
</file>