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02CBC" w:rsidP="002F6A28">
      <w:pPr>
        <w:pStyle w:val="Title"/>
        <w:rPr>
          <w:caps w:val="0"/>
          <w:kern w:val="0"/>
        </w:rPr>
      </w:pPr>
      <w:r w:rsidRPr="002F6A28">
        <w:rPr>
          <w:caps w:val="0"/>
          <w:kern w:val="0"/>
        </w:rPr>
        <w:t>NOTIFICATION</w:t>
      </w:r>
    </w:p>
    <w:p w:rsidR="009239F7" w:rsidRPr="002F6A28" w:rsidRDefault="00602CB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80D73" w:rsidTr="0069259F">
        <w:tc>
          <w:tcPr>
            <w:tcW w:w="713" w:type="dxa"/>
            <w:tcBorders>
              <w:bottom w:val="single" w:sz="6" w:space="0" w:color="auto"/>
            </w:tcBorders>
            <w:shd w:val="clear" w:color="auto" w:fill="auto"/>
          </w:tcPr>
          <w:p w:rsidR="00F85C99" w:rsidRPr="002F6A28" w:rsidRDefault="00602CB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02CB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Egypt</w:t>
            </w:r>
            <w:bookmarkEnd w:id="1"/>
            <w:r w:rsidRPr="002F6A28">
              <w:t xml:space="preserve"> </w:t>
            </w:r>
          </w:p>
          <w:p w:rsidR="00F85C99" w:rsidRPr="002F6A28" w:rsidRDefault="00602CB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80D73" w:rsidTr="0069259F">
        <w:tc>
          <w:tcPr>
            <w:tcW w:w="713" w:type="dxa"/>
            <w:tcBorders>
              <w:top w:val="single" w:sz="6" w:space="0" w:color="auto"/>
              <w:bottom w:val="single" w:sz="6" w:space="0" w:color="auto"/>
            </w:tcBorders>
            <w:shd w:val="clear" w:color="auto" w:fill="auto"/>
          </w:tcPr>
          <w:p w:rsidR="00F85C99" w:rsidRPr="002F6A28" w:rsidRDefault="00602CB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02CB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215B7F" w:rsidRPr="002F6A28" w:rsidRDefault="00602CBC" w:rsidP="00155128">
            <w:pPr>
              <w:spacing w:before="120" w:after="120"/>
              <w:jc w:val="left"/>
            </w:pPr>
            <w:r w:rsidRPr="002F6A28">
              <w:t>Egyptian Organization for Standardization and Quality</w:t>
            </w:r>
            <w:r w:rsidRPr="002F6A28">
              <w:br/>
              <w:t>16 Tadreeb El-Modarrebeen St., Ameriya, Cairo – Egypt</w:t>
            </w:r>
            <w:r w:rsidRPr="002F6A28">
              <w:br/>
              <w:t xml:space="preserve">E-mail: </w:t>
            </w:r>
            <w:hyperlink r:id="rId7" w:history="1">
              <w:r w:rsidRPr="002F6A28">
                <w:rPr>
                  <w:color w:val="0000FF"/>
                  <w:u w:val="single"/>
                </w:rPr>
                <w:t>eos@idsc.net.eg</w:t>
              </w:r>
            </w:hyperlink>
            <w:r w:rsidRPr="002F6A28">
              <w:t xml:space="preserve"> / </w:t>
            </w:r>
            <w:hyperlink r:id="rId8" w:history="1">
              <w:r w:rsidRPr="002F6A28">
                <w:rPr>
                  <w:color w:val="0000FF"/>
                  <w:u w:val="single"/>
                </w:rPr>
                <w:t>tbteos@eos.org.eg</w:t>
              </w:r>
            </w:hyperlink>
            <w:r w:rsidRPr="002F6A28">
              <w:t xml:space="preserve"> </w:t>
            </w:r>
            <w:r w:rsidRPr="002F6A28">
              <w:br/>
              <w:t xml:space="preserve">Website: </w:t>
            </w:r>
            <w:hyperlink r:id="rId9" w:history="1">
              <w:r w:rsidRPr="002F6A28">
                <w:rPr>
                  <w:color w:val="0000FF"/>
                  <w:u w:val="single"/>
                </w:rPr>
                <w:t>http://www.eos.org.eg</w:t>
              </w:r>
            </w:hyperlink>
            <w:r w:rsidRPr="002F6A28">
              <w:t xml:space="preserve"> </w:t>
            </w:r>
            <w:r w:rsidRPr="002F6A28">
              <w:br/>
              <w:t xml:space="preserve">Tel.: + (202) 22845528 </w:t>
            </w:r>
            <w:r w:rsidRPr="002F6A28">
              <w:br/>
              <w:t xml:space="preserve">Fax: + (202) 22845504 </w:t>
            </w:r>
            <w:bookmarkEnd w:id="5"/>
          </w:p>
          <w:p w:rsidR="00F85C99" w:rsidRPr="002F6A28" w:rsidRDefault="00602CB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680D73" w:rsidTr="0069259F">
        <w:tc>
          <w:tcPr>
            <w:tcW w:w="713" w:type="dxa"/>
            <w:tcBorders>
              <w:top w:val="single" w:sz="6" w:space="0" w:color="auto"/>
              <w:bottom w:val="single" w:sz="6" w:space="0" w:color="auto"/>
            </w:tcBorders>
            <w:shd w:val="clear" w:color="auto" w:fill="auto"/>
          </w:tcPr>
          <w:p w:rsidR="00F85C99" w:rsidRPr="002F6A28" w:rsidRDefault="00602CB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02CB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80D73" w:rsidTr="0069259F">
        <w:tc>
          <w:tcPr>
            <w:tcW w:w="713" w:type="dxa"/>
            <w:tcBorders>
              <w:top w:val="single" w:sz="6" w:space="0" w:color="auto"/>
              <w:bottom w:val="single" w:sz="6" w:space="0" w:color="auto"/>
            </w:tcBorders>
            <w:shd w:val="clear" w:color="auto" w:fill="auto"/>
          </w:tcPr>
          <w:p w:rsidR="00F85C99" w:rsidRPr="002F6A28" w:rsidRDefault="00602CB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02CB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Heat pumps (ICS 27.080), Refrigerating technology (ICS 27.200)</w:t>
            </w:r>
            <w:bookmarkStart w:id="20" w:name="sps3a"/>
            <w:bookmarkEnd w:id="20"/>
          </w:p>
        </w:tc>
      </w:tr>
      <w:tr w:rsidR="00680D73" w:rsidTr="0069259F">
        <w:tc>
          <w:tcPr>
            <w:tcW w:w="713" w:type="dxa"/>
            <w:tcBorders>
              <w:top w:val="single" w:sz="6" w:space="0" w:color="auto"/>
              <w:bottom w:val="single" w:sz="6" w:space="0" w:color="auto"/>
            </w:tcBorders>
            <w:shd w:val="clear" w:color="auto" w:fill="auto"/>
          </w:tcPr>
          <w:p w:rsidR="00F85C99" w:rsidRPr="002F6A28" w:rsidRDefault="00602CB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02CB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of Egyptian standard ES 5056-4 for "Refrigerating systems and heat pumps — Safety and environmental requirements — Part 4: Operation, maintenance, repair and recovery" (28</w:t>
            </w:r>
            <w:r w:rsidR="00E765EF">
              <w:t> </w:t>
            </w:r>
            <w:r w:rsidR="00EE3A11" w:rsidRPr="00C379C8">
              <w:t>page(s), in Arabic)</w:t>
            </w:r>
            <w:bookmarkStart w:id="22" w:name="sps5a"/>
            <w:bookmarkStart w:id="23" w:name="sps5c"/>
            <w:bookmarkStart w:id="24" w:name="sps5b"/>
            <w:bookmarkEnd w:id="22"/>
            <w:bookmarkEnd w:id="23"/>
            <w:bookmarkEnd w:id="24"/>
          </w:p>
        </w:tc>
      </w:tr>
      <w:tr w:rsidR="00680D73" w:rsidTr="0069259F">
        <w:tc>
          <w:tcPr>
            <w:tcW w:w="713" w:type="dxa"/>
            <w:tcBorders>
              <w:top w:val="single" w:sz="6" w:space="0" w:color="auto"/>
              <w:bottom w:val="single" w:sz="6" w:space="0" w:color="auto"/>
            </w:tcBorders>
            <w:shd w:val="clear" w:color="auto" w:fill="auto"/>
          </w:tcPr>
          <w:p w:rsidR="00F85C99" w:rsidRPr="002F6A28" w:rsidRDefault="00602CB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02CB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part of this draft standard specifies requirements for safety and environmental aspects in relation to operation, maintenance and repair of refrigerating systems and the recovery, reuse and disposal of all types of refrigerant, refrigerant oil, heat transfer fluid, refrigerating system and part thereof.</w:t>
            </w:r>
          </w:p>
          <w:p w:rsidR="00FE448B" w:rsidRPr="00C379C8" w:rsidRDefault="00602CBC" w:rsidP="002F6A28">
            <w:pPr>
              <w:spacing w:after="120"/>
            </w:pPr>
            <w:r w:rsidRPr="00C379C8">
              <w:t>These requirements are intended to minimize risks of injury to persons and damage to property and the environment resulting from improper handling of the refrigerants or from contaminants leading to system breakdown and resultant emission of the refrigerant.</w:t>
            </w:r>
          </w:p>
          <w:p w:rsidR="00FE448B" w:rsidRPr="00C379C8" w:rsidRDefault="00AE3279" w:rsidP="002F6A28">
            <w:pPr>
              <w:spacing w:after="120"/>
            </w:pPr>
            <w:hyperlink r:id="rId10" w:anchor="iso:std:iso:5149:-4:ed-1:v1:en:sec:4.1.1" w:history="1">
              <w:r w:rsidR="00602CBC" w:rsidRPr="00C379C8">
                <w:t xml:space="preserve">Sub clauses </w:t>
              </w:r>
              <w:r w:rsidR="00602CBC" w:rsidRPr="00B07D7E">
                <w:rPr>
                  <w:color w:val="0000FF"/>
                  <w:u w:val="single"/>
                </w:rPr>
                <w:t>4.1.1</w:t>
              </w:r>
            </w:hyperlink>
            <w:r w:rsidR="00602CBC" w:rsidRPr="00C379C8">
              <w:t xml:space="preserve">, </w:t>
            </w:r>
            <w:hyperlink r:id="rId11" w:anchor="iso:std:iso:5149:-4:ed-1:v1:en:sec:4.1.2" w:history="1">
              <w:r w:rsidR="00602CBC" w:rsidRPr="00B07D7E">
                <w:rPr>
                  <w:color w:val="0000FF"/>
                  <w:u w:val="single"/>
                </w:rPr>
                <w:t>4.1.2</w:t>
              </w:r>
            </w:hyperlink>
            <w:r w:rsidR="00602CBC" w:rsidRPr="00C379C8">
              <w:t xml:space="preserve">, </w:t>
            </w:r>
            <w:hyperlink r:id="rId12" w:anchor="iso:std:iso:5149:-4:ed-1:v1:en:sec:4.3" w:history="1">
              <w:r w:rsidR="00602CBC" w:rsidRPr="00B07D7E">
                <w:rPr>
                  <w:color w:val="0000FF"/>
                  <w:u w:val="single"/>
                </w:rPr>
                <w:t>4.3</w:t>
              </w:r>
            </w:hyperlink>
            <w:r w:rsidR="00602CBC" w:rsidRPr="00C379C8">
              <w:t xml:space="preserve">, </w:t>
            </w:r>
            <w:hyperlink r:id="rId13" w:anchor="iso:std:iso:5149:-4:ed-1:v1:en:sec:5.1.1" w:history="1">
              <w:r w:rsidR="00602CBC" w:rsidRPr="00B07D7E">
                <w:rPr>
                  <w:color w:val="0000FF"/>
                  <w:u w:val="single"/>
                </w:rPr>
                <w:t>5.1.1</w:t>
              </w:r>
            </w:hyperlink>
            <w:r w:rsidR="00602CBC" w:rsidRPr="00C379C8">
              <w:t xml:space="preserve"> to </w:t>
            </w:r>
            <w:hyperlink r:id="rId14" w:anchor="iso:std:iso:5149:-4:ed-1:v1:en:sec:5.1.4" w:history="1">
              <w:r w:rsidR="00602CBC" w:rsidRPr="00B07D7E">
                <w:rPr>
                  <w:color w:val="0000FF"/>
                  <w:u w:val="single"/>
                </w:rPr>
                <w:t>5.1.4</w:t>
              </w:r>
            </w:hyperlink>
            <w:r w:rsidR="00602CBC" w:rsidRPr="00C379C8">
              <w:t xml:space="preserve">, </w:t>
            </w:r>
            <w:hyperlink r:id="rId15" w:anchor="iso:std:iso:5149:-4:ed-1:v1:en:sec:5.2" w:history="1">
              <w:r w:rsidR="00602CBC" w:rsidRPr="00B07D7E">
                <w:rPr>
                  <w:color w:val="0000FF"/>
                  <w:u w:val="single"/>
                </w:rPr>
                <w:t>5.2</w:t>
              </w:r>
            </w:hyperlink>
            <w:r w:rsidR="00602CBC" w:rsidRPr="00C379C8">
              <w:t xml:space="preserve">, </w:t>
            </w:r>
            <w:hyperlink r:id="rId16" w:anchor="iso:std:iso:5149:-4:ed-1:v1:en:sec:5.3.1" w:history="1">
              <w:r w:rsidR="00602CBC" w:rsidRPr="00B07D7E">
                <w:rPr>
                  <w:color w:val="0000FF"/>
                  <w:u w:val="single"/>
                </w:rPr>
                <w:t>5.3.1</w:t>
              </w:r>
            </w:hyperlink>
            <w:r w:rsidR="00602CBC" w:rsidRPr="00C379C8">
              <w:t xml:space="preserve">, </w:t>
            </w:r>
            <w:hyperlink r:id="rId17" w:anchor="iso:std:iso:5149:-4:ed-1:v1:en:sec:5.3.3" w:history="1">
              <w:r w:rsidR="00602CBC" w:rsidRPr="00B07D7E">
                <w:rPr>
                  <w:color w:val="0000FF"/>
                  <w:u w:val="single"/>
                </w:rPr>
                <w:t>5.3.3</w:t>
              </w:r>
            </w:hyperlink>
            <w:r w:rsidR="00602CBC" w:rsidRPr="00C379C8">
              <w:t xml:space="preserve"> and </w:t>
            </w:r>
            <w:hyperlink r:id="rId18" w:anchor="iso:std:iso:5149:-4:ed-1:v1:en:sec:6.6" w:history="1">
              <w:r w:rsidR="00602CBC" w:rsidRPr="00B07D7E">
                <w:rPr>
                  <w:color w:val="0000FF"/>
                  <w:u w:val="single"/>
                </w:rPr>
                <w:t>6.6</w:t>
              </w:r>
            </w:hyperlink>
            <w:r w:rsidR="00602CBC" w:rsidRPr="00C379C8">
              <w:t xml:space="preserve"> of this part of ES</w:t>
            </w:r>
            <w:r w:rsidR="00602CBC">
              <w:t> </w:t>
            </w:r>
            <w:r w:rsidR="00602CBC" w:rsidRPr="00C379C8">
              <w:t>5056-4 are not applicable to unitary systems having a power cord, being factory sealed, and in conformance with IEC 60335 series.</w:t>
            </w:r>
          </w:p>
          <w:p w:rsidR="00FE448B" w:rsidRPr="00C379C8" w:rsidRDefault="00602CBC" w:rsidP="002F6A28">
            <w:pPr>
              <w:spacing w:after="120"/>
            </w:pPr>
            <w:r w:rsidRPr="00C379C8">
              <w:t>Worth mentioning is that this draft standard is technically identical with ISO 5149-4:2014.</w:t>
            </w:r>
          </w:p>
        </w:tc>
      </w:tr>
      <w:tr w:rsidR="00680D73" w:rsidTr="0069259F">
        <w:tc>
          <w:tcPr>
            <w:tcW w:w="713" w:type="dxa"/>
            <w:tcBorders>
              <w:top w:val="single" w:sz="6" w:space="0" w:color="auto"/>
              <w:bottom w:val="single" w:sz="6" w:space="0" w:color="auto"/>
            </w:tcBorders>
            <w:shd w:val="clear" w:color="auto" w:fill="auto"/>
          </w:tcPr>
          <w:p w:rsidR="00F85C99" w:rsidRPr="002F6A28" w:rsidRDefault="00602CB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02CB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Safety requirements; Protection of the environment</w:t>
            </w:r>
            <w:bookmarkStart w:id="27" w:name="sps7f"/>
            <w:bookmarkEnd w:id="27"/>
          </w:p>
        </w:tc>
      </w:tr>
      <w:tr w:rsidR="00680D73" w:rsidTr="0069259F">
        <w:tc>
          <w:tcPr>
            <w:tcW w:w="713" w:type="dxa"/>
            <w:tcBorders>
              <w:top w:val="single" w:sz="6" w:space="0" w:color="auto"/>
              <w:bottom w:val="single" w:sz="6" w:space="0" w:color="auto"/>
            </w:tcBorders>
            <w:shd w:val="clear" w:color="auto" w:fill="auto"/>
          </w:tcPr>
          <w:p w:rsidR="00F85C99" w:rsidRPr="002F6A28" w:rsidRDefault="00602CBC" w:rsidP="00E765EF">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602CBC" w:rsidP="00E765EF">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215B7F" w:rsidRPr="002F6A28" w:rsidRDefault="00602CBC" w:rsidP="00E765EF">
            <w:pPr>
              <w:keepNext/>
              <w:keepLines/>
              <w:numPr>
                <w:ilvl w:val="0"/>
                <w:numId w:val="16"/>
              </w:numPr>
              <w:spacing w:before="120" w:after="120"/>
              <w:jc w:val="left"/>
              <w:rPr>
                <w:bCs/>
              </w:rPr>
            </w:pPr>
            <w:r w:rsidRPr="002F6A28">
              <w:rPr>
                <w:bCs/>
              </w:rPr>
              <w:t>ISO 5149-4:2014.</w:t>
            </w:r>
          </w:p>
        </w:tc>
      </w:tr>
      <w:tr w:rsidR="00680D73" w:rsidTr="00AE6CC8">
        <w:trPr>
          <w:cantSplit/>
        </w:trPr>
        <w:tc>
          <w:tcPr>
            <w:tcW w:w="713" w:type="dxa"/>
            <w:tcBorders>
              <w:top w:val="single" w:sz="6" w:space="0" w:color="auto"/>
              <w:bottom w:val="single" w:sz="6" w:space="0" w:color="auto"/>
            </w:tcBorders>
            <w:shd w:val="clear" w:color="auto" w:fill="auto"/>
          </w:tcPr>
          <w:p w:rsidR="00EE3A11" w:rsidRPr="002F6A28" w:rsidRDefault="00602CB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02CB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602CB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680D73" w:rsidTr="0069259F">
        <w:tc>
          <w:tcPr>
            <w:tcW w:w="713" w:type="dxa"/>
            <w:tcBorders>
              <w:top w:val="single" w:sz="6" w:space="0" w:color="auto"/>
              <w:bottom w:val="single" w:sz="6" w:space="0" w:color="auto"/>
            </w:tcBorders>
            <w:shd w:val="clear" w:color="auto" w:fill="auto"/>
          </w:tcPr>
          <w:p w:rsidR="00F85C99" w:rsidRPr="002F6A28" w:rsidRDefault="00602CB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02CBC"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680D73" w:rsidTr="0069259F">
        <w:tc>
          <w:tcPr>
            <w:tcW w:w="713" w:type="dxa"/>
            <w:tcBorders>
              <w:top w:val="single" w:sz="6" w:space="0" w:color="auto"/>
            </w:tcBorders>
            <w:shd w:val="clear" w:color="auto" w:fill="auto"/>
          </w:tcPr>
          <w:p w:rsidR="00F85C99" w:rsidRPr="002F6A28" w:rsidRDefault="00602CB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02CB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15B7F" w:rsidRPr="002F6A28" w:rsidRDefault="00602CBC" w:rsidP="00B16145">
            <w:pPr>
              <w:keepNext/>
              <w:keepLines/>
              <w:spacing w:before="120" w:after="120"/>
              <w:jc w:val="left"/>
            </w:pPr>
            <w:r w:rsidRPr="002F6A28">
              <w:t xml:space="preserve">Egyptian Organization for Standardization and Quality </w:t>
            </w:r>
            <w:r w:rsidRPr="002F6A28">
              <w:br/>
              <w:t>Address: 16 Tadreeb El-Modarrebeen St., Ameriya, Cairo- Egypt</w:t>
            </w:r>
            <w:r w:rsidRPr="002F6A28">
              <w:br/>
              <w:t xml:space="preserve">E-mail: </w:t>
            </w:r>
            <w:hyperlink r:id="rId19" w:history="1">
              <w:r w:rsidRPr="002F6A28">
                <w:rPr>
                  <w:color w:val="0000FF"/>
                  <w:u w:val="single"/>
                </w:rPr>
                <w:t>eos@idsc.net.eg</w:t>
              </w:r>
            </w:hyperlink>
            <w:r w:rsidRPr="002F6A28">
              <w:t xml:space="preserve"> / </w:t>
            </w:r>
            <w:hyperlink r:id="rId20" w:history="1">
              <w:r w:rsidRPr="002F6A28">
                <w:rPr>
                  <w:color w:val="0000FF"/>
                  <w:u w:val="single"/>
                </w:rPr>
                <w:t>tbteos@eos.org.eg</w:t>
              </w:r>
            </w:hyperlink>
            <w:r w:rsidRPr="002F6A28">
              <w:t xml:space="preserve"> </w:t>
            </w:r>
            <w:r w:rsidRPr="002F6A28">
              <w:br/>
              <w:t xml:space="preserve">Website: </w:t>
            </w:r>
            <w:hyperlink r:id="rId21" w:history="1">
              <w:r w:rsidRPr="002F6A28">
                <w:rPr>
                  <w:color w:val="0000FF"/>
                  <w:u w:val="single"/>
                </w:rPr>
                <w:t>http://www.eos.org.eg</w:t>
              </w:r>
            </w:hyperlink>
            <w:r w:rsidRPr="002F6A28">
              <w:t xml:space="preserve"> </w:t>
            </w:r>
            <w:r w:rsidRPr="002F6A28">
              <w:br/>
              <w:t>Tel: + (202) 22845528</w:t>
            </w:r>
            <w:r w:rsidRPr="002F6A28">
              <w:br/>
              <w:t xml:space="preserve">Fax: + (202) 22845504 </w:t>
            </w:r>
            <w:bookmarkEnd w:id="40"/>
          </w:p>
        </w:tc>
      </w:tr>
    </w:tbl>
    <w:p w:rsidR="00EE3A11" w:rsidRPr="002F6A28" w:rsidRDefault="00EE3A11" w:rsidP="002F6A28"/>
    <w:sectPr w:rsidR="00EE3A11" w:rsidRPr="002F6A28" w:rsidSect="00760DB3">
      <w:headerReference w:type="even" r:id="rId22"/>
      <w:headerReference w:type="default" r:id="rId23"/>
      <w:footerReference w:type="even" r:id="rId24"/>
      <w:footerReference w:type="default" r:id="rId25"/>
      <w:headerReference w:type="first" r:id="rId26"/>
      <w:footerReference w:type="first" r:id="rId2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27B" w:rsidRDefault="00602CBC">
      <w:r>
        <w:separator/>
      </w:r>
    </w:p>
  </w:endnote>
  <w:endnote w:type="continuationSeparator" w:id="0">
    <w:p w:rsidR="002D527B" w:rsidRDefault="0060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02CB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02CB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02CB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27B" w:rsidRDefault="00602CBC">
      <w:r>
        <w:separator/>
      </w:r>
    </w:p>
  </w:footnote>
  <w:footnote w:type="continuationSeparator" w:id="0">
    <w:p w:rsidR="002D527B" w:rsidRDefault="0060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02CBC"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602CB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02CBC" w:rsidP="009239F7">
    <w:pPr>
      <w:pStyle w:val="Header"/>
      <w:pBdr>
        <w:bottom w:val="single" w:sz="4" w:space="1" w:color="auto"/>
      </w:pBdr>
      <w:tabs>
        <w:tab w:val="clear" w:pos="4513"/>
        <w:tab w:val="clear" w:pos="9027"/>
      </w:tabs>
      <w:jc w:val="center"/>
    </w:pPr>
    <w:bookmarkStart w:id="41" w:name="spsSymbolHeader"/>
    <w:r w:rsidRPr="002F6A28">
      <w:t>G/TBT/N/EGY/274</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602CB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0D7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680D73" w:rsidTr="008612A9">
      <w:trPr>
        <w:trHeight w:val="213"/>
        <w:jc w:val="center"/>
      </w:trPr>
      <w:tc>
        <w:tcPr>
          <w:tcW w:w="3794" w:type="dxa"/>
          <w:vMerge w:val="restart"/>
          <w:shd w:val="clear" w:color="auto" w:fill="FFFFFF"/>
          <w:tcMar>
            <w:left w:w="0" w:type="dxa"/>
            <w:right w:w="0" w:type="dxa"/>
          </w:tcMar>
        </w:tcPr>
        <w:p w:rsidR="00ED54E0" w:rsidRPr="009239F7" w:rsidRDefault="00602CBC"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6599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80D7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602CBC" w:rsidP="00B801E9">
          <w:pPr>
            <w:jc w:val="right"/>
            <w:rPr>
              <w:b/>
              <w:szCs w:val="16"/>
            </w:rPr>
          </w:pPr>
          <w:bookmarkStart w:id="43" w:name="bmkSymbols"/>
          <w:r w:rsidRPr="002F6A28">
            <w:rPr>
              <w:b/>
              <w:szCs w:val="16"/>
            </w:rPr>
            <w:t>G/TBT/N/EGY/274</w:t>
          </w:r>
          <w:bookmarkEnd w:id="43"/>
        </w:p>
      </w:tc>
    </w:tr>
    <w:tr w:rsidR="00680D7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02CBC" w:rsidP="00B801E9">
          <w:pPr>
            <w:jc w:val="right"/>
            <w:rPr>
              <w:szCs w:val="16"/>
            </w:rPr>
          </w:pPr>
          <w:bookmarkStart w:id="44" w:name="spsDateDistribution"/>
          <w:bookmarkStart w:id="45" w:name="bmkDate"/>
          <w:bookmarkEnd w:id="44"/>
          <w:bookmarkEnd w:id="45"/>
          <w:r>
            <w:rPr>
              <w:szCs w:val="16"/>
            </w:rPr>
            <w:t>5 October 2020</w:t>
          </w:r>
        </w:p>
      </w:tc>
    </w:tr>
    <w:tr w:rsidR="00680D7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02CBC"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AE3279">
            <w:rPr>
              <w:color w:val="FF0000"/>
              <w:szCs w:val="16"/>
            </w:rPr>
            <w:t>6742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602CB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80D7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02CB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602CB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2606FE">
      <w:start w:val="1"/>
      <w:numFmt w:val="decimal"/>
      <w:pStyle w:val="SummaryText"/>
      <w:lvlText w:val="%1."/>
      <w:lvlJc w:val="left"/>
      <w:pPr>
        <w:ind w:left="360" w:hanging="360"/>
      </w:pPr>
    </w:lvl>
    <w:lvl w:ilvl="1" w:tplc="9E2694F8" w:tentative="1">
      <w:start w:val="1"/>
      <w:numFmt w:val="lowerLetter"/>
      <w:lvlText w:val="%2."/>
      <w:lvlJc w:val="left"/>
      <w:pPr>
        <w:ind w:left="1080" w:hanging="360"/>
      </w:pPr>
    </w:lvl>
    <w:lvl w:ilvl="2" w:tplc="538CA626" w:tentative="1">
      <w:start w:val="1"/>
      <w:numFmt w:val="lowerRoman"/>
      <w:lvlText w:val="%3."/>
      <w:lvlJc w:val="right"/>
      <w:pPr>
        <w:ind w:left="1800" w:hanging="180"/>
      </w:pPr>
    </w:lvl>
    <w:lvl w:ilvl="3" w:tplc="76D43A42" w:tentative="1">
      <w:start w:val="1"/>
      <w:numFmt w:val="decimal"/>
      <w:lvlText w:val="%4."/>
      <w:lvlJc w:val="left"/>
      <w:pPr>
        <w:ind w:left="2520" w:hanging="360"/>
      </w:pPr>
    </w:lvl>
    <w:lvl w:ilvl="4" w:tplc="4B44CCF6" w:tentative="1">
      <w:start w:val="1"/>
      <w:numFmt w:val="lowerLetter"/>
      <w:lvlText w:val="%5."/>
      <w:lvlJc w:val="left"/>
      <w:pPr>
        <w:ind w:left="3240" w:hanging="360"/>
      </w:pPr>
    </w:lvl>
    <w:lvl w:ilvl="5" w:tplc="93DCE4E0" w:tentative="1">
      <w:start w:val="1"/>
      <w:numFmt w:val="lowerRoman"/>
      <w:lvlText w:val="%6."/>
      <w:lvlJc w:val="right"/>
      <w:pPr>
        <w:ind w:left="3960" w:hanging="180"/>
      </w:pPr>
    </w:lvl>
    <w:lvl w:ilvl="6" w:tplc="FD6A58CC" w:tentative="1">
      <w:start w:val="1"/>
      <w:numFmt w:val="decimal"/>
      <w:lvlText w:val="%7."/>
      <w:lvlJc w:val="left"/>
      <w:pPr>
        <w:ind w:left="4680" w:hanging="360"/>
      </w:pPr>
    </w:lvl>
    <w:lvl w:ilvl="7" w:tplc="FF74C7D4" w:tentative="1">
      <w:start w:val="1"/>
      <w:numFmt w:val="lowerLetter"/>
      <w:lvlText w:val="%8."/>
      <w:lvlJc w:val="left"/>
      <w:pPr>
        <w:ind w:left="5400" w:hanging="360"/>
      </w:pPr>
    </w:lvl>
    <w:lvl w:ilvl="8" w:tplc="CDC219D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0BE8D66">
      <w:start w:val="1"/>
      <w:numFmt w:val="bullet"/>
      <w:lvlText w:val=""/>
      <w:lvlJc w:val="left"/>
      <w:pPr>
        <w:ind w:left="720" w:hanging="360"/>
      </w:pPr>
      <w:rPr>
        <w:rFonts w:ascii="Symbol" w:hAnsi="Symbol"/>
      </w:rPr>
    </w:lvl>
    <w:lvl w:ilvl="1" w:tplc="E3EED8A8">
      <w:start w:val="1"/>
      <w:numFmt w:val="bullet"/>
      <w:lvlText w:val="o"/>
      <w:lvlJc w:val="left"/>
      <w:pPr>
        <w:tabs>
          <w:tab w:val="num" w:pos="1440"/>
        </w:tabs>
        <w:ind w:left="1440" w:hanging="360"/>
      </w:pPr>
      <w:rPr>
        <w:rFonts w:ascii="Courier New" w:hAnsi="Courier New"/>
      </w:rPr>
    </w:lvl>
    <w:lvl w:ilvl="2" w:tplc="37BA61DA">
      <w:start w:val="1"/>
      <w:numFmt w:val="bullet"/>
      <w:lvlText w:val=""/>
      <w:lvlJc w:val="left"/>
      <w:pPr>
        <w:tabs>
          <w:tab w:val="num" w:pos="2160"/>
        </w:tabs>
        <w:ind w:left="2160" w:hanging="360"/>
      </w:pPr>
      <w:rPr>
        <w:rFonts w:ascii="Wingdings" w:hAnsi="Wingdings"/>
      </w:rPr>
    </w:lvl>
    <w:lvl w:ilvl="3" w:tplc="814A7BF6">
      <w:start w:val="1"/>
      <w:numFmt w:val="bullet"/>
      <w:lvlText w:val=""/>
      <w:lvlJc w:val="left"/>
      <w:pPr>
        <w:tabs>
          <w:tab w:val="num" w:pos="2880"/>
        </w:tabs>
        <w:ind w:left="2880" w:hanging="360"/>
      </w:pPr>
      <w:rPr>
        <w:rFonts w:ascii="Symbol" w:hAnsi="Symbol"/>
      </w:rPr>
    </w:lvl>
    <w:lvl w:ilvl="4" w:tplc="006213D2">
      <w:start w:val="1"/>
      <w:numFmt w:val="bullet"/>
      <w:lvlText w:val="o"/>
      <w:lvlJc w:val="left"/>
      <w:pPr>
        <w:tabs>
          <w:tab w:val="num" w:pos="3600"/>
        </w:tabs>
        <w:ind w:left="3600" w:hanging="360"/>
      </w:pPr>
      <w:rPr>
        <w:rFonts w:ascii="Courier New" w:hAnsi="Courier New"/>
      </w:rPr>
    </w:lvl>
    <w:lvl w:ilvl="5" w:tplc="DD4E9E44">
      <w:start w:val="1"/>
      <w:numFmt w:val="bullet"/>
      <w:lvlText w:val=""/>
      <w:lvlJc w:val="left"/>
      <w:pPr>
        <w:tabs>
          <w:tab w:val="num" w:pos="4320"/>
        </w:tabs>
        <w:ind w:left="4320" w:hanging="360"/>
      </w:pPr>
      <w:rPr>
        <w:rFonts w:ascii="Wingdings" w:hAnsi="Wingdings"/>
      </w:rPr>
    </w:lvl>
    <w:lvl w:ilvl="6" w:tplc="1A98851E">
      <w:start w:val="1"/>
      <w:numFmt w:val="bullet"/>
      <w:lvlText w:val=""/>
      <w:lvlJc w:val="left"/>
      <w:pPr>
        <w:tabs>
          <w:tab w:val="num" w:pos="5040"/>
        </w:tabs>
        <w:ind w:left="5040" w:hanging="360"/>
      </w:pPr>
      <w:rPr>
        <w:rFonts w:ascii="Symbol" w:hAnsi="Symbol"/>
      </w:rPr>
    </w:lvl>
    <w:lvl w:ilvl="7" w:tplc="5D3C2324">
      <w:start w:val="1"/>
      <w:numFmt w:val="bullet"/>
      <w:lvlText w:val="o"/>
      <w:lvlJc w:val="left"/>
      <w:pPr>
        <w:tabs>
          <w:tab w:val="num" w:pos="5760"/>
        </w:tabs>
        <w:ind w:left="5760" w:hanging="360"/>
      </w:pPr>
      <w:rPr>
        <w:rFonts w:ascii="Courier New" w:hAnsi="Courier New"/>
      </w:rPr>
    </w:lvl>
    <w:lvl w:ilvl="8" w:tplc="8EB2A90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5B7F"/>
    <w:rsid w:val="00233408"/>
    <w:rsid w:val="00267723"/>
    <w:rsid w:val="00270637"/>
    <w:rsid w:val="0027067B"/>
    <w:rsid w:val="002D21E3"/>
    <w:rsid w:val="002D527B"/>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2CBC"/>
    <w:rsid w:val="00612644"/>
    <w:rsid w:val="00623F9F"/>
    <w:rsid w:val="00643C1F"/>
    <w:rsid w:val="00655881"/>
    <w:rsid w:val="0066043C"/>
    <w:rsid w:val="006607BC"/>
    <w:rsid w:val="00672511"/>
    <w:rsid w:val="00674CCD"/>
    <w:rsid w:val="00680D73"/>
    <w:rsid w:val="00682D50"/>
    <w:rsid w:val="00683CD8"/>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3279"/>
    <w:rsid w:val="00AE6CC8"/>
    <w:rsid w:val="00AF3330"/>
    <w:rsid w:val="00B00276"/>
    <w:rsid w:val="00B07D7E"/>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765EF"/>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C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os@eos.org.eg" TargetMode="External"/><Relationship Id="rId13" Type="http://schemas.openxmlformats.org/officeDocument/2006/relationships/hyperlink" Target="https://www.iso.org/obp/ui/" TargetMode="External"/><Relationship Id="rId18" Type="http://schemas.openxmlformats.org/officeDocument/2006/relationships/hyperlink" Target="https://www.iso.org/obp/ui/"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eos.org.eg" TargetMode="External"/><Relationship Id="rId7" Type="http://schemas.openxmlformats.org/officeDocument/2006/relationships/hyperlink" Target="mailto:eos@idsc.net.eg" TargetMode="External"/><Relationship Id="rId12" Type="http://schemas.openxmlformats.org/officeDocument/2006/relationships/hyperlink" Target="https://www.iso.org/obp/ui/" TargetMode="External"/><Relationship Id="rId17" Type="http://schemas.openxmlformats.org/officeDocument/2006/relationships/hyperlink" Target="https://www.iso.org/obp/ui/"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so.org/obp/ui/" TargetMode="External"/><Relationship Id="rId20" Type="http://schemas.openxmlformats.org/officeDocument/2006/relationships/hyperlink" Target="mailto:tbteos@eos.org.e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o.org/obp/u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so.org/obp/u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so.org/obp/ui/" TargetMode="External"/><Relationship Id="rId19" Type="http://schemas.openxmlformats.org/officeDocument/2006/relationships/hyperlink" Target="mailto:eos@idsc.net.eg" TargetMode="Externa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yperlink" Target="https://www.iso.org/obp/ui/"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2020-10-05T08:06:00Z</dcterms:created>
  <dcterms:modified xsi:type="dcterms:W3CDTF">2020-10-05T09:29:00Z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1e5eb732-9c2d-4d37-9852-36dffb26edc5</vt:lpwstr>
  </property>
  <property fmtid="{D5CDD505-2E9C-101B-9397-08002B2CF9AE}" pid="4" name="WTOCLASSIFICATION">
    <vt:lpwstr>WTO OFFICIAL</vt:lpwstr>
  </property>
</Properties>
</file>