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9129B" w:rsidP="0049129B">
      <w:pPr>
        <w:pStyle w:val="Titre"/>
        <w:spacing w:before="240"/>
        <w:rPr>
          <w:caps w:val="0"/>
          <w:kern w:val="0"/>
        </w:rPr>
      </w:pPr>
      <w:r w:rsidRPr="002F6A28">
        <w:rPr>
          <w:caps w:val="0"/>
          <w:kern w:val="0"/>
        </w:rPr>
        <w:t>NOTIFICATION</w:t>
      </w:r>
    </w:p>
    <w:p w:rsidR="009239F7" w:rsidRPr="002F6A28" w:rsidRDefault="0049129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27172" w:rsidTr="0069259F">
        <w:tc>
          <w:tcPr>
            <w:tcW w:w="713" w:type="dxa"/>
            <w:tcBorders>
              <w:bottom w:val="single" w:sz="6" w:space="0" w:color="auto"/>
            </w:tcBorders>
            <w:shd w:val="clear" w:color="auto" w:fill="auto"/>
          </w:tcPr>
          <w:p w:rsidR="00F85C99" w:rsidRPr="002F6A28" w:rsidRDefault="0049129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9129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49129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27172" w:rsidRPr="009358FD" w:rsidTr="0069259F">
        <w:tc>
          <w:tcPr>
            <w:tcW w:w="713" w:type="dxa"/>
            <w:tcBorders>
              <w:top w:val="single" w:sz="6" w:space="0" w:color="auto"/>
              <w:bottom w:val="single" w:sz="6" w:space="0" w:color="auto"/>
            </w:tcBorders>
            <w:shd w:val="clear" w:color="auto" w:fill="auto"/>
          </w:tcPr>
          <w:p w:rsidR="00F85C99" w:rsidRPr="002F6A28" w:rsidRDefault="0049129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9129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49129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B4CC9" w:rsidRPr="00D84B79" w:rsidRDefault="0049129B" w:rsidP="00AA646C">
            <w:pPr>
              <w:spacing w:after="120"/>
              <w:jc w:val="left"/>
              <w:rPr>
                <w:lang w:val="fr-CH"/>
              </w:rPr>
            </w:pPr>
            <w:proofErr w:type="spellStart"/>
            <w:r w:rsidRPr="00D84B79">
              <w:rPr>
                <w:lang w:val="fr-CH"/>
              </w:rPr>
              <w:t>European</w:t>
            </w:r>
            <w:proofErr w:type="spellEnd"/>
            <w:r w:rsidRPr="00D84B79">
              <w:rPr>
                <w:lang w:val="fr-CH"/>
              </w:rPr>
              <w:t xml:space="preserve"> Commission</w:t>
            </w:r>
            <w:r w:rsidRPr="00D84B79">
              <w:rPr>
                <w:lang w:val="fr-CH"/>
              </w:rPr>
              <w:br/>
              <w:t>EU-</w:t>
            </w:r>
            <w:proofErr w:type="spellStart"/>
            <w:r w:rsidRPr="00D84B79">
              <w:rPr>
                <w:lang w:val="fr-CH"/>
              </w:rPr>
              <w:t>TBT</w:t>
            </w:r>
            <w:proofErr w:type="spellEnd"/>
            <w:r w:rsidRPr="00D84B79">
              <w:rPr>
                <w:lang w:val="fr-CH"/>
              </w:rPr>
              <w:t xml:space="preserve"> </w:t>
            </w:r>
            <w:proofErr w:type="spellStart"/>
            <w:r w:rsidRPr="00D84B79">
              <w:rPr>
                <w:lang w:val="fr-CH"/>
              </w:rPr>
              <w:t>Enquiry</w:t>
            </w:r>
            <w:proofErr w:type="spellEnd"/>
            <w:r w:rsidRPr="00D84B79">
              <w:rPr>
                <w:lang w:val="fr-CH"/>
              </w:rPr>
              <w:t xml:space="preserve"> Point</w:t>
            </w:r>
            <w:r w:rsidRPr="00D84B79">
              <w:rPr>
                <w:lang w:val="fr-CH"/>
              </w:rPr>
              <w:br/>
              <w:t>Fax: +(32) 2 299 80 43</w:t>
            </w:r>
            <w:r w:rsidRPr="00D84B79">
              <w:rPr>
                <w:lang w:val="fr-CH"/>
              </w:rPr>
              <w:br/>
              <w:t xml:space="preserve">E-mail: </w:t>
            </w:r>
            <w:r w:rsidR="009358FD">
              <w:fldChar w:fldCharType="begin"/>
            </w:r>
            <w:r w:rsidR="009358FD" w:rsidRPr="009358FD">
              <w:rPr>
                <w:lang w:val="fr-FR"/>
              </w:rPr>
              <w:instrText xml:space="preserve"> HYPERLINK "mailto:grow-eu-tbt@ec.europa.eu" </w:instrText>
            </w:r>
            <w:r w:rsidR="009358FD">
              <w:fldChar w:fldCharType="separate"/>
            </w:r>
            <w:r w:rsidRPr="00D84B79">
              <w:rPr>
                <w:color w:val="0000FF"/>
                <w:u w:val="single"/>
                <w:lang w:val="fr-CH"/>
              </w:rPr>
              <w:t>grow-eu-tbt@ec.europa.eu</w:t>
            </w:r>
            <w:r w:rsidR="009358FD">
              <w:rPr>
                <w:color w:val="0000FF"/>
                <w:u w:val="single"/>
                <w:lang w:val="fr-CH"/>
              </w:rPr>
              <w:fldChar w:fldCharType="end"/>
            </w:r>
            <w:r w:rsidRPr="00D84B79">
              <w:rPr>
                <w:lang w:val="fr-CH"/>
              </w:rPr>
              <w:br/>
            </w:r>
            <w:proofErr w:type="spellStart"/>
            <w:r w:rsidRPr="00D84B79">
              <w:rPr>
                <w:lang w:val="fr-CH"/>
              </w:rPr>
              <w:t>Website</w:t>
            </w:r>
            <w:proofErr w:type="spellEnd"/>
            <w:r w:rsidRPr="00D84B79">
              <w:rPr>
                <w:lang w:val="fr-CH"/>
              </w:rPr>
              <w:t xml:space="preserve">: </w:t>
            </w:r>
            <w:r w:rsidR="009358FD">
              <w:fldChar w:fldCharType="begin"/>
            </w:r>
            <w:r w:rsidR="009358FD" w:rsidRPr="009358FD">
              <w:rPr>
                <w:lang w:val="fr-FR"/>
              </w:rPr>
              <w:instrText xml:space="preserve"> HYPERLINK "http://ec.europa.eu/growth/tools-databases/tbt/en/" </w:instrText>
            </w:r>
            <w:r w:rsidR="009358FD">
              <w:fldChar w:fldCharType="separate"/>
            </w:r>
            <w:r w:rsidRPr="00D84B79">
              <w:rPr>
                <w:color w:val="0000FF"/>
                <w:u w:val="single"/>
                <w:lang w:val="fr-CH"/>
              </w:rPr>
              <w:t>http://ec.europa.eu/growth/tools-databases/tbt/en/</w:t>
            </w:r>
            <w:r w:rsidR="009358FD">
              <w:rPr>
                <w:color w:val="0000FF"/>
                <w:u w:val="single"/>
                <w:lang w:val="fr-CH"/>
              </w:rPr>
              <w:fldChar w:fldCharType="end"/>
            </w:r>
            <w:r w:rsidRPr="00D84B79">
              <w:rPr>
                <w:lang w:val="fr-CH"/>
              </w:rPr>
              <w:t xml:space="preserve"> </w:t>
            </w:r>
            <w:bookmarkEnd w:id="7"/>
          </w:p>
        </w:tc>
      </w:tr>
      <w:tr w:rsidR="00E27172" w:rsidTr="0069259F">
        <w:tc>
          <w:tcPr>
            <w:tcW w:w="713" w:type="dxa"/>
            <w:tcBorders>
              <w:top w:val="single" w:sz="6" w:space="0" w:color="auto"/>
              <w:bottom w:val="single" w:sz="6" w:space="0" w:color="auto"/>
            </w:tcBorders>
            <w:shd w:val="clear" w:color="auto" w:fill="auto"/>
          </w:tcPr>
          <w:p w:rsidR="00F85C99" w:rsidRPr="002F6A28" w:rsidRDefault="0049129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9129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27172" w:rsidTr="0069259F">
        <w:tc>
          <w:tcPr>
            <w:tcW w:w="713" w:type="dxa"/>
            <w:tcBorders>
              <w:top w:val="single" w:sz="6" w:space="0" w:color="auto"/>
              <w:bottom w:val="single" w:sz="6" w:space="0" w:color="auto"/>
            </w:tcBorders>
            <w:shd w:val="clear" w:color="auto" w:fill="auto"/>
          </w:tcPr>
          <w:p w:rsidR="00F85C99" w:rsidRPr="002F6A28" w:rsidRDefault="0049129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9129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w:t>
            </w:r>
            <w:r w:rsidR="00B07D07">
              <w:noBreakHyphen/>
            </w:r>
            <w:r w:rsidR="00EE3A11" w:rsidRPr="00C379C8">
              <w:t>formulants (non-active substance used in plant protection products or adjuvants)</w:t>
            </w:r>
            <w:bookmarkStart w:id="20" w:name="sps3a"/>
            <w:bookmarkEnd w:id="20"/>
          </w:p>
        </w:tc>
      </w:tr>
      <w:tr w:rsidR="00E27172" w:rsidTr="0069259F">
        <w:tc>
          <w:tcPr>
            <w:tcW w:w="713" w:type="dxa"/>
            <w:tcBorders>
              <w:top w:val="single" w:sz="6" w:space="0" w:color="auto"/>
              <w:bottom w:val="single" w:sz="6" w:space="0" w:color="auto"/>
            </w:tcBorders>
            <w:shd w:val="clear" w:color="auto" w:fill="auto"/>
          </w:tcPr>
          <w:p w:rsidR="00F85C99" w:rsidRPr="002F6A28" w:rsidRDefault="0049129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9129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Annex III to Regulation (EC) 1107/2009 of the European Parliament and of the Council listing co-formulants which are not accepted for inclusion in plant protection products (5 page(s), in English; 8 page(s), in English)</w:t>
            </w:r>
            <w:bookmarkStart w:id="22" w:name="sps5a"/>
            <w:bookmarkStart w:id="23" w:name="sps5c"/>
            <w:bookmarkStart w:id="24" w:name="sps5b"/>
            <w:bookmarkEnd w:id="22"/>
            <w:bookmarkEnd w:id="23"/>
            <w:bookmarkEnd w:id="24"/>
          </w:p>
        </w:tc>
      </w:tr>
      <w:tr w:rsidR="00E27172" w:rsidTr="0069259F">
        <w:tc>
          <w:tcPr>
            <w:tcW w:w="713" w:type="dxa"/>
            <w:tcBorders>
              <w:top w:val="single" w:sz="6" w:space="0" w:color="auto"/>
              <w:bottom w:val="single" w:sz="6" w:space="0" w:color="auto"/>
            </w:tcBorders>
            <w:shd w:val="clear" w:color="auto" w:fill="auto"/>
          </w:tcPr>
          <w:p w:rsidR="00F85C99" w:rsidRPr="002F6A28" w:rsidRDefault="0049129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9129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Co-formulants are used together with active substances in plant protection products and adjuvants and are thus spread in the environment in a comparable manner. Co-formulants are unacceptable in plant protection products and adjuvants if it is established that (a) their residues, consequent on application consistent with good plant protection practice, and having regard to realistic conditions of use, have a harmful effect on human or animal health or on groundwater or an unacceptable effect on the environment, or (b) if their use, consequent on application consistent with good plant protection practice, and having regard to realistic conditions of use, have a harmful effect on human or animal health or have an unacceptable effect on plants, plant products or the environment. These unacceptable co-formulants should be listed in the Annex III to Regulation (EC) No 1107/2009.</w:t>
            </w:r>
          </w:p>
          <w:p w:rsidR="00FE448B" w:rsidRPr="00C379C8" w:rsidRDefault="0049129B" w:rsidP="002F6A28">
            <w:pPr>
              <w:spacing w:after="120"/>
            </w:pPr>
            <w:r w:rsidRPr="00C379C8">
              <w:t xml:space="preserve">The draft Regulation will establish the first list of unacceptable co-formulants, based mainly on proposals from Member States of the EU who have identified the substances concerned earlier as unacceptable co-formulants in plant protection products or adjuvants. </w:t>
            </w:r>
          </w:p>
          <w:p w:rsidR="00FE448B" w:rsidRPr="00C379C8" w:rsidRDefault="0049129B" w:rsidP="002F6A28">
            <w:pPr>
              <w:spacing w:after="120"/>
            </w:pPr>
            <w:r w:rsidRPr="00C379C8">
              <w:t>Member States of the EU must amend or withdraw existing plant protection products or adjuvants containing the substances listed at the latest by 2 years from the date of entry into force. Any grace period granted by Member States in accordance with Article 46 of Regulation (EC) No 1107/2009 or national provisions for authorisation of adjuvants shall be as short as possible and shall expire for sale and distribution at the latest 3 months and for disposal, storage and use an additional 9 months after the date of withdrawal or amendment of the authorisation.</w:t>
            </w:r>
          </w:p>
        </w:tc>
      </w:tr>
      <w:tr w:rsidR="00E27172" w:rsidTr="0069259F">
        <w:tc>
          <w:tcPr>
            <w:tcW w:w="713" w:type="dxa"/>
            <w:tcBorders>
              <w:top w:val="single" w:sz="6" w:space="0" w:color="auto"/>
              <w:bottom w:val="single" w:sz="6" w:space="0" w:color="auto"/>
            </w:tcBorders>
            <w:shd w:val="clear" w:color="auto" w:fill="auto"/>
          </w:tcPr>
          <w:p w:rsidR="00F85C99" w:rsidRPr="002F6A28" w:rsidRDefault="0049129B"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9129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animal or plant life or health; Protection of the environment</w:t>
            </w:r>
            <w:bookmarkStart w:id="27" w:name="sps7f"/>
            <w:bookmarkEnd w:id="27"/>
          </w:p>
        </w:tc>
      </w:tr>
      <w:tr w:rsidR="00E27172" w:rsidTr="0069259F">
        <w:tc>
          <w:tcPr>
            <w:tcW w:w="713" w:type="dxa"/>
            <w:tcBorders>
              <w:top w:val="single" w:sz="6" w:space="0" w:color="auto"/>
              <w:bottom w:val="single" w:sz="6" w:space="0" w:color="auto"/>
            </w:tcBorders>
            <w:shd w:val="clear" w:color="auto" w:fill="auto"/>
          </w:tcPr>
          <w:p w:rsidR="00F85C99" w:rsidRPr="002F6A28" w:rsidRDefault="0049129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9129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AB4CC9" w:rsidRPr="002F6A28" w:rsidRDefault="0049129B" w:rsidP="009E75ED">
            <w:pPr>
              <w:numPr>
                <w:ilvl w:val="0"/>
                <w:numId w:val="16"/>
              </w:numPr>
              <w:spacing w:before="120" w:after="120"/>
              <w:jc w:val="left"/>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p>
          <w:p w:rsidR="00AB4CC9" w:rsidRPr="002F6A28" w:rsidRDefault="009358FD" w:rsidP="009E75ED">
            <w:pPr>
              <w:spacing w:after="120"/>
              <w:ind w:left="720"/>
              <w:jc w:val="left"/>
              <w:rPr>
                <w:bCs/>
              </w:rPr>
            </w:pPr>
            <w:hyperlink r:id="rId7" w:history="1">
              <w:hyperlink r:id="rId8" w:history="1">
                <w:r w:rsidR="0049129B" w:rsidRPr="002F6A28">
                  <w:rPr>
                    <w:bCs/>
                    <w:color w:val="0000FF"/>
                    <w:u w:val="single"/>
                  </w:rPr>
                  <w:t>http://eur-lex.europa.eu/legal-content/EN/TXT/PDF/?uri=CELEX:32009R1107&amp;qid=1437730988988&amp;from=EN</w:t>
                </w:r>
              </w:hyperlink>
            </w:hyperlink>
          </w:p>
        </w:tc>
      </w:tr>
      <w:tr w:rsidR="00E27172" w:rsidTr="00AE6CC8">
        <w:trPr>
          <w:cantSplit/>
        </w:trPr>
        <w:tc>
          <w:tcPr>
            <w:tcW w:w="713" w:type="dxa"/>
            <w:tcBorders>
              <w:top w:val="single" w:sz="6" w:space="0" w:color="auto"/>
              <w:bottom w:val="single" w:sz="6" w:space="0" w:color="auto"/>
            </w:tcBorders>
            <w:shd w:val="clear" w:color="auto" w:fill="auto"/>
          </w:tcPr>
          <w:p w:rsidR="00EE3A11" w:rsidRPr="002F6A28" w:rsidRDefault="0049129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9129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3</w:t>
            </w:r>
            <w:r w:rsidRPr="00AC29BB">
              <w:rPr>
                <w:vertAlign w:val="superscript"/>
              </w:rPr>
              <w:t>rd</w:t>
            </w:r>
            <w:r w:rsidRPr="002F6A28">
              <w:t xml:space="preserve"> quarter 2020</w:t>
            </w:r>
            <w:bookmarkEnd w:id="31"/>
          </w:p>
          <w:p w:rsidR="00EE3A11" w:rsidRPr="002F6A28" w:rsidRDefault="0049129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20 days following publication in the Official Journal of the EU</w:t>
            </w:r>
            <w:bookmarkEnd w:id="34"/>
          </w:p>
        </w:tc>
      </w:tr>
      <w:tr w:rsidR="00E27172" w:rsidTr="0069259F">
        <w:tc>
          <w:tcPr>
            <w:tcW w:w="713" w:type="dxa"/>
            <w:tcBorders>
              <w:top w:val="single" w:sz="6" w:space="0" w:color="auto"/>
              <w:bottom w:val="single" w:sz="6" w:space="0" w:color="auto"/>
            </w:tcBorders>
            <w:shd w:val="clear" w:color="auto" w:fill="auto"/>
          </w:tcPr>
          <w:p w:rsidR="00F85C99" w:rsidRPr="002F6A28" w:rsidRDefault="0049129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9129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27172" w:rsidTr="0069259F">
        <w:tc>
          <w:tcPr>
            <w:tcW w:w="713" w:type="dxa"/>
            <w:tcBorders>
              <w:top w:val="single" w:sz="6" w:space="0" w:color="auto"/>
            </w:tcBorders>
            <w:shd w:val="clear" w:color="auto" w:fill="auto"/>
          </w:tcPr>
          <w:p w:rsidR="00F85C99" w:rsidRPr="002F6A28" w:rsidRDefault="0049129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9129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9129B" w:rsidRPr="0049129B" w:rsidRDefault="0049129B" w:rsidP="00B16145">
            <w:pPr>
              <w:keepNext/>
              <w:keepLines/>
              <w:spacing w:before="120" w:after="120"/>
              <w:jc w:val="left"/>
              <w:rPr>
                <w:color w:val="0000FF"/>
                <w:u w:val="single"/>
                <w:lang w:val="fr-FR"/>
              </w:rPr>
            </w:pPr>
            <w:proofErr w:type="spellStart"/>
            <w:r w:rsidRPr="0049129B">
              <w:rPr>
                <w:lang w:val="fr-FR"/>
              </w:rPr>
              <w:t>European</w:t>
            </w:r>
            <w:proofErr w:type="spellEnd"/>
            <w:r w:rsidRPr="0049129B">
              <w:rPr>
                <w:lang w:val="fr-FR"/>
              </w:rPr>
              <w:t xml:space="preserve"> Commission</w:t>
            </w:r>
            <w:r w:rsidRPr="0049129B">
              <w:rPr>
                <w:lang w:val="fr-FR"/>
              </w:rPr>
              <w:br/>
              <w:t>EU-</w:t>
            </w:r>
            <w:proofErr w:type="spellStart"/>
            <w:r w:rsidRPr="0049129B">
              <w:rPr>
                <w:lang w:val="fr-FR"/>
              </w:rPr>
              <w:t>TBT</w:t>
            </w:r>
            <w:proofErr w:type="spellEnd"/>
            <w:r w:rsidRPr="0049129B">
              <w:rPr>
                <w:lang w:val="fr-FR"/>
              </w:rPr>
              <w:t xml:space="preserve"> </w:t>
            </w:r>
            <w:proofErr w:type="spellStart"/>
            <w:r w:rsidRPr="0049129B">
              <w:rPr>
                <w:lang w:val="fr-FR"/>
              </w:rPr>
              <w:t>Enquiry</w:t>
            </w:r>
            <w:proofErr w:type="spellEnd"/>
            <w:r w:rsidRPr="0049129B">
              <w:rPr>
                <w:lang w:val="fr-FR"/>
              </w:rPr>
              <w:t xml:space="preserve"> Point</w:t>
            </w:r>
            <w:r w:rsidRPr="0049129B">
              <w:rPr>
                <w:lang w:val="fr-FR"/>
              </w:rPr>
              <w:br/>
              <w:t>Fax: + (32) 2 299 80 43</w:t>
            </w:r>
            <w:r w:rsidRPr="0049129B">
              <w:rPr>
                <w:lang w:val="fr-FR"/>
              </w:rPr>
              <w:br/>
              <w:t xml:space="preserve">E-mail: </w:t>
            </w:r>
            <w:hyperlink r:id="rId9" w:history="1">
              <w:r w:rsidRPr="0049129B">
                <w:rPr>
                  <w:color w:val="0000FF"/>
                  <w:u w:val="single"/>
                  <w:lang w:val="fr-FR"/>
                </w:rPr>
                <w:t>grow-eu-tbt@ec.europa.eu</w:t>
              </w:r>
            </w:hyperlink>
          </w:p>
          <w:p w:rsidR="0049129B" w:rsidRDefault="0049129B" w:rsidP="00B16145">
            <w:pPr>
              <w:keepNext/>
              <w:keepLines/>
              <w:spacing w:before="120" w:after="120"/>
              <w:jc w:val="left"/>
            </w:pPr>
            <w:r w:rsidRPr="002F6A28">
              <w:t xml:space="preserve">The text is available on the EU-TBT Website: </w:t>
            </w:r>
          </w:p>
          <w:p w:rsidR="00AB4CC9" w:rsidRPr="002F6A28" w:rsidRDefault="0049129B" w:rsidP="00B16145">
            <w:pPr>
              <w:keepNext/>
              <w:keepLines/>
              <w:spacing w:before="120" w:after="120"/>
              <w:jc w:val="left"/>
            </w:pPr>
            <w:hyperlink r:id="rId10" w:history="1">
              <w:r w:rsidRPr="002F6A28">
                <w:rPr>
                  <w:color w:val="0000FF"/>
                  <w:u w:val="single"/>
                </w:rPr>
                <w:t>http://ec.europa.eu/growth/tools-databases/tbt/en/</w:t>
              </w:r>
            </w:hyperlink>
          </w:p>
          <w:p w:rsidR="00B07D07" w:rsidRDefault="009358FD" w:rsidP="00B16145">
            <w:pPr>
              <w:keepNext/>
              <w:keepLines/>
              <w:spacing w:before="120" w:after="120"/>
              <w:jc w:val="left"/>
            </w:pPr>
            <w:hyperlink r:id="rId11" w:history="1">
              <w:r w:rsidR="0049129B" w:rsidRPr="002F6A28">
                <w:rPr>
                  <w:color w:val="0000FF"/>
                  <w:u w:val="single"/>
                </w:rPr>
                <w:t>https://members.wto.org/crnattachments/2020/TBT/EEC/20_0515_00_e.pdf</w:t>
              </w:r>
            </w:hyperlink>
          </w:p>
          <w:p w:rsidR="00AB4CC9" w:rsidRPr="002F6A28" w:rsidRDefault="009358FD" w:rsidP="00B16145">
            <w:pPr>
              <w:keepNext/>
              <w:keepLines/>
              <w:spacing w:before="120" w:after="120"/>
              <w:jc w:val="left"/>
            </w:pPr>
            <w:hyperlink r:id="rId12" w:history="1">
              <w:r w:rsidR="0049129B" w:rsidRPr="002F6A28">
                <w:rPr>
                  <w:color w:val="0000FF"/>
                  <w:u w:val="single"/>
                </w:rPr>
                <w:t>https://members.wto.org/crnattachments/2020/TBT/EEC/20_0515_01_e.pdf</w:t>
              </w:r>
            </w:hyperlink>
            <w:bookmarkEnd w:id="40"/>
          </w:p>
        </w:tc>
      </w:tr>
    </w:tbl>
    <w:p w:rsidR="00EE3A11" w:rsidRPr="002F6A28" w:rsidRDefault="00EE3A11" w:rsidP="002F6A28"/>
    <w:sectPr w:rsidR="00EE3A11" w:rsidRPr="002F6A28" w:rsidSect="0049129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135"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EB" w:rsidRDefault="0049129B">
      <w:r>
        <w:separator/>
      </w:r>
    </w:p>
  </w:endnote>
  <w:endnote w:type="continuationSeparator" w:id="0">
    <w:p w:rsidR="00DF4DEB" w:rsidRDefault="004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9129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9129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9129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EB" w:rsidRDefault="0049129B">
      <w:r>
        <w:separator/>
      </w:r>
    </w:p>
  </w:footnote>
  <w:footnote w:type="continuationSeparator" w:id="0">
    <w:p w:rsidR="00DF4DEB" w:rsidRDefault="0049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9129B"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9129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9129B" w:rsidP="009239F7">
    <w:pPr>
      <w:pStyle w:val="En-tte"/>
      <w:pBdr>
        <w:bottom w:val="single" w:sz="4" w:space="1" w:color="auto"/>
      </w:pBdr>
      <w:tabs>
        <w:tab w:val="clear" w:pos="4513"/>
        <w:tab w:val="clear" w:pos="9027"/>
      </w:tabs>
      <w:jc w:val="center"/>
    </w:pPr>
    <w:bookmarkStart w:id="41" w:name="spsSymbolHeader"/>
    <w:r w:rsidRPr="002F6A28">
      <w:t>G/TBT/N/EU/696</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9129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717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27172" w:rsidTr="008612A9">
      <w:trPr>
        <w:trHeight w:val="213"/>
        <w:jc w:val="center"/>
      </w:trPr>
      <w:tc>
        <w:tcPr>
          <w:tcW w:w="3794" w:type="dxa"/>
          <w:vMerge w:val="restart"/>
          <w:shd w:val="clear" w:color="auto" w:fill="FFFFFF"/>
          <w:tcMar>
            <w:left w:w="0" w:type="dxa"/>
            <w:right w:w="0" w:type="dxa"/>
          </w:tcMar>
        </w:tcPr>
        <w:p w:rsidR="00ED54E0" w:rsidRPr="009239F7" w:rsidRDefault="0049129B" w:rsidP="00B801E9">
          <w:pPr>
            <w:jc w:val="left"/>
          </w:pPr>
          <w:r>
            <w:rPr>
              <w:noProof/>
              <w:lang w:eastAsia="en-GB"/>
            </w:rPr>
            <w:drawing>
              <wp:inline distT="0" distB="0" distL="0" distR="0">
                <wp:extent cx="2390775" cy="714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0981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2717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9129B" w:rsidP="00B801E9">
          <w:pPr>
            <w:jc w:val="right"/>
            <w:rPr>
              <w:b/>
              <w:szCs w:val="16"/>
            </w:rPr>
          </w:pPr>
          <w:bookmarkStart w:id="43" w:name="bmkSymbols"/>
          <w:r w:rsidRPr="002F6A28">
            <w:rPr>
              <w:b/>
              <w:szCs w:val="16"/>
            </w:rPr>
            <w:t>G/TBT/N/EU/696</w:t>
          </w:r>
          <w:bookmarkEnd w:id="43"/>
        </w:p>
      </w:tc>
    </w:tr>
    <w:tr w:rsidR="00E2717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9129B" w:rsidP="00B801E9">
          <w:pPr>
            <w:jc w:val="right"/>
            <w:rPr>
              <w:szCs w:val="16"/>
            </w:rPr>
          </w:pPr>
          <w:bookmarkStart w:id="44" w:name="spsDateDistribution"/>
          <w:bookmarkStart w:id="45" w:name="bmkDate"/>
          <w:bookmarkEnd w:id="44"/>
          <w:bookmarkEnd w:id="45"/>
          <w:r>
            <w:rPr>
              <w:szCs w:val="16"/>
            </w:rPr>
            <w:t>20 January 2020</w:t>
          </w:r>
        </w:p>
      </w:tc>
    </w:tr>
    <w:tr w:rsidR="00E2717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9129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358FD">
            <w:rPr>
              <w:color w:val="FF0000"/>
              <w:szCs w:val="16"/>
            </w:rPr>
            <w:t>0532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9129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2717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9129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9129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AC0FF4">
      <w:start w:val="1"/>
      <w:numFmt w:val="decimal"/>
      <w:pStyle w:val="SummaryText"/>
      <w:lvlText w:val="%1."/>
      <w:lvlJc w:val="left"/>
      <w:pPr>
        <w:ind w:left="360" w:hanging="360"/>
      </w:pPr>
    </w:lvl>
    <w:lvl w:ilvl="1" w:tplc="83885E86" w:tentative="1">
      <w:start w:val="1"/>
      <w:numFmt w:val="lowerLetter"/>
      <w:lvlText w:val="%2."/>
      <w:lvlJc w:val="left"/>
      <w:pPr>
        <w:ind w:left="1080" w:hanging="360"/>
      </w:pPr>
    </w:lvl>
    <w:lvl w:ilvl="2" w:tplc="AAD8B3BC" w:tentative="1">
      <w:start w:val="1"/>
      <w:numFmt w:val="lowerRoman"/>
      <w:lvlText w:val="%3."/>
      <w:lvlJc w:val="right"/>
      <w:pPr>
        <w:ind w:left="1800" w:hanging="180"/>
      </w:pPr>
    </w:lvl>
    <w:lvl w:ilvl="3" w:tplc="AFF6FF2C" w:tentative="1">
      <w:start w:val="1"/>
      <w:numFmt w:val="decimal"/>
      <w:lvlText w:val="%4."/>
      <w:lvlJc w:val="left"/>
      <w:pPr>
        <w:ind w:left="2520" w:hanging="360"/>
      </w:pPr>
    </w:lvl>
    <w:lvl w:ilvl="4" w:tplc="CB6EBE22" w:tentative="1">
      <w:start w:val="1"/>
      <w:numFmt w:val="lowerLetter"/>
      <w:lvlText w:val="%5."/>
      <w:lvlJc w:val="left"/>
      <w:pPr>
        <w:ind w:left="3240" w:hanging="360"/>
      </w:pPr>
    </w:lvl>
    <w:lvl w:ilvl="5" w:tplc="9ED4AD84" w:tentative="1">
      <w:start w:val="1"/>
      <w:numFmt w:val="lowerRoman"/>
      <w:lvlText w:val="%6."/>
      <w:lvlJc w:val="right"/>
      <w:pPr>
        <w:ind w:left="3960" w:hanging="180"/>
      </w:pPr>
    </w:lvl>
    <w:lvl w:ilvl="6" w:tplc="27207D88" w:tentative="1">
      <w:start w:val="1"/>
      <w:numFmt w:val="decimal"/>
      <w:lvlText w:val="%7."/>
      <w:lvlJc w:val="left"/>
      <w:pPr>
        <w:ind w:left="4680" w:hanging="360"/>
      </w:pPr>
    </w:lvl>
    <w:lvl w:ilvl="7" w:tplc="6F4AD1F0" w:tentative="1">
      <w:start w:val="1"/>
      <w:numFmt w:val="lowerLetter"/>
      <w:lvlText w:val="%8."/>
      <w:lvlJc w:val="left"/>
      <w:pPr>
        <w:ind w:left="5400" w:hanging="360"/>
      </w:pPr>
    </w:lvl>
    <w:lvl w:ilvl="8" w:tplc="670A76D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1E239FA">
      <w:start w:val="1"/>
      <w:numFmt w:val="bullet"/>
      <w:lvlText w:val=""/>
      <w:lvlJc w:val="left"/>
      <w:pPr>
        <w:ind w:left="720" w:hanging="360"/>
      </w:pPr>
      <w:rPr>
        <w:rFonts w:ascii="Symbol" w:hAnsi="Symbol"/>
      </w:rPr>
    </w:lvl>
    <w:lvl w:ilvl="1" w:tplc="7AB274E4">
      <w:start w:val="1"/>
      <w:numFmt w:val="bullet"/>
      <w:lvlText w:val="o"/>
      <w:lvlJc w:val="left"/>
      <w:pPr>
        <w:tabs>
          <w:tab w:val="num" w:pos="1440"/>
        </w:tabs>
        <w:ind w:left="1440" w:hanging="360"/>
      </w:pPr>
      <w:rPr>
        <w:rFonts w:ascii="Courier New" w:hAnsi="Courier New"/>
      </w:rPr>
    </w:lvl>
    <w:lvl w:ilvl="2" w:tplc="F168DB86">
      <w:start w:val="1"/>
      <w:numFmt w:val="bullet"/>
      <w:lvlText w:val=""/>
      <w:lvlJc w:val="left"/>
      <w:pPr>
        <w:tabs>
          <w:tab w:val="num" w:pos="2160"/>
        </w:tabs>
        <w:ind w:left="2160" w:hanging="360"/>
      </w:pPr>
      <w:rPr>
        <w:rFonts w:ascii="Wingdings" w:hAnsi="Wingdings"/>
      </w:rPr>
    </w:lvl>
    <w:lvl w:ilvl="3" w:tplc="41A82154">
      <w:start w:val="1"/>
      <w:numFmt w:val="bullet"/>
      <w:lvlText w:val=""/>
      <w:lvlJc w:val="left"/>
      <w:pPr>
        <w:tabs>
          <w:tab w:val="num" w:pos="2880"/>
        </w:tabs>
        <w:ind w:left="2880" w:hanging="360"/>
      </w:pPr>
      <w:rPr>
        <w:rFonts w:ascii="Symbol" w:hAnsi="Symbol"/>
      </w:rPr>
    </w:lvl>
    <w:lvl w:ilvl="4" w:tplc="05A86E4A">
      <w:start w:val="1"/>
      <w:numFmt w:val="bullet"/>
      <w:lvlText w:val="o"/>
      <w:lvlJc w:val="left"/>
      <w:pPr>
        <w:tabs>
          <w:tab w:val="num" w:pos="3600"/>
        </w:tabs>
        <w:ind w:left="3600" w:hanging="360"/>
      </w:pPr>
      <w:rPr>
        <w:rFonts w:ascii="Courier New" w:hAnsi="Courier New"/>
      </w:rPr>
    </w:lvl>
    <w:lvl w:ilvl="5" w:tplc="88743916">
      <w:start w:val="1"/>
      <w:numFmt w:val="bullet"/>
      <w:lvlText w:val=""/>
      <w:lvlJc w:val="left"/>
      <w:pPr>
        <w:tabs>
          <w:tab w:val="num" w:pos="4320"/>
        </w:tabs>
        <w:ind w:left="4320" w:hanging="360"/>
      </w:pPr>
      <w:rPr>
        <w:rFonts w:ascii="Wingdings" w:hAnsi="Wingdings"/>
      </w:rPr>
    </w:lvl>
    <w:lvl w:ilvl="6" w:tplc="5D586B52">
      <w:start w:val="1"/>
      <w:numFmt w:val="bullet"/>
      <w:lvlText w:val=""/>
      <w:lvlJc w:val="left"/>
      <w:pPr>
        <w:tabs>
          <w:tab w:val="num" w:pos="5040"/>
        </w:tabs>
        <w:ind w:left="5040" w:hanging="360"/>
      </w:pPr>
      <w:rPr>
        <w:rFonts w:ascii="Symbol" w:hAnsi="Symbol"/>
      </w:rPr>
    </w:lvl>
    <w:lvl w:ilvl="7" w:tplc="C16AB3D8">
      <w:start w:val="1"/>
      <w:numFmt w:val="bullet"/>
      <w:lvlText w:val="o"/>
      <w:lvlJc w:val="left"/>
      <w:pPr>
        <w:tabs>
          <w:tab w:val="num" w:pos="5760"/>
        </w:tabs>
        <w:ind w:left="5760" w:hanging="360"/>
      </w:pPr>
      <w:rPr>
        <w:rFonts w:ascii="Courier New" w:hAnsi="Courier New"/>
      </w:rPr>
    </w:lvl>
    <w:lvl w:ilvl="8" w:tplc="0E5ADDC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129B"/>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58FD"/>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4CC9"/>
    <w:rsid w:val="00AC27F8"/>
    <w:rsid w:val="00AC29BB"/>
    <w:rsid w:val="00AC6C6E"/>
    <w:rsid w:val="00AD3A28"/>
    <w:rsid w:val="00AD4C72"/>
    <w:rsid w:val="00AE118B"/>
    <w:rsid w:val="00AE2372"/>
    <w:rsid w:val="00AE2AEE"/>
    <w:rsid w:val="00AE6CC8"/>
    <w:rsid w:val="00AF3330"/>
    <w:rsid w:val="00B00276"/>
    <w:rsid w:val="00B07D07"/>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4B79"/>
    <w:rsid w:val="00D9226C"/>
    <w:rsid w:val="00DA20BD"/>
    <w:rsid w:val="00DE50DB"/>
    <w:rsid w:val="00DF4DEB"/>
    <w:rsid w:val="00DF6AE1"/>
    <w:rsid w:val="00E147CB"/>
    <w:rsid w:val="00E20B42"/>
    <w:rsid w:val="00E25473"/>
    <w:rsid w:val="00E27172"/>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53C5"/>
  <w15:docId w15:val="{ED598C2D-ACBF-4A05-A4DC-BB276679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legal-content/EN/TXT/PDF/?uri=CELEX:32009R1107&amp;qid=1437730988988&amp;from=EN" TargetMode="External"/><Relationship Id="rId12" Type="http://schemas.openxmlformats.org/officeDocument/2006/relationships/hyperlink" Target="https://members.wto.org/crnattachments/2020/TBT/EEC/20_0515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EEC/20_0515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2020-01-17T09:09:00Z</dcterms:created>
  <dcterms:modified xsi:type="dcterms:W3CDTF">2020-01-20T14:42:00Z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