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F1E5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F1E5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E3D2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:rsidR="00F85C99" w:rsidRPr="002F6A28" w:rsidRDefault="00BF1E5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E3D2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:rsidR="00F85C99" w:rsidRPr="002F6A28" w:rsidRDefault="00BF1E5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E42DB2" w:rsidRPr="002F6A28" w:rsidRDefault="00BF1E50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 xml:space="preserve">Tel: + (972) 3 7347501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7"/>
          </w:p>
        </w:tc>
      </w:tr>
      <w:tr w:rsidR="009E3D2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F1E5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E3D2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Soft baby carriers; (HS: 630790); (ICS: 97.140)</w:t>
            </w:r>
            <w:bookmarkStart w:id="20" w:name="sps3a"/>
            <w:bookmarkEnd w:id="20"/>
          </w:p>
        </w:tc>
      </w:tr>
      <w:tr w:rsidR="009E3D2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Child use and care articles – Baby carriers – Safety requirements and test methods: Soft carriers (30 page(s), in English; 7 page(s), in Hebrew)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E3D2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Revision of the Mandatory Standard SI 13209 part 2, dealing with soft baby carriers. This draft standard revision adopts both the European Standard EN 13209-2: December 2015 and the American Standard ASTM F2236 – 16a and allows for compliance with either. The standard's Hebrew section includes national deviations from each adopted international standard as follows:</w:t>
            </w:r>
          </w:p>
          <w:p w:rsidR="00FE448B" w:rsidRPr="00C379C8" w:rsidRDefault="00BF1E50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The European route of compliance (Chapter A) includes the following national deviations: </w:t>
            </w:r>
          </w:p>
          <w:p w:rsidR="00FE448B" w:rsidRPr="00C379C8" w:rsidRDefault="00BF1E50" w:rsidP="002F6A28">
            <w:pPr>
              <w:numPr>
                <w:ilvl w:val="1"/>
                <w:numId w:val="16"/>
              </w:numPr>
              <w:spacing w:before="120" w:after="120"/>
              <w:jc w:val="left"/>
            </w:pPr>
            <w:r w:rsidRPr="00C379C8">
              <w:t>Adds to the informative Annex A dealing with warnings, another line 10.4-10.4.2 relating to stability and to sports activity while attaching a baby carrier.</w:t>
            </w:r>
          </w:p>
          <w:p w:rsidR="00FE448B" w:rsidRPr="00C379C8" w:rsidRDefault="00BF1E50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The American route of compliance (Chapter B) includes the following national deviations: </w:t>
            </w:r>
          </w:p>
          <w:p w:rsidR="00FE448B" w:rsidRPr="00C379C8" w:rsidRDefault="00BF1E50" w:rsidP="002F6A28">
            <w:pPr>
              <w:numPr>
                <w:ilvl w:val="1"/>
                <w:numId w:val="17"/>
              </w:numPr>
              <w:spacing w:before="120" w:after="120"/>
              <w:jc w:val="left"/>
            </w:pPr>
            <w:r w:rsidRPr="00C379C8">
              <w:t>Adds to section 8 dealing with the marking and labeling a requirement that the warnings should be in Hebrew, with one exception. Annex A provides an official translation of all required warnings;</w:t>
            </w:r>
          </w:p>
          <w:p w:rsidR="00FE448B" w:rsidRPr="00C379C8" w:rsidRDefault="00BF1E50" w:rsidP="002F6A28">
            <w:pPr>
              <w:numPr>
                <w:ilvl w:val="1"/>
                <w:numId w:val="17"/>
              </w:numPr>
              <w:spacing w:before="120" w:after="120"/>
              <w:jc w:val="left"/>
            </w:pPr>
            <w:r w:rsidRPr="00C379C8">
              <w:t>Changes the wording of section 8.3.</w:t>
            </w:r>
          </w:p>
        </w:tc>
      </w:tr>
      <w:tr w:rsidR="009E3D2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</w:t>
            </w:r>
            <w:bookmarkStart w:id="27" w:name="sps7f"/>
            <w:bookmarkEnd w:id="27"/>
          </w:p>
        </w:tc>
      </w:tr>
      <w:tr w:rsidR="009E3D2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F1E5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42DB2" w:rsidRPr="002F6A28" w:rsidRDefault="00BF1E50" w:rsidP="009E75ED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Israel Mandatory Standard SI 13209 part 2 (February 2016);</w:t>
            </w:r>
          </w:p>
          <w:p w:rsidR="00E42DB2" w:rsidRPr="002F6A28" w:rsidRDefault="00BF1E50" w:rsidP="009E75ED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European Standard EN 13209-2: December 2015;</w:t>
            </w:r>
          </w:p>
          <w:p w:rsidR="00E42DB2" w:rsidRPr="002F6A28" w:rsidRDefault="00BF1E50" w:rsidP="009E75ED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American Standard ASTM F2236 – 16a .</w:t>
            </w:r>
          </w:p>
        </w:tc>
      </w:tr>
      <w:tr w:rsidR="009E3D2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F1E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F1E5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BF1E5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Generally, 60 days after publication in Israel Official Gazette, Section of Government Notices</w:t>
            </w:r>
            <w:bookmarkEnd w:id="34"/>
          </w:p>
        </w:tc>
      </w:tr>
      <w:tr w:rsidR="009E3D26" w:rsidTr="00BF1E50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F1E5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E3D26" w:rsidTr="00BF1E50">
        <w:tc>
          <w:tcPr>
            <w:tcW w:w="71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85C99" w:rsidRPr="002F6A28" w:rsidRDefault="00BF1E5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85C99" w:rsidRPr="002F6A28" w:rsidRDefault="00BF1E5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E42DB2" w:rsidRPr="002F6A28" w:rsidRDefault="00BF1E50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WTO-TBT Enquiry Point </w:t>
            </w:r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r w:rsidRPr="002F6A28">
              <w:t xml:space="preserve"> </w:t>
            </w:r>
          </w:p>
          <w:p w:rsidR="00E42DB2" w:rsidRPr="002F6A28" w:rsidRDefault="001724B9" w:rsidP="00B16145">
            <w:pPr>
              <w:keepNext/>
              <w:keepLines/>
              <w:spacing w:before="120" w:after="120"/>
            </w:pPr>
            <w:hyperlink r:id="rId9" w:history="1">
              <w:r w:rsidR="00BF1E50" w:rsidRPr="002F6A28">
                <w:rPr>
                  <w:color w:val="0000FF"/>
                  <w:u w:val="single"/>
                </w:rPr>
                <w:t>https://members.wto.org/crnattachments/2020/TBT/ISR/20_5700_00_x.pdf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C2" w:rsidRDefault="00BF1E50">
      <w:r>
        <w:separator/>
      </w:r>
    </w:p>
  </w:endnote>
  <w:endnote w:type="continuationSeparator" w:id="0">
    <w:p w:rsidR="00FD1AC2" w:rsidRDefault="00BF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F1E5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F1E5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F1E5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C2" w:rsidRDefault="00BF1E50">
      <w:r>
        <w:separator/>
      </w:r>
    </w:p>
  </w:footnote>
  <w:footnote w:type="continuationSeparator" w:id="0">
    <w:p w:rsidR="00FD1AC2" w:rsidRDefault="00BF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F1E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F1E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F1E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G/TBT/N/ISR/1173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F1E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3D2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E3D2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F1E5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0998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E3D2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BF1E5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G/TBT/N/ISR/1173</w:t>
          </w:r>
          <w:bookmarkEnd w:id="43"/>
        </w:p>
      </w:tc>
    </w:tr>
    <w:tr w:rsidR="009E3D2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C45C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24 September 2020</w:t>
          </w:r>
        </w:p>
      </w:tc>
    </w:tr>
    <w:tr w:rsidR="009E3D2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F1E5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EC45CB">
            <w:rPr>
              <w:color w:val="FF0000"/>
              <w:szCs w:val="16"/>
            </w:rPr>
            <w:t>20-</w:t>
          </w:r>
          <w:r w:rsidR="001724B9">
            <w:rPr>
              <w:color w:val="FF0000"/>
              <w:szCs w:val="16"/>
            </w:rPr>
            <w:t>6483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F1E5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E3D2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F1E5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F1E5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4279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A0B1AC" w:tentative="1">
      <w:start w:val="1"/>
      <w:numFmt w:val="lowerLetter"/>
      <w:lvlText w:val="%2."/>
      <w:lvlJc w:val="left"/>
      <w:pPr>
        <w:ind w:left="1080" w:hanging="360"/>
      </w:pPr>
    </w:lvl>
    <w:lvl w:ilvl="2" w:tplc="C14638C2" w:tentative="1">
      <w:start w:val="1"/>
      <w:numFmt w:val="lowerRoman"/>
      <w:lvlText w:val="%3."/>
      <w:lvlJc w:val="right"/>
      <w:pPr>
        <w:ind w:left="1800" w:hanging="180"/>
      </w:pPr>
    </w:lvl>
    <w:lvl w:ilvl="3" w:tplc="C876F38A" w:tentative="1">
      <w:start w:val="1"/>
      <w:numFmt w:val="decimal"/>
      <w:lvlText w:val="%4."/>
      <w:lvlJc w:val="left"/>
      <w:pPr>
        <w:ind w:left="2520" w:hanging="360"/>
      </w:pPr>
    </w:lvl>
    <w:lvl w:ilvl="4" w:tplc="92BE3154" w:tentative="1">
      <w:start w:val="1"/>
      <w:numFmt w:val="lowerLetter"/>
      <w:lvlText w:val="%5."/>
      <w:lvlJc w:val="left"/>
      <w:pPr>
        <w:ind w:left="3240" w:hanging="360"/>
      </w:pPr>
    </w:lvl>
    <w:lvl w:ilvl="5" w:tplc="A8BCE5D0" w:tentative="1">
      <w:start w:val="1"/>
      <w:numFmt w:val="lowerRoman"/>
      <w:lvlText w:val="%6."/>
      <w:lvlJc w:val="right"/>
      <w:pPr>
        <w:ind w:left="3960" w:hanging="180"/>
      </w:pPr>
    </w:lvl>
    <w:lvl w:ilvl="6" w:tplc="EBB2A66A" w:tentative="1">
      <w:start w:val="1"/>
      <w:numFmt w:val="decimal"/>
      <w:lvlText w:val="%7."/>
      <w:lvlJc w:val="left"/>
      <w:pPr>
        <w:ind w:left="4680" w:hanging="360"/>
      </w:pPr>
    </w:lvl>
    <w:lvl w:ilvl="7" w:tplc="A2868606" w:tentative="1">
      <w:start w:val="1"/>
      <w:numFmt w:val="lowerLetter"/>
      <w:lvlText w:val="%8."/>
      <w:lvlJc w:val="left"/>
      <w:pPr>
        <w:ind w:left="5400" w:hanging="360"/>
      </w:pPr>
    </w:lvl>
    <w:lvl w:ilvl="8" w:tplc="2B7E0A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hybridMultilevel"/>
    <w:tmpl w:val="63D526BC"/>
    <w:lvl w:ilvl="0" w:tplc="F9D272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B486D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91C87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74D2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14C8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B093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0A36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A6CF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40C3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A3E874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981D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86F7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1AC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5A59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742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808E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04BC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240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24B9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1392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71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3D26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1E50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2DB2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45CB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1AC2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78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ISR/20_5700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2020-09-24T08:20:00Z</dcterms:created>
  <dcterms:modified xsi:type="dcterms:W3CDTF">2020-09-24T08:32:00Z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320ec6aa-384c-4f65-8cc7-4c26bb312245</vt:lpwstr>
  </property>
  <property fmtid="{D5CDD505-2E9C-101B-9397-08002B2CF9AE}" pid="4" name="WTOCLASSIFICATION">
    <vt:lpwstr>WTO OFFICIAL</vt:lpwstr>
  </property>
</Properties>
</file>