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D2224" w:rsidP="002F6A28">
      <w:pPr>
        <w:pStyle w:val="Titre"/>
        <w:rPr>
          <w:caps w:val="0"/>
          <w:kern w:val="0"/>
        </w:rPr>
      </w:pPr>
      <w:r w:rsidRPr="002F6A28">
        <w:rPr>
          <w:caps w:val="0"/>
          <w:kern w:val="0"/>
        </w:rPr>
        <w:t>NOTIFICATION</w:t>
      </w:r>
    </w:p>
    <w:p w:rsidR="009239F7" w:rsidRPr="002F6A28" w:rsidRDefault="009D222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D729F" w:rsidTr="0069259F">
        <w:tc>
          <w:tcPr>
            <w:tcW w:w="713" w:type="dxa"/>
            <w:tcBorders>
              <w:bottom w:val="single" w:sz="6" w:space="0" w:color="auto"/>
            </w:tcBorders>
            <w:shd w:val="clear" w:color="auto" w:fill="auto"/>
          </w:tcPr>
          <w:p w:rsidR="00F85C99" w:rsidRPr="002F6A28" w:rsidRDefault="009D222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D222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rsidR="00F85C99" w:rsidRPr="002F6A28" w:rsidRDefault="009D222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D222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D333D4" w:rsidRPr="002F6A28" w:rsidRDefault="009D2224" w:rsidP="00155128">
            <w:pPr>
              <w:spacing w:before="120" w:after="120"/>
              <w:jc w:val="left"/>
            </w:pPr>
            <w:r w:rsidRPr="002F6A28">
              <w:t>Department for Technical Regulation and Accreditation of the Eurasian Economic Commission</w:t>
            </w:r>
            <w:r w:rsidRPr="002F6A28">
              <w:br/>
              <w:t xml:space="preserve">Tel: +7(495)669-24-00 </w:t>
            </w:r>
            <w:r w:rsidRPr="002F6A28">
              <w:br/>
              <w:t xml:space="preserve">E-mail: </w:t>
            </w:r>
            <w:hyperlink r:id="rId7" w:history="1">
              <w:r w:rsidRPr="002F6A28">
                <w:rPr>
                  <w:color w:val="0000FF"/>
                  <w:u w:val="single"/>
                </w:rPr>
                <w:t>dept_techregulation@eurasiancommission.org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bookmarkEnd w:id="5"/>
          </w:p>
          <w:p w:rsidR="00F85C99" w:rsidRPr="002F6A28" w:rsidRDefault="009D222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D333D4" w:rsidRPr="002F6A28" w:rsidRDefault="009D2224" w:rsidP="00AA646C">
            <w:pPr>
              <w:spacing w:after="120"/>
              <w:jc w:val="left"/>
            </w:pPr>
            <w:r w:rsidRPr="002F6A28">
              <w:t xml:space="preserve">Russian Scientific and Technical Centre for Information on Standardization, Metrology and Conformity Assessment (Standartinform, National enquiry point for the TBT Agreement) </w:t>
            </w:r>
            <w:r w:rsidRPr="002F6A28">
              <w:br/>
              <w:t xml:space="preserve">Tel: +7(495) 531-26-59 </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bookmarkEnd w:id="7"/>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D222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D222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Machines and equipment</w:t>
            </w:r>
            <w:bookmarkStart w:id="20" w:name="sps3a"/>
            <w:bookmarkEnd w:id="20"/>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D222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the technical regulation of the Customs Union "On safety of machines and equipment". (29 page(s), in Russian)</w:t>
            </w:r>
            <w:bookmarkStart w:id="22" w:name="sps5a"/>
            <w:bookmarkStart w:id="23" w:name="sps5c"/>
            <w:bookmarkStart w:id="24" w:name="sps5b"/>
            <w:bookmarkEnd w:id="22"/>
            <w:bookmarkEnd w:id="23"/>
            <w:bookmarkEnd w:id="24"/>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D222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Draft amendments to the Customs Union technical regulation provide clarifications regarding: define term applied to type sample of a machine and/or equipment, statement in the Article 6 TR CU 010/2011 "Ensuring compliance with safety requirements", amendments to the Article 7 "Conformity Assessment", the Article 8 "Procedure for declaring conformity of machines and/or equipment", the Article 9 "Research of the type of machines and/or equipment", the Article 10 "Certification procedure of machines and/or equipment", the Article 11 "Applying a uniform mark of product circulation in the market of the Customs Union", the Article 12 "Safeguard clause".</w:t>
            </w:r>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D222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89677C">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D2224" w:rsidP="009D2224">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89677C" w:rsidRDefault="009D2224" w:rsidP="009D2224">
            <w:pPr>
              <w:keepNext/>
              <w:keepLines/>
              <w:numPr>
                <w:ilvl w:val="0"/>
                <w:numId w:val="16"/>
              </w:numPr>
              <w:spacing w:before="120" w:after="120"/>
              <w:rPr>
                <w:bCs/>
              </w:rPr>
            </w:pPr>
            <w:r w:rsidRPr="0089677C">
              <w:rPr>
                <w:bCs/>
              </w:rPr>
              <w:t>Draft amendments to the Technical regulation of the Customs Union "On safety of machines and equipment" provide clarifications regarding the establishment of forms, schemes, and procedures for conformity assessment on the basis of standard conformity assessment schemes approved by the Secision of Commission N° 44.</w:t>
            </w:r>
          </w:p>
          <w:p w:rsidR="00D333D4" w:rsidRPr="0089677C" w:rsidRDefault="00DC2CBA" w:rsidP="009D2224">
            <w:pPr>
              <w:keepNext/>
              <w:keepLines/>
              <w:spacing w:before="120" w:after="120"/>
              <w:ind w:left="720"/>
              <w:rPr>
                <w:bCs/>
              </w:rPr>
            </w:pPr>
            <w:hyperlink r:id="rId11" w:history="1">
              <w:hyperlink r:id="rId12" w:history="1">
                <w:r w:rsidR="009D2224" w:rsidRPr="0089677C">
                  <w:rPr>
                    <w:bCs/>
                    <w:color w:val="0000FF"/>
                    <w:u w:val="single"/>
                  </w:rPr>
                  <w:t>https://docs.eaeunion.org/pd/ru-ru/0104412/pd_23122019</w:t>
                </w:r>
              </w:hyperlink>
            </w:hyperlink>
          </w:p>
          <w:p w:rsidR="0089677C" w:rsidRDefault="009D2224" w:rsidP="009D2224">
            <w:pPr>
              <w:keepNext/>
              <w:keepLines/>
              <w:numPr>
                <w:ilvl w:val="0"/>
                <w:numId w:val="17"/>
              </w:numPr>
              <w:spacing w:before="120" w:after="120"/>
              <w:rPr>
                <w:bCs/>
              </w:rPr>
            </w:pPr>
            <w:r w:rsidRPr="002F6A28">
              <w:rPr>
                <w:bCs/>
              </w:rPr>
              <w:t>The Technical Regulation of the Customs Union "On safety of machinery and equipment" approved by the Decision of the Commission N° 823.</w:t>
            </w:r>
            <w:r>
              <w:rPr>
                <w:bCs/>
              </w:rPr>
              <w:t xml:space="preserve"> </w:t>
            </w:r>
          </w:p>
          <w:p w:rsidR="00D333D4" w:rsidRPr="0089677C" w:rsidRDefault="009D2224" w:rsidP="009D2224">
            <w:pPr>
              <w:keepNext/>
              <w:keepLines/>
              <w:spacing w:before="120" w:after="120"/>
              <w:ind w:left="720"/>
              <w:rPr>
                <w:bCs/>
              </w:rPr>
            </w:pPr>
            <w:r w:rsidRPr="0089677C">
              <w:rPr>
                <w:bCs/>
              </w:rPr>
              <w:t>http://www.eurasiancommission.org/ru/acttexnreg/deptexreg/tr/Pages/bezop </w:t>
            </w:r>
          </w:p>
        </w:tc>
      </w:tr>
      <w:tr w:rsidR="008D729F" w:rsidTr="00AE6CC8">
        <w:trPr>
          <w:cantSplit/>
        </w:trPr>
        <w:tc>
          <w:tcPr>
            <w:tcW w:w="713" w:type="dxa"/>
            <w:tcBorders>
              <w:top w:val="single" w:sz="6" w:space="0" w:color="auto"/>
              <w:bottom w:val="single" w:sz="6" w:space="0" w:color="auto"/>
            </w:tcBorders>
            <w:shd w:val="clear" w:color="auto" w:fill="auto"/>
          </w:tcPr>
          <w:p w:rsidR="00EE3A11" w:rsidRPr="002F6A28" w:rsidRDefault="009D222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D222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9D222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D729F" w:rsidTr="0069259F">
        <w:tc>
          <w:tcPr>
            <w:tcW w:w="713" w:type="dxa"/>
            <w:tcBorders>
              <w:top w:val="single" w:sz="6" w:space="0" w:color="auto"/>
              <w:bottom w:val="single" w:sz="6" w:space="0" w:color="auto"/>
            </w:tcBorders>
            <w:shd w:val="clear" w:color="auto" w:fill="auto"/>
          </w:tcPr>
          <w:p w:rsidR="00F85C99" w:rsidRPr="002F6A28" w:rsidRDefault="009D222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D2224" w:rsidP="002F6A28">
            <w:pPr>
              <w:spacing w:before="120" w:after="120"/>
            </w:pPr>
            <w:bookmarkStart w:id="35" w:name="X_TBT_Reg_10A"/>
            <w:r w:rsidRPr="002F6A28">
              <w:rPr>
                <w:b/>
              </w:rPr>
              <w:t>Final date for comments</w:t>
            </w:r>
            <w:bookmarkEnd w:id="35"/>
            <w:r w:rsidRPr="002F6A28">
              <w:rPr>
                <w:b/>
              </w:rPr>
              <w:t>:</w:t>
            </w:r>
            <w:r w:rsidR="00EE3A11" w:rsidRPr="00C379C8">
              <w:t xml:space="preserve"> 10 April 2020</w:t>
            </w:r>
            <w:bookmarkStart w:id="36" w:name="sps12a"/>
            <w:bookmarkEnd w:id="36"/>
          </w:p>
        </w:tc>
      </w:tr>
      <w:tr w:rsidR="008D729F" w:rsidTr="0069259F">
        <w:tc>
          <w:tcPr>
            <w:tcW w:w="713" w:type="dxa"/>
            <w:tcBorders>
              <w:top w:val="single" w:sz="6" w:space="0" w:color="auto"/>
            </w:tcBorders>
            <w:shd w:val="clear" w:color="auto" w:fill="auto"/>
          </w:tcPr>
          <w:p w:rsidR="00F85C99" w:rsidRPr="002F6A28" w:rsidRDefault="009D222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D222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333D4" w:rsidRPr="002F6A28" w:rsidRDefault="009D2224" w:rsidP="00B16145">
            <w:pPr>
              <w:keepNext/>
              <w:keepLines/>
              <w:spacing w:before="120" w:after="120"/>
              <w:jc w:val="left"/>
            </w:pPr>
            <w:r w:rsidRPr="002F6A28">
              <w:t>Eurasian Economic Commission</w:t>
            </w:r>
            <w:r w:rsidRPr="002F6A28">
              <w:br/>
              <w:t>Department for Technical Regulation and Accreditation</w:t>
            </w:r>
            <w:r w:rsidRPr="002F6A28">
              <w:br/>
              <w:t>Tel: +7(495)669-24-00</w:t>
            </w:r>
            <w:r w:rsidRPr="002F6A28">
              <w:br/>
              <w:t>Fax: +7(495)669-24-15</w:t>
            </w:r>
            <w:r w:rsidRPr="002F6A28">
              <w:br/>
              <w:t xml:space="preserve">E-mail: </w:t>
            </w:r>
            <w:hyperlink r:id="rId13" w:history="1">
              <w:r w:rsidRPr="002F6A28">
                <w:rPr>
                  <w:color w:val="0000FF"/>
                  <w:u w:val="single"/>
                </w:rPr>
                <w:t>dept_techregulation@eurasiancommission.org</w:t>
              </w:r>
            </w:hyperlink>
            <w:r w:rsidRPr="002F6A28">
              <w:br/>
              <w:t xml:space="preserve">Website: </w:t>
            </w:r>
            <w:hyperlink r:id="rId14" w:history="1">
              <w:r w:rsidRPr="002F6A28">
                <w:rPr>
                  <w:color w:val="0000FF"/>
                  <w:u w:val="single"/>
                </w:rPr>
                <w:t>www.eurasiancommission.org</w:t>
              </w:r>
            </w:hyperlink>
          </w:p>
          <w:p w:rsidR="0089677C" w:rsidRDefault="00DC2CBA" w:rsidP="00B16145">
            <w:pPr>
              <w:keepNext/>
              <w:keepLines/>
              <w:spacing w:before="120" w:after="120"/>
              <w:jc w:val="left"/>
            </w:pPr>
            <w:hyperlink r:id="rId15" w:history="1">
              <w:r w:rsidR="009D2224" w:rsidRPr="002F6A28">
                <w:rPr>
                  <w:color w:val="0000FF"/>
                  <w:u w:val="single"/>
                </w:rPr>
                <w:t>https://docs.eaeunion.org/pd/ru-ru/0104412/pd_23122019</w:t>
              </w:r>
            </w:hyperlink>
          </w:p>
          <w:p w:rsidR="00D333D4" w:rsidRPr="0089677C" w:rsidRDefault="00DC2CBA" w:rsidP="00B16145">
            <w:pPr>
              <w:keepNext/>
              <w:keepLines/>
              <w:spacing w:before="120" w:after="120"/>
              <w:jc w:val="left"/>
            </w:pPr>
            <w:hyperlink r:id="rId16" w:history="1">
              <w:r w:rsidR="009D2224" w:rsidRPr="0089677C">
                <w:t>http://www.eurasiancommission.org/ru/acttexnreg/deptexreg/tr/Pages/bezop.aspx</w:t>
              </w:r>
            </w:hyperlink>
            <w:bookmarkEnd w:id="40"/>
          </w:p>
        </w:tc>
      </w:tr>
    </w:tbl>
    <w:p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02A" w:rsidRDefault="009D2224">
      <w:r>
        <w:separator/>
      </w:r>
    </w:p>
  </w:endnote>
  <w:endnote w:type="continuationSeparator" w:id="0">
    <w:p w:rsidR="0054102A" w:rsidRDefault="009D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D222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D222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D222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02A" w:rsidRDefault="009D2224">
      <w:r>
        <w:separator/>
      </w:r>
    </w:p>
  </w:footnote>
  <w:footnote w:type="continuationSeparator" w:id="0">
    <w:p w:rsidR="0054102A" w:rsidRDefault="009D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D2224"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D222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D2224" w:rsidP="009239F7">
    <w:pPr>
      <w:pStyle w:val="En-tte"/>
      <w:pBdr>
        <w:bottom w:val="single" w:sz="4" w:space="1" w:color="auto"/>
      </w:pBdr>
      <w:tabs>
        <w:tab w:val="clear" w:pos="4513"/>
        <w:tab w:val="clear" w:pos="9027"/>
      </w:tabs>
      <w:jc w:val="center"/>
    </w:pPr>
    <w:bookmarkStart w:id="41" w:name="spsSymbolHeader"/>
    <w:r w:rsidRPr="002F6A28">
      <w:t>G/TBT/N/RUS/97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D222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729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D729F" w:rsidTr="008612A9">
      <w:trPr>
        <w:trHeight w:val="213"/>
        <w:jc w:val="center"/>
      </w:trPr>
      <w:tc>
        <w:tcPr>
          <w:tcW w:w="3794" w:type="dxa"/>
          <w:vMerge w:val="restart"/>
          <w:shd w:val="clear" w:color="auto" w:fill="FFFFFF"/>
          <w:tcMar>
            <w:left w:w="0" w:type="dxa"/>
            <w:right w:w="0" w:type="dxa"/>
          </w:tcMar>
        </w:tcPr>
        <w:p w:rsidR="00ED54E0" w:rsidRPr="009239F7" w:rsidRDefault="009D222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19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D729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D2224" w:rsidP="00B801E9">
          <w:pPr>
            <w:jc w:val="right"/>
            <w:rPr>
              <w:b/>
              <w:szCs w:val="16"/>
            </w:rPr>
          </w:pPr>
          <w:bookmarkStart w:id="43" w:name="bmkSymbols"/>
          <w:r w:rsidRPr="002F6A28">
            <w:rPr>
              <w:b/>
              <w:szCs w:val="16"/>
            </w:rPr>
            <w:t>G/TBT/N/RUS/97</w:t>
          </w:r>
          <w:bookmarkEnd w:id="43"/>
        </w:p>
      </w:tc>
    </w:tr>
    <w:tr w:rsidR="008D729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D2224" w:rsidP="00B801E9">
          <w:pPr>
            <w:jc w:val="right"/>
            <w:rPr>
              <w:szCs w:val="16"/>
            </w:rPr>
          </w:pPr>
          <w:bookmarkStart w:id="44" w:name="spsDateDistribution"/>
          <w:bookmarkStart w:id="45" w:name="bmkDate"/>
          <w:bookmarkEnd w:id="44"/>
          <w:bookmarkEnd w:id="45"/>
          <w:r>
            <w:rPr>
              <w:szCs w:val="16"/>
            </w:rPr>
            <w:t>16 January 2020</w:t>
          </w:r>
        </w:p>
      </w:tc>
    </w:tr>
    <w:tr w:rsidR="008D729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D2224"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DC2CBA">
            <w:rPr>
              <w:color w:val="FF0000"/>
              <w:szCs w:val="16"/>
            </w:rPr>
            <w:t>0463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D222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D729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D222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D222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EE1D0C">
      <w:start w:val="1"/>
      <w:numFmt w:val="decimal"/>
      <w:pStyle w:val="SummaryText"/>
      <w:lvlText w:val="%1."/>
      <w:lvlJc w:val="left"/>
      <w:pPr>
        <w:ind w:left="360" w:hanging="360"/>
      </w:pPr>
    </w:lvl>
    <w:lvl w:ilvl="1" w:tplc="C56E8176" w:tentative="1">
      <w:start w:val="1"/>
      <w:numFmt w:val="lowerLetter"/>
      <w:lvlText w:val="%2."/>
      <w:lvlJc w:val="left"/>
      <w:pPr>
        <w:ind w:left="1080" w:hanging="360"/>
      </w:pPr>
    </w:lvl>
    <w:lvl w:ilvl="2" w:tplc="311EC246" w:tentative="1">
      <w:start w:val="1"/>
      <w:numFmt w:val="lowerRoman"/>
      <w:lvlText w:val="%3."/>
      <w:lvlJc w:val="right"/>
      <w:pPr>
        <w:ind w:left="1800" w:hanging="180"/>
      </w:pPr>
    </w:lvl>
    <w:lvl w:ilvl="3" w:tplc="91C46FEA" w:tentative="1">
      <w:start w:val="1"/>
      <w:numFmt w:val="decimal"/>
      <w:lvlText w:val="%4."/>
      <w:lvlJc w:val="left"/>
      <w:pPr>
        <w:ind w:left="2520" w:hanging="360"/>
      </w:pPr>
    </w:lvl>
    <w:lvl w:ilvl="4" w:tplc="CF2ED888" w:tentative="1">
      <w:start w:val="1"/>
      <w:numFmt w:val="lowerLetter"/>
      <w:lvlText w:val="%5."/>
      <w:lvlJc w:val="left"/>
      <w:pPr>
        <w:ind w:left="3240" w:hanging="360"/>
      </w:pPr>
    </w:lvl>
    <w:lvl w:ilvl="5" w:tplc="6A1C4E24" w:tentative="1">
      <w:start w:val="1"/>
      <w:numFmt w:val="lowerRoman"/>
      <w:lvlText w:val="%6."/>
      <w:lvlJc w:val="right"/>
      <w:pPr>
        <w:ind w:left="3960" w:hanging="180"/>
      </w:pPr>
    </w:lvl>
    <w:lvl w:ilvl="6" w:tplc="476A4568" w:tentative="1">
      <w:start w:val="1"/>
      <w:numFmt w:val="decimal"/>
      <w:lvlText w:val="%7."/>
      <w:lvlJc w:val="left"/>
      <w:pPr>
        <w:ind w:left="4680" w:hanging="360"/>
      </w:pPr>
    </w:lvl>
    <w:lvl w:ilvl="7" w:tplc="035C3BF4" w:tentative="1">
      <w:start w:val="1"/>
      <w:numFmt w:val="lowerLetter"/>
      <w:lvlText w:val="%8."/>
      <w:lvlJc w:val="left"/>
      <w:pPr>
        <w:ind w:left="5400" w:hanging="360"/>
      </w:pPr>
    </w:lvl>
    <w:lvl w:ilvl="8" w:tplc="653888E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33E97C8">
      <w:start w:val="1"/>
      <w:numFmt w:val="bullet"/>
      <w:lvlText w:val=""/>
      <w:lvlJc w:val="left"/>
      <w:pPr>
        <w:ind w:left="720" w:hanging="360"/>
      </w:pPr>
      <w:rPr>
        <w:rFonts w:ascii="Symbol" w:hAnsi="Symbol"/>
      </w:rPr>
    </w:lvl>
    <w:lvl w:ilvl="1" w:tplc="4442EBBE">
      <w:start w:val="1"/>
      <w:numFmt w:val="bullet"/>
      <w:lvlText w:val="o"/>
      <w:lvlJc w:val="left"/>
      <w:pPr>
        <w:tabs>
          <w:tab w:val="num" w:pos="1440"/>
        </w:tabs>
        <w:ind w:left="1440" w:hanging="360"/>
      </w:pPr>
      <w:rPr>
        <w:rFonts w:ascii="Courier New" w:hAnsi="Courier New"/>
      </w:rPr>
    </w:lvl>
    <w:lvl w:ilvl="2" w:tplc="566E5080">
      <w:start w:val="1"/>
      <w:numFmt w:val="bullet"/>
      <w:lvlText w:val=""/>
      <w:lvlJc w:val="left"/>
      <w:pPr>
        <w:tabs>
          <w:tab w:val="num" w:pos="2160"/>
        </w:tabs>
        <w:ind w:left="2160" w:hanging="360"/>
      </w:pPr>
      <w:rPr>
        <w:rFonts w:ascii="Wingdings" w:hAnsi="Wingdings"/>
      </w:rPr>
    </w:lvl>
    <w:lvl w:ilvl="3" w:tplc="8FFE778C">
      <w:start w:val="1"/>
      <w:numFmt w:val="bullet"/>
      <w:lvlText w:val=""/>
      <w:lvlJc w:val="left"/>
      <w:pPr>
        <w:tabs>
          <w:tab w:val="num" w:pos="2880"/>
        </w:tabs>
        <w:ind w:left="2880" w:hanging="360"/>
      </w:pPr>
      <w:rPr>
        <w:rFonts w:ascii="Symbol" w:hAnsi="Symbol"/>
      </w:rPr>
    </w:lvl>
    <w:lvl w:ilvl="4" w:tplc="B8A42192">
      <w:start w:val="1"/>
      <w:numFmt w:val="bullet"/>
      <w:lvlText w:val="o"/>
      <w:lvlJc w:val="left"/>
      <w:pPr>
        <w:tabs>
          <w:tab w:val="num" w:pos="3600"/>
        </w:tabs>
        <w:ind w:left="3600" w:hanging="360"/>
      </w:pPr>
      <w:rPr>
        <w:rFonts w:ascii="Courier New" w:hAnsi="Courier New"/>
      </w:rPr>
    </w:lvl>
    <w:lvl w:ilvl="5" w:tplc="5E5077EC">
      <w:start w:val="1"/>
      <w:numFmt w:val="bullet"/>
      <w:lvlText w:val=""/>
      <w:lvlJc w:val="left"/>
      <w:pPr>
        <w:tabs>
          <w:tab w:val="num" w:pos="4320"/>
        </w:tabs>
        <w:ind w:left="4320" w:hanging="360"/>
      </w:pPr>
      <w:rPr>
        <w:rFonts w:ascii="Wingdings" w:hAnsi="Wingdings"/>
      </w:rPr>
    </w:lvl>
    <w:lvl w:ilvl="6" w:tplc="17707F12">
      <w:start w:val="1"/>
      <w:numFmt w:val="bullet"/>
      <w:lvlText w:val=""/>
      <w:lvlJc w:val="left"/>
      <w:pPr>
        <w:tabs>
          <w:tab w:val="num" w:pos="5040"/>
        </w:tabs>
        <w:ind w:left="5040" w:hanging="360"/>
      </w:pPr>
      <w:rPr>
        <w:rFonts w:ascii="Symbol" w:hAnsi="Symbol"/>
      </w:rPr>
    </w:lvl>
    <w:lvl w:ilvl="7" w:tplc="7CC4F718">
      <w:start w:val="1"/>
      <w:numFmt w:val="bullet"/>
      <w:lvlText w:val="o"/>
      <w:lvlJc w:val="left"/>
      <w:pPr>
        <w:tabs>
          <w:tab w:val="num" w:pos="5760"/>
        </w:tabs>
        <w:ind w:left="5760" w:hanging="360"/>
      </w:pPr>
      <w:rPr>
        <w:rFonts w:ascii="Courier New" w:hAnsi="Courier New"/>
      </w:rPr>
    </w:lvl>
    <w:lvl w:ilvl="8" w:tplc="F4E468A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B301FA8">
      <w:start w:val="1"/>
      <w:numFmt w:val="bullet"/>
      <w:lvlText w:val=""/>
      <w:lvlJc w:val="left"/>
      <w:pPr>
        <w:ind w:left="720" w:hanging="360"/>
      </w:pPr>
      <w:rPr>
        <w:rFonts w:ascii="Symbol" w:hAnsi="Symbol"/>
      </w:rPr>
    </w:lvl>
    <w:lvl w:ilvl="1" w:tplc="B6821F76">
      <w:start w:val="1"/>
      <w:numFmt w:val="bullet"/>
      <w:lvlText w:val="o"/>
      <w:lvlJc w:val="left"/>
      <w:pPr>
        <w:tabs>
          <w:tab w:val="num" w:pos="1440"/>
        </w:tabs>
        <w:ind w:left="1440" w:hanging="360"/>
      </w:pPr>
      <w:rPr>
        <w:rFonts w:ascii="Courier New" w:hAnsi="Courier New"/>
      </w:rPr>
    </w:lvl>
    <w:lvl w:ilvl="2" w:tplc="317CBDB8">
      <w:start w:val="1"/>
      <w:numFmt w:val="bullet"/>
      <w:lvlText w:val=""/>
      <w:lvlJc w:val="left"/>
      <w:pPr>
        <w:tabs>
          <w:tab w:val="num" w:pos="2160"/>
        </w:tabs>
        <w:ind w:left="2160" w:hanging="360"/>
      </w:pPr>
      <w:rPr>
        <w:rFonts w:ascii="Wingdings" w:hAnsi="Wingdings"/>
      </w:rPr>
    </w:lvl>
    <w:lvl w:ilvl="3" w:tplc="D23E3E78">
      <w:start w:val="1"/>
      <w:numFmt w:val="bullet"/>
      <w:lvlText w:val=""/>
      <w:lvlJc w:val="left"/>
      <w:pPr>
        <w:tabs>
          <w:tab w:val="num" w:pos="2880"/>
        </w:tabs>
        <w:ind w:left="2880" w:hanging="360"/>
      </w:pPr>
      <w:rPr>
        <w:rFonts w:ascii="Symbol" w:hAnsi="Symbol"/>
      </w:rPr>
    </w:lvl>
    <w:lvl w:ilvl="4" w:tplc="FBDCB4EC">
      <w:start w:val="1"/>
      <w:numFmt w:val="bullet"/>
      <w:lvlText w:val="o"/>
      <w:lvlJc w:val="left"/>
      <w:pPr>
        <w:tabs>
          <w:tab w:val="num" w:pos="3600"/>
        </w:tabs>
        <w:ind w:left="3600" w:hanging="360"/>
      </w:pPr>
      <w:rPr>
        <w:rFonts w:ascii="Courier New" w:hAnsi="Courier New"/>
      </w:rPr>
    </w:lvl>
    <w:lvl w:ilvl="5" w:tplc="70C472E2">
      <w:start w:val="1"/>
      <w:numFmt w:val="bullet"/>
      <w:lvlText w:val=""/>
      <w:lvlJc w:val="left"/>
      <w:pPr>
        <w:tabs>
          <w:tab w:val="num" w:pos="4320"/>
        </w:tabs>
        <w:ind w:left="4320" w:hanging="360"/>
      </w:pPr>
      <w:rPr>
        <w:rFonts w:ascii="Wingdings" w:hAnsi="Wingdings"/>
      </w:rPr>
    </w:lvl>
    <w:lvl w:ilvl="6" w:tplc="C3B463E8">
      <w:start w:val="1"/>
      <w:numFmt w:val="bullet"/>
      <w:lvlText w:val=""/>
      <w:lvlJc w:val="left"/>
      <w:pPr>
        <w:tabs>
          <w:tab w:val="num" w:pos="5040"/>
        </w:tabs>
        <w:ind w:left="5040" w:hanging="360"/>
      </w:pPr>
      <w:rPr>
        <w:rFonts w:ascii="Symbol" w:hAnsi="Symbol"/>
      </w:rPr>
    </w:lvl>
    <w:lvl w:ilvl="7" w:tplc="2F4CEF60">
      <w:start w:val="1"/>
      <w:numFmt w:val="bullet"/>
      <w:lvlText w:val="o"/>
      <w:lvlJc w:val="left"/>
      <w:pPr>
        <w:tabs>
          <w:tab w:val="num" w:pos="5760"/>
        </w:tabs>
        <w:ind w:left="5760" w:hanging="360"/>
      </w:pPr>
      <w:rPr>
        <w:rFonts w:ascii="Courier New" w:hAnsi="Courier New"/>
      </w:rPr>
    </w:lvl>
    <w:lvl w:ilvl="8" w:tplc="C062EC5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102A"/>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9677C"/>
    <w:rsid w:val="008B223A"/>
    <w:rsid w:val="008B4A10"/>
    <w:rsid w:val="008B4FB8"/>
    <w:rsid w:val="008C1339"/>
    <w:rsid w:val="008D729F"/>
    <w:rsid w:val="008E372C"/>
    <w:rsid w:val="008E67DC"/>
    <w:rsid w:val="009239F7"/>
    <w:rsid w:val="00955D8A"/>
    <w:rsid w:val="00964F4F"/>
    <w:rsid w:val="0097650D"/>
    <w:rsid w:val="009811DD"/>
    <w:rsid w:val="00984DF3"/>
    <w:rsid w:val="00990E7D"/>
    <w:rsid w:val="009A6F54"/>
    <w:rsid w:val="009A72C6"/>
    <w:rsid w:val="009B6669"/>
    <w:rsid w:val="009D1FF8"/>
    <w:rsid w:val="009D2224"/>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6150"/>
    <w:rsid w:val="00D333D4"/>
    <w:rsid w:val="00D52A9D"/>
    <w:rsid w:val="00D55AAD"/>
    <w:rsid w:val="00D70F5B"/>
    <w:rsid w:val="00D747AE"/>
    <w:rsid w:val="00D9226C"/>
    <w:rsid w:val="00DA20BD"/>
    <w:rsid w:val="00DC2CBA"/>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248D"/>
  <w15:docId w15:val="{3C98739D-A539-4325-8DD8-A528A7A4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mailto:dept_techregulation@eurasiancommission.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ept_techregulation@eurasiancommission.org" TargetMode="External"/><Relationship Id="rId12" Type="http://schemas.openxmlformats.org/officeDocument/2006/relationships/hyperlink" Target="https://docs.eaeunion.org/pd/ru-ru/0104412/pd_231220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urasiancommission.org/ru/acttexnreg/deptexreg/tr/Pages/bezop.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aeunion.org/pd/ru-ru/0104412/pd_2312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eaeunion.org/pd/ru-ru/0104412/pd_23122019" TargetMode="External"/><Relationship Id="rId23" Type="http://schemas.openxmlformats.org/officeDocument/2006/relationships/fontTable" Target="fontTable.xml"/><Relationship Id="rId10" Type="http://schemas.openxmlformats.org/officeDocument/2006/relationships/hyperlink" Target="http://www.gostinfo.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yperlink" Target="http://www.eurasiancommission.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2020-01-16T08:08:00Z</dcterms:created>
  <dcterms:modified xsi:type="dcterms:W3CDTF">2020-01-16T11:04:00Z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