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001DA" w14:textId="77777777" w:rsidR="009239F7" w:rsidRPr="002F6A28" w:rsidRDefault="00316B00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3F3FAC3" w14:textId="77777777" w:rsidR="009239F7" w:rsidRPr="002F6A28" w:rsidRDefault="00316B00" w:rsidP="002F6A28">
      <w:pPr>
        <w:jc w:val="center"/>
      </w:pPr>
      <w:r w:rsidRPr="002F6A28">
        <w:t>The following notification is being circulated in accordance with Article 10.6</w:t>
      </w:r>
    </w:p>
    <w:p w14:paraId="51E7DA43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412D3" w14:paraId="6F131289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6AD2ADC" w14:textId="77777777" w:rsidR="00F85C99" w:rsidRPr="002F6A28" w:rsidRDefault="00316B0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C5210AF" w14:textId="77777777" w:rsidR="00F85C99" w:rsidRPr="002F6A28" w:rsidRDefault="00316B0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Malawi</w:t>
            </w:r>
            <w:bookmarkEnd w:id="1"/>
            <w:r w:rsidRPr="002F6A28">
              <w:t xml:space="preserve"> </w:t>
            </w:r>
          </w:p>
          <w:p w14:paraId="735716D0" w14:textId="77777777" w:rsidR="00F85C99" w:rsidRPr="002F6A28" w:rsidRDefault="00316B0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412D3" w14:paraId="6A15316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AFE0A" w14:textId="77777777" w:rsidR="00F85C99" w:rsidRPr="002F6A28" w:rsidRDefault="00316B0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B0B19B" w14:textId="77777777" w:rsidR="00F85C99" w:rsidRPr="002F6A28" w:rsidRDefault="00316B0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Malawi Bureau of Standards</w:t>
            </w:r>
            <w:bookmarkEnd w:id="5"/>
          </w:p>
          <w:p w14:paraId="069A5756" w14:textId="77777777" w:rsidR="00F85C99" w:rsidRPr="002F6A28" w:rsidRDefault="00316B0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 xml:space="preserve">Name </w:t>
            </w:r>
            <w:r w:rsidRPr="002F6A28">
              <w:rPr>
                <w:b/>
              </w:rPr>
              <w:t>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7412D3" w14:paraId="04E5B36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15B208" w14:textId="77777777" w:rsidR="00F85C99" w:rsidRPr="002F6A28" w:rsidRDefault="00316B0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5BC6C8" w14:textId="77777777" w:rsidR="00F85C99" w:rsidRPr="0058336F" w:rsidRDefault="00316B0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7412D3" w14:paraId="488F62B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1F9070" w14:textId="77777777" w:rsidR="00F85C99" w:rsidRPr="002F6A28" w:rsidRDefault="00316B0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F510BA" w14:textId="77777777" w:rsidR="00F85C99" w:rsidRPr="002F6A28" w:rsidRDefault="00316B00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PRODUCTS OF THE MILLING INDUSTRY; MALT; STARCHES; INULIN; WHEAT GLUTEN (HS 11); Vegetables and derived products (ICS 67.080.20)</w:t>
            </w:r>
            <w:bookmarkStart w:id="20" w:name="sps3a"/>
            <w:bookmarkEnd w:id="20"/>
          </w:p>
        </w:tc>
      </w:tr>
      <w:tr w:rsidR="007412D3" w14:paraId="6C0E4A0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CC158D" w14:textId="77777777" w:rsidR="00F85C99" w:rsidRPr="002F6A28" w:rsidRDefault="00316B0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6385BC" w14:textId="77777777" w:rsidR="00F85C99" w:rsidRPr="002F6A28" w:rsidRDefault="00316B00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DMS 349:2020, Edible cassava flour – Specification (11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7412D3" w14:paraId="5B3953B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3AA204" w14:textId="77777777" w:rsidR="00F85C99" w:rsidRPr="002F6A28" w:rsidRDefault="00316B0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666B91" w14:textId="77777777" w:rsidR="00F85C99" w:rsidRPr="002F6A28" w:rsidRDefault="00316B0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Malawi standard specifies the requirements and methods of sampling and test for edible cassava flour which is obtained from the processing of cassava roots (</w:t>
            </w:r>
            <w:r w:rsidR="00FE448B" w:rsidRPr="00C379C8">
              <w:rPr>
                <w:i/>
                <w:iCs/>
              </w:rPr>
              <w:t>Manihot esculenta</w:t>
            </w:r>
            <w:r w:rsidR="00FE448B" w:rsidRPr="00C379C8">
              <w:t xml:space="preserve"> Crantz) intended for human consumption.</w:t>
            </w:r>
          </w:p>
        </w:tc>
      </w:tr>
      <w:tr w:rsidR="007412D3" w14:paraId="6FF2C73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4E9776" w14:textId="77777777" w:rsidR="00F85C99" w:rsidRPr="002F6A28" w:rsidRDefault="00316B0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1551DF" w14:textId="77777777" w:rsidR="00F85C99" w:rsidRPr="002F6A28" w:rsidRDefault="00316B00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 xml:space="preserve">Objective and rationale, including the </w:t>
            </w:r>
            <w:r w:rsidRPr="002F6A28">
              <w:rPr>
                <w:b/>
              </w:rPr>
              <w:t>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Quality requirements</w:t>
            </w:r>
            <w:bookmarkStart w:id="27" w:name="sps7f"/>
            <w:bookmarkEnd w:id="27"/>
          </w:p>
        </w:tc>
      </w:tr>
      <w:tr w:rsidR="007412D3" w14:paraId="3247C61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D10502" w14:textId="77777777" w:rsidR="00F85C99" w:rsidRPr="002F6A28" w:rsidRDefault="00316B0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BA05F4" w14:textId="77777777" w:rsidR="00072B36" w:rsidRPr="002F6A28" w:rsidRDefault="00316B00" w:rsidP="005A317E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B832E85" w14:textId="77777777" w:rsidR="006C5CDD" w:rsidRPr="002F6A28" w:rsidRDefault="00316B00" w:rsidP="005A317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MS 19:</w:t>
            </w:r>
            <w:r w:rsidRPr="002F6A28">
              <w:rPr>
                <w:bCs/>
                <w:i/>
                <w:iCs/>
              </w:rPr>
              <w:t xml:space="preserve"> Labelling of prepacked foods </w:t>
            </w:r>
            <w:r w:rsidRPr="002F6A28">
              <w:rPr>
                <w:bCs/>
                <w:i/>
                <w:iCs/>
              </w:rPr>
              <w:t>– General standard;</w:t>
            </w:r>
          </w:p>
          <w:p w14:paraId="129C65BB" w14:textId="77777777" w:rsidR="006C5CDD" w:rsidRPr="002F6A28" w:rsidRDefault="00316B00" w:rsidP="005A317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MS 21:</w:t>
            </w:r>
            <w:r w:rsidRPr="002F6A28">
              <w:rPr>
                <w:bCs/>
                <w:i/>
                <w:iCs/>
              </w:rPr>
              <w:t xml:space="preserve"> Food and food processing units – Code of hygienic conditions;</w:t>
            </w:r>
          </w:p>
          <w:p w14:paraId="14F7805E" w14:textId="77777777" w:rsidR="006C5CDD" w:rsidRPr="002F6A28" w:rsidRDefault="00316B00" w:rsidP="005A317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MS 144:</w:t>
            </w:r>
            <w:r w:rsidRPr="002F6A28">
              <w:rPr>
                <w:bCs/>
                <w:i/>
                <w:iCs/>
              </w:rPr>
              <w:t xml:space="preserve"> Agricultural food products – Determination of crude fibre content – General method;</w:t>
            </w:r>
          </w:p>
          <w:p w14:paraId="760449EC" w14:textId="77777777" w:rsidR="006C5CDD" w:rsidRPr="002F6A28" w:rsidRDefault="00316B00" w:rsidP="005A317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MS 149:</w:t>
            </w:r>
            <w:r w:rsidRPr="002F6A28">
              <w:rPr>
                <w:bCs/>
                <w:i/>
                <w:iCs/>
              </w:rPr>
              <w:t xml:space="preserve"> Cereals and milled cereal products – Determination of total ash;</w:t>
            </w:r>
          </w:p>
          <w:p w14:paraId="1D94D048" w14:textId="77777777" w:rsidR="006C5CDD" w:rsidRPr="002F6A28" w:rsidRDefault="00316B00" w:rsidP="005A317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MS 237: </w:t>
            </w:r>
            <w:r w:rsidRPr="002F6A28">
              <w:rPr>
                <w:bCs/>
                <w:i/>
                <w:iCs/>
              </w:rPr>
              <w:t>Food additives – General standard</w:t>
            </w:r>
          </w:p>
          <w:p w14:paraId="71072335" w14:textId="77777777" w:rsidR="006C5CDD" w:rsidRPr="002F6A28" w:rsidRDefault="00316B00" w:rsidP="005A317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MS 302: </w:t>
            </w:r>
            <w:r w:rsidRPr="002F6A28">
              <w:rPr>
                <w:bCs/>
                <w:i/>
                <w:iCs/>
              </w:rPr>
              <w:t>Contaminants and toxins in foods – General standard;</w:t>
            </w:r>
          </w:p>
          <w:p w14:paraId="39DEAC47" w14:textId="77777777" w:rsidR="006C5CDD" w:rsidRPr="002F6A28" w:rsidRDefault="00316B00" w:rsidP="005A317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MS 610:</w:t>
            </w:r>
            <w:r w:rsidRPr="002F6A28">
              <w:rPr>
                <w:bCs/>
                <w:i/>
                <w:iCs/>
              </w:rPr>
              <w:t xml:space="preserve"> Cereal and cereal products – Determination of moisture content (Basic reference</w:t>
            </w:r>
            <w:r w:rsidRPr="002F6A28">
              <w:rPr>
                <w:bCs/>
                <w:i/>
                <w:iCs/>
              </w:rPr>
              <w:t xml:space="preserve"> method);</w:t>
            </w:r>
          </w:p>
          <w:p w14:paraId="2E83FBBB" w14:textId="77777777" w:rsidR="006C5CDD" w:rsidRPr="002F6A28" w:rsidRDefault="00316B00" w:rsidP="005A317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MS 624:</w:t>
            </w:r>
            <w:r w:rsidRPr="002F6A28">
              <w:rPr>
                <w:bCs/>
                <w:i/>
                <w:iCs/>
              </w:rPr>
              <w:t xml:space="preserve"> Nutritional labelling – Guidelines;</w:t>
            </w:r>
          </w:p>
          <w:p w14:paraId="185D09E8" w14:textId="77777777" w:rsidR="006C5CDD" w:rsidRPr="002F6A28" w:rsidRDefault="00316B00" w:rsidP="005A317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MS 1330</w:t>
            </w:r>
            <w:r w:rsidRPr="002F6A28">
              <w:rPr>
                <w:bCs/>
                <w:i/>
                <w:iCs/>
              </w:rPr>
              <w:t>: Code of practice for the reduction of hydrocyanic acid (HCN) in cassava and cassava products</w:t>
            </w:r>
          </w:p>
          <w:p w14:paraId="4451BC02" w14:textId="77777777" w:rsidR="006C5CDD" w:rsidRPr="002F6A28" w:rsidRDefault="00316B00" w:rsidP="005A317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lastRenderedPageBreak/>
              <w:t>MS 1386</w:t>
            </w:r>
            <w:r w:rsidRPr="002F6A28">
              <w:rPr>
                <w:bCs/>
                <w:i/>
                <w:iCs/>
              </w:rPr>
              <w:t>: Cassava and cassava products – Determination of total cyanogens – Enzymatic assay method;</w:t>
            </w:r>
          </w:p>
          <w:p w14:paraId="0EA67172" w14:textId="77777777" w:rsidR="006C5CDD" w:rsidRPr="002F6A28" w:rsidRDefault="00316B00" w:rsidP="005A317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</w:t>
            </w:r>
            <w:r w:rsidRPr="002F6A28">
              <w:rPr>
                <w:bCs/>
              </w:rPr>
              <w:t>SO 4832:</w:t>
            </w:r>
            <w:r w:rsidRPr="002F6A28">
              <w:rPr>
                <w:bCs/>
                <w:i/>
                <w:iCs/>
              </w:rPr>
              <w:t>Microbiology of food and animal feeding stuffs – Horizontal method for the enumeration of coliforms – Colony-count technique</w:t>
            </w:r>
          </w:p>
          <w:p w14:paraId="225AD84A" w14:textId="77777777" w:rsidR="006C5CDD" w:rsidRPr="002F6A28" w:rsidRDefault="00316B00" w:rsidP="005A317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4833:</w:t>
            </w:r>
            <w:r w:rsidRPr="002F6A28">
              <w:rPr>
                <w:bCs/>
                <w:i/>
                <w:iCs/>
              </w:rPr>
              <w:t>Microbiology of the food chain – Horizontal method for the enumeration of microorganisms;</w:t>
            </w:r>
          </w:p>
          <w:p w14:paraId="1228595D" w14:textId="77777777" w:rsidR="006C5CDD" w:rsidRPr="002F6A28" w:rsidRDefault="00316B00" w:rsidP="005A317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6579: </w:t>
            </w:r>
            <w:r w:rsidRPr="002F6A28">
              <w:rPr>
                <w:bCs/>
                <w:i/>
                <w:iCs/>
              </w:rPr>
              <w:t>Methods for th</w:t>
            </w:r>
            <w:r w:rsidRPr="002F6A28">
              <w:rPr>
                <w:bCs/>
                <w:i/>
                <w:iCs/>
              </w:rPr>
              <w:t>e microbiological examination of foods – Part 6: Examination for Salmonella Spp.;</w:t>
            </w:r>
          </w:p>
          <w:p w14:paraId="30F90D64" w14:textId="77777777" w:rsidR="006C5CDD" w:rsidRPr="002F6A28" w:rsidRDefault="00316B00" w:rsidP="005A317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7251: </w:t>
            </w:r>
            <w:r w:rsidRPr="002F6A28">
              <w:rPr>
                <w:bCs/>
                <w:i/>
                <w:iCs/>
              </w:rPr>
              <w:t>Microbiology of food and animal feeding stuffs – Horizontal method for the detection and enumeration of presumptive Escherichia coli – Most probable number techniqu</w:t>
            </w:r>
            <w:r w:rsidRPr="002F6A28">
              <w:rPr>
                <w:bCs/>
                <w:i/>
                <w:iCs/>
              </w:rPr>
              <w:t>e;</w:t>
            </w:r>
          </w:p>
          <w:p w14:paraId="5D838F8A" w14:textId="77777777" w:rsidR="006C5CDD" w:rsidRPr="002F6A28" w:rsidRDefault="00316B00" w:rsidP="005A317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10520: </w:t>
            </w:r>
            <w:r w:rsidRPr="002F6A28">
              <w:rPr>
                <w:bCs/>
                <w:i/>
                <w:iCs/>
              </w:rPr>
              <w:t>Native starch –Determination of starch content –Ewers polarimetric method</w:t>
            </w:r>
          </w:p>
          <w:p w14:paraId="1B2695A6" w14:textId="77777777" w:rsidR="006C5CDD" w:rsidRPr="002F6A28" w:rsidRDefault="00316B00" w:rsidP="005A317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21527-2:  </w:t>
            </w:r>
            <w:r w:rsidRPr="002F6A28">
              <w:rPr>
                <w:bCs/>
                <w:i/>
                <w:iCs/>
              </w:rPr>
              <w:t>Methods for the microbiological examination of foods – Part 2: Enumeration of yeast and moulds in foods</w:t>
            </w:r>
          </w:p>
        </w:tc>
      </w:tr>
      <w:tr w:rsidR="007412D3" w14:paraId="3EBDB43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873075" w14:textId="77777777" w:rsidR="00EE3A11" w:rsidRPr="002F6A28" w:rsidRDefault="00316B0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5AB2A7" w14:textId="77777777" w:rsidR="00EE3A11" w:rsidRPr="002F6A28" w:rsidRDefault="00316B00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 xml:space="preserve">To be </w:t>
            </w:r>
            <w:r w:rsidRPr="002F6A28">
              <w:t>determined</w:t>
            </w:r>
            <w:bookmarkEnd w:id="31"/>
          </w:p>
          <w:p w14:paraId="31846259" w14:textId="77777777" w:rsidR="00EE3A11" w:rsidRPr="002F6A28" w:rsidRDefault="00316B00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362387">
              <w:t>To be determined</w:t>
            </w:r>
            <w:bookmarkEnd w:id="34"/>
          </w:p>
        </w:tc>
      </w:tr>
      <w:tr w:rsidR="007412D3" w14:paraId="41C0C30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B7918D" w14:textId="77777777" w:rsidR="00F85C99" w:rsidRPr="002F6A28" w:rsidRDefault="00316B0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579375" w14:textId="77777777" w:rsidR="00F85C99" w:rsidRPr="002F6A28" w:rsidRDefault="00316B00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7412D3" w14:paraId="49F46C8C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B079182" w14:textId="77777777" w:rsidR="00F85C99" w:rsidRPr="002F6A28" w:rsidRDefault="00316B0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C65DC28" w14:textId="77777777" w:rsidR="00F85C99" w:rsidRPr="002F6A28" w:rsidRDefault="00316B00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 xml:space="preserve">email and website addresses, if </w:t>
            </w:r>
            <w:r w:rsidRPr="002F6A28">
              <w:rPr>
                <w:b/>
              </w:rPr>
              <w:t>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3ABB994A" w14:textId="77777777" w:rsidR="006C5CDD" w:rsidRPr="002F6A28" w:rsidRDefault="00316B00" w:rsidP="00B16145">
            <w:pPr>
              <w:keepNext/>
              <w:keepLines/>
              <w:spacing w:before="120" w:after="120"/>
            </w:pPr>
            <w:hyperlink r:id="rId7" w:history="1">
              <w:r w:rsidR="005A317E" w:rsidRPr="002F6A28">
                <w:rPr>
                  <w:color w:val="0000FF"/>
                  <w:u w:val="single"/>
                </w:rPr>
                <w:t>https://members.wto.org/crnattachments/2021/TBT/MWI/21_2785_00_e.pdf</w:t>
              </w:r>
            </w:hyperlink>
            <w:bookmarkEnd w:id="40"/>
          </w:p>
        </w:tc>
      </w:tr>
    </w:tbl>
    <w:p w14:paraId="40F50755" w14:textId="77777777" w:rsidR="00EE3A11" w:rsidRPr="002F6A28" w:rsidRDefault="00EE3A11" w:rsidP="002F6A28"/>
    <w:sectPr w:rsidR="00EE3A11" w:rsidRPr="002F6A28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B3369" w14:textId="77777777" w:rsidR="00000000" w:rsidRDefault="00316B00">
      <w:r>
        <w:separator/>
      </w:r>
    </w:p>
  </w:endnote>
  <w:endnote w:type="continuationSeparator" w:id="0">
    <w:p w14:paraId="2C0A59B4" w14:textId="77777777" w:rsidR="00000000" w:rsidRDefault="003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99A8D" w14:textId="77777777" w:rsidR="009239F7" w:rsidRPr="002F6A28" w:rsidRDefault="00316B0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E2C28" w14:textId="77777777" w:rsidR="009239F7" w:rsidRPr="002F6A28" w:rsidRDefault="00316B0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C5436" w14:textId="6514A982" w:rsidR="00EE3A11" w:rsidRPr="002F6A28" w:rsidRDefault="00316B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B7C501" wp14:editId="503B3673">
              <wp:simplePos x="0" y="0"/>
              <wp:positionH relativeFrom="rightMargin">
                <wp:posOffset>114300</wp:posOffset>
              </wp:positionH>
              <wp:positionV relativeFrom="page">
                <wp:align>center</wp:align>
              </wp:positionV>
              <wp:extent cx="323850" cy="910590"/>
              <wp:effectExtent l="0" t="0" r="0" b="3810"/>
              <wp:wrapNone/>
              <wp:docPr id="2" name="TITUSFR1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910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8DC151" w14:textId="6EC519C4" w:rsidR="00316B00" w:rsidRDefault="00316B00" w:rsidP="00316B00">
                          <w:pPr>
                            <w:jc w:val="left"/>
                          </w:pPr>
                          <w:r w:rsidRPr="00316B00">
                            <w:rPr>
                              <w:color w:val="235C24"/>
                              <w:sz w:val="17"/>
                            </w:rPr>
                            <w:t>WTO - Internal</w:t>
                          </w:r>
                        </w:p>
                      </w:txbxContent>
                    </wps:txbx>
                    <wps:bodyPr rot="0" spcFirstLastPara="0" vertOverflow="overflow" horzOverflow="overflow" vert="vert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B7C501" id="_x0000_t202" coordsize="21600,21600" o:spt="202" path="m,l,21600r21600,l21600,xe">
              <v:stroke joinstyle="miter"/>
              <v:path gradientshapeok="t" o:connecttype="rect"/>
            </v:shapetype>
            <v:shape id="TITUSFR1header" o:spid="_x0000_s1027" type="#_x0000_t202" style="position:absolute;left:0;text-align:left;margin-left:9pt;margin-top:0;width:25.5pt;height:71.7pt;z-index:251659264;visibility:visible;mso-wrap-style:none;mso-wrap-distance-left:9pt;mso-wrap-distance-top:0;mso-wrap-distance-right:9pt;mso-wrap-distance-bottom:0;mso-position-horizontal:absolute;mso-position-horizontal-relative:right-margin-area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" filled="f" stroked="f" strokeweight=".5pt">
              <v:fill o:detectmouseclick="t"/>
              <v:textbox style="layout-flow:vertical;mso-fit-shape-to-text:t">
                <w:txbxContent>
                  <w:p w14:paraId="708DC151" w14:textId="6EC519C4" w:rsidR="00316B00" w:rsidRDefault="00316B00" w:rsidP="00316B00">
                    <w:pPr>
                      <w:jc w:val="left"/>
                    </w:pPr>
                    <w:r w:rsidRPr="00316B00">
                      <w:rPr>
                        <w:color w:val="235C24"/>
                        <w:sz w:val="17"/>
                      </w:rPr>
                      <w:t>WTO - Internal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724DE" w14:textId="77777777" w:rsidR="00000000" w:rsidRDefault="00316B00">
      <w:r>
        <w:separator/>
      </w:r>
    </w:p>
  </w:footnote>
  <w:footnote w:type="continuationSeparator" w:id="0">
    <w:p w14:paraId="1B483DC1" w14:textId="77777777" w:rsidR="00000000" w:rsidRDefault="0031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FECA6" w14:textId="77777777" w:rsidR="009239F7" w:rsidRPr="002F6A28" w:rsidRDefault="00316B0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B36977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85E6190" w14:textId="77777777" w:rsidR="009239F7" w:rsidRPr="002F6A28" w:rsidRDefault="00316B0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7D1B24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A051B" w14:textId="5FAE05FF" w:rsidR="009239F7" w:rsidRPr="002F6A28" w:rsidRDefault="00316B0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28F3D6" wp14:editId="3FF0C863">
              <wp:simplePos x="0" y="0"/>
              <wp:positionH relativeFrom="rightMargin">
                <wp:posOffset>114300</wp:posOffset>
              </wp:positionH>
              <wp:positionV relativeFrom="page">
                <wp:align>center</wp:align>
              </wp:positionV>
              <wp:extent cx="323850" cy="910590"/>
              <wp:effectExtent l="0" t="0" r="0" b="3810"/>
              <wp:wrapNone/>
              <wp:docPr id="3" name="TITUSOR1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910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B7B4A8" w14:textId="0AA4CCB9" w:rsidR="00316B00" w:rsidRDefault="00316B00" w:rsidP="00316B00">
                          <w:pPr>
                            <w:jc w:val="left"/>
                          </w:pPr>
                          <w:r w:rsidRPr="00316B00">
                            <w:rPr>
                              <w:color w:val="235C24"/>
                              <w:sz w:val="17"/>
                            </w:rPr>
                            <w:t>WTO - Internal</w:t>
                          </w:r>
                        </w:p>
                      </w:txbxContent>
                    </wps:txbx>
                    <wps:bodyPr rot="0" spcFirstLastPara="0" vertOverflow="overflow" horzOverflow="overflow" vert="vert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28F3D6" id="_x0000_t202" coordsize="21600,21600" o:spt="202" path="m,l,21600r21600,l21600,xe">
              <v:stroke joinstyle="miter"/>
              <v:path gradientshapeok="t" o:connecttype="rect"/>
            </v:shapetype>
            <v:shape id="TITUSOR1header" o:spid="_x0000_s1026" type="#_x0000_t202" style="position:absolute;left:0;text-align:left;margin-left:9pt;margin-top:0;width:25.5pt;height:71.7pt;z-index:251660288;visibility:visible;mso-wrap-style:none;mso-wrap-distance-left:9pt;mso-wrap-distance-top:0;mso-wrap-distance-right:9pt;mso-wrap-distance-bottom:0;mso-position-horizontal:absolute;mso-position-horizontal-relative:right-margin-area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" filled="f" stroked="f" strokeweight=".5pt">
              <v:fill o:detectmouseclick="t"/>
              <v:textbox style="layout-flow:vertical;mso-fit-shape-to-text:t">
                <w:txbxContent>
                  <w:p w14:paraId="78B7B4A8" w14:textId="0AA4CCB9" w:rsidR="00316B00" w:rsidRDefault="00316B00" w:rsidP="00316B00">
                    <w:pPr>
                      <w:jc w:val="left"/>
                    </w:pPr>
                    <w:r w:rsidRPr="00316B00">
                      <w:rPr>
                        <w:color w:val="235C24"/>
                        <w:sz w:val="17"/>
                      </w:rPr>
                      <w:t>WTO - Internal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2F6A28">
      <w:t>G/TBT/N/MWI/51</w:t>
    </w:r>
    <w:bookmarkEnd w:id="41"/>
  </w:p>
  <w:p w14:paraId="5972CEA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46DBD99" w14:textId="77777777" w:rsidR="009239F7" w:rsidRPr="002F6A28" w:rsidRDefault="00316B0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10F588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412D3" w14:paraId="7BAE8899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ED5199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601FBE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7412D3" w14:paraId="3F113CF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1BB47D8" w14:textId="77777777" w:rsidR="00ED54E0" w:rsidRPr="009239F7" w:rsidRDefault="00316B0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8F290BC" wp14:editId="1CA765E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377463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8C029D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412D3" w14:paraId="02088711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35CF49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01F7641" w14:textId="77777777" w:rsidR="009239F7" w:rsidRPr="002F6A28" w:rsidRDefault="00316B00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G/TBT/N/MWI/51</w:t>
          </w:r>
          <w:bookmarkEnd w:id="43"/>
        </w:p>
      </w:tc>
    </w:tr>
    <w:tr w:rsidR="007412D3" w14:paraId="1E50B14D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323693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645D00" w14:textId="0D1DE2DD" w:rsidR="00ED54E0" w:rsidRPr="009239F7" w:rsidRDefault="00316B00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19 April 2021</w:t>
          </w:r>
        </w:p>
      </w:tc>
    </w:tr>
    <w:tr w:rsidR="007412D3" w14:paraId="34B5D8EF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AEAAD2" w14:textId="3FEF6CCE" w:rsidR="00ED54E0" w:rsidRPr="009239F7" w:rsidRDefault="00316B00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21-3247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DBF794" w14:textId="77777777" w:rsidR="00ED54E0" w:rsidRPr="009239F7" w:rsidRDefault="00316B00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7412D3" w14:paraId="4C9FE6F1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501F84" w14:textId="77777777" w:rsidR="00ED54E0" w:rsidRPr="009239F7" w:rsidRDefault="00316B00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FD5EADC" w14:textId="77777777" w:rsidR="00ED54E0" w:rsidRPr="002F6A28" w:rsidRDefault="00316B00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2D6B907B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9E4E6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56AC9B8" w:tentative="1">
      <w:start w:val="1"/>
      <w:numFmt w:val="lowerLetter"/>
      <w:lvlText w:val="%2."/>
      <w:lvlJc w:val="left"/>
      <w:pPr>
        <w:ind w:left="1080" w:hanging="360"/>
      </w:pPr>
    </w:lvl>
    <w:lvl w:ilvl="2" w:tplc="3D10F29A" w:tentative="1">
      <w:start w:val="1"/>
      <w:numFmt w:val="lowerRoman"/>
      <w:lvlText w:val="%3."/>
      <w:lvlJc w:val="right"/>
      <w:pPr>
        <w:ind w:left="1800" w:hanging="180"/>
      </w:pPr>
    </w:lvl>
    <w:lvl w:ilvl="3" w:tplc="9DCE8682" w:tentative="1">
      <w:start w:val="1"/>
      <w:numFmt w:val="decimal"/>
      <w:lvlText w:val="%4."/>
      <w:lvlJc w:val="left"/>
      <w:pPr>
        <w:ind w:left="2520" w:hanging="360"/>
      </w:pPr>
    </w:lvl>
    <w:lvl w:ilvl="4" w:tplc="9F866B7A" w:tentative="1">
      <w:start w:val="1"/>
      <w:numFmt w:val="lowerLetter"/>
      <w:lvlText w:val="%5."/>
      <w:lvlJc w:val="left"/>
      <w:pPr>
        <w:ind w:left="3240" w:hanging="360"/>
      </w:pPr>
    </w:lvl>
    <w:lvl w:ilvl="5" w:tplc="B3D8ECA4" w:tentative="1">
      <w:start w:val="1"/>
      <w:numFmt w:val="lowerRoman"/>
      <w:lvlText w:val="%6."/>
      <w:lvlJc w:val="right"/>
      <w:pPr>
        <w:ind w:left="3960" w:hanging="180"/>
      </w:pPr>
    </w:lvl>
    <w:lvl w:ilvl="6" w:tplc="0864689A" w:tentative="1">
      <w:start w:val="1"/>
      <w:numFmt w:val="decimal"/>
      <w:lvlText w:val="%7."/>
      <w:lvlJc w:val="left"/>
      <w:pPr>
        <w:ind w:left="4680" w:hanging="360"/>
      </w:pPr>
    </w:lvl>
    <w:lvl w:ilvl="7" w:tplc="536EF298" w:tentative="1">
      <w:start w:val="1"/>
      <w:numFmt w:val="lowerLetter"/>
      <w:lvlText w:val="%8."/>
      <w:lvlJc w:val="left"/>
      <w:pPr>
        <w:ind w:left="5400" w:hanging="360"/>
      </w:pPr>
    </w:lvl>
    <w:lvl w:ilvl="8" w:tplc="4BB60B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16B00"/>
    <w:rsid w:val="003531C5"/>
    <w:rsid w:val="003572B4"/>
    <w:rsid w:val="00362387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A317E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60D6C"/>
    <w:rsid w:val="00672511"/>
    <w:rsid w:val="00674CCD"/>
    <w:rsid w:val="00682D50"/>
    <w:rsid w:val="006845EE"/>
    <w:rsid w:val="0069259F"/>
    <w:rsid w:val="006A3B86"/>
    <w:rsid w:val="006A72C8"/>
    <w:rsid w:val="006C5CDD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12D3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266A5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EE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TBT/MWI/21_2785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2856</Characters>
  <Application>Microsoft Office Word</Application>
  <DocSecurity>0</DocSecurity>
  <Lines>67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2021-04-16T14:25:00Z</dcterms:created>
  <dcterms:modified xsi:type="dcterms:W3CDTF">2021-04-19T08:22:00Z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8789d0b2-e589-4e3a-a4a0-03c867197718</vt:lpwstr>
  </property>
  <property fmtid="{D5CDD505-2E9C-101B-9397-08002B2CF9AE}" pid="4" name="WTOCLASSIFICATION">
    <vt:lpwstr>INTERNAL</vt:lpwstr>
  </property>
</Properties>
</file>