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4FDD" w14:textId="7AF204B1" w:rsidR="005E2B26" w:rsidRPr="00931751" w:rsidRDefault="004E3D6B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D1741" w14:paraId="4FC90A6F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60AA1E8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F22C34" w14:textId="77777777" w:rsidR="005E2B26" w:rsidRPr="00931751" w:rsidRDefault="004E3D6B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1596A873" w14:textId="77777777" w:rsidR="005E2B26" w:rsidRPr="00931751" w:rsidRDefault="004E3D6B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4D1741" w14:paraId="09280BD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A2292D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28FEB" w14:textId="77777777" w:rsidR="005E2B26" w:rsidRPr="00931751" w:rsidRDefault="004E3D6B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D1741" w14:paraId="1829755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B9019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3EA1F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méfentrifluconazole dans ou sur diverses cultures (ICS</w:t>
            </w:r>
            <w:r w:rsidR="006930C2">
              <w:t> </w:t>
            </w:r>
            <w:r w:rsidRPr="00053BCC">
              <w:t>codes : 65.020, 65.100, 67.040, 67.060, 67.080, 67.100, 67.120, 67.180, 67.200)</w:t>
            </w:r>
            <w:bookmarkStart w:id="7" w:name="sps3a"/>
            <w:bookmarkEnd w:id="7"/>
          </w:p>
        </w:tc>
      </w:tr>
      <w:tr w:rsidR="004D1741" w14:paraId="298C89C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7486D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22B75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5679E146" w14:textId="77777777" w:rsidR="005E2B26" w:rsidRPr="00931751" w:rsidRDefault="004E3D6B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1CC415FF" w14:textId="77777777" w:rsidR="005E2B26" w:rsidRPr="00931751" w:rsidRDefault="004E3D6B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D1741" w14:paraId="3C23F78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DEB8A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1BD9C" w14:textId="77777777" w:rsidR="005E2B26" w:rsidRPr="00931751" w:rsidRDefault="004E3D6B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 : Méfentrifluconazole (PMRL2020-04)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6</w:t>
            </w:r>
            <w:bookmarkEnd w:id="20"/>
          </w:p>
        </w:tc>
      </w:tr>
      <w:tr w:rsidR="004D1741" w14:paraId="62E2D78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B67BB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75689" w14:textId="77777777" w:rsidR="005E2B26" w:rsidRPr="00931751" w:rsidRDefault="004E3D6B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PMRL2020-04 a pour but de mener une consultation sur les limites maximales de résidus (LMR) canadiennes qui ont été proposées par l'ARLA de Santé Canada pour le méfentrifluconazole.</w:t>
            </w:r>
          </w:p>
          <w:p w14:paraId="262FAB4D" w14:textId="77777777" w:rsidR="004D1741" w:rsidRPr="006930C2" w:rsidRDefault="004E3D6B" w:rsidP="006930C2">
            <w:pPr>
              <w:tabs>
                <w:tab w:val="left" w:pos="2137"/>
              </w:tabs>
              <w:rPr>
                <w:u w:val="single"/>
              </w:rPr>
            </w:pPr>
            <w:r w:rsidRPr="006930C2">
              <w:rPr>
                <w:u w:val="single"/>
              </w:rPr>
              <w:t>LMR  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Pr="00053BCC">
              <w:t xml:space="preserve"> </w:t>
            </w:r>
            <w:r w:rsidR="006930C2">
              <w:tab/>
            </w:r>
            <w:r w:rsidRPr="006930C2">
              <w:rPr>
                <w:u w:val="single"/>
              </w:rPr>
              <w:t>Produit agricole brut et/ou produit transformé</w:t>
            </w:r>
          </w:p>
          <w:p w14:paraId="0DCB612C" w14:textId="7777777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15</w:t>
            </w:r>
            <w:r w:rsidR="006930C2">
              <w:tab/>
            </w:r>
            <w:r w:rsidRPr="00053BCC">
              <w:t>Essence d'agrumes</w:t>
            </w:r>
          </w:p>
          <w:p w14:paraId="4E5B914D" w14:textId="3EAF20BC" w:rsidR="004D1741" w:rsidRPr="00053BCC" w:rsidRDefault="004E3D6B" w:rsidP="006930C2">
            <w:pPr>
              <w:tabs>
                <w:tab w:val="left" w:pos="2137"/>
              </w:tabs>
              <w:ind w:left="2137" w:hanging="2137"/>
            </w:pPr>
            <w:r w:rsidRPr="00053BCC">
              <w:t>4,0</w:t>
            </w:r>
            <w:r w:rsidR="006930C2">
              <w:tab/>
            </w:r>
            <w:r w:rsidRPr="00053BCC">
              <w:t>Cerises (sous-groupe de cultures</w:t>
            </w:r>
            <w:r w:rsidR="006930C2">
              <w:t xml:space="preserve"> </w:t>
            </w:r>
            <w:r w:rsidRPr="00053BCC">
              <w:t>12-09A); céréales (groupe de cultures</w:t>
            </w:r>
            <w:r w:rsidR="006930C2">
              <w:t xml:space="preserve"> </w:t>
            </w:r>
            <w:r w:rsidRPr="00053BCC">
              <w:t>15, sauf le blé, le triticale et le maïs), prunes à pruneaux séchées et raisins secs</w:t>
            </w:r>
          </w:p>
          <w:p w14:paraId="29E21948" w14:textId="7777777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2,0</w:t>
            </w:r>
            <w:r w:rsidR="006930C2">
              <w:tab/>
            </w:r>
            <w:r w:rsidRPr="00053BCC">
              <w:t>Prunes (sous-groupe de cultures 12-09C), lentilles sèches</w:t>
            </w:r>
          </w:p>
          <w:p w14:paraId="61F09E9E" w14:textId="77777777" w:rsidR="004D1741" w:rsidRPr="00053BCC" w:rsidRDefault="004E3D6B" w:rsidP="006930C2">
            <w:pPr>
              <w:tabs>
                <w:tab w:val="left" w:pos="2137"/>
              </w:tabs>
              <w:ind w:left="2137" w:hanging="2137"/>
            </w:pPr>
            <w:r w:rsidRPr="00053BCC">
              <w:t>1,5</w:t>
            </w:r>
            <w:r w:rsidR="006930C2">
              <w:tab/>
            </w:r>
            <w:r w:rsidRPr="00053BCC">
              <w:t>Fruits à pépins (groupe de cultures 11-09), pêches (sous-groupe de cultures</w:t>
            </w:r>
            <w:r w:rsidR="006930C2">
              <w:t xml:space="preserve"> </w:t>
            </w:r>
            <w:r w:rsidRPr="00053BCC">
              <w:t>12-09B), petits fruits de plantes grimpantes, sauf le kiwi (sous-groupe de cultures</w:t>
            </w:r>
            <w:r w:rsidR="006930C2">
              <w:t xml:space="preserve"> </w:t>
            </w:r>
            <w:r w:rsidRPr="00053BCC">
              <w:t>13-07F)</w:t>
            </w:r>
          </w:p>
          <w:p w14:paraId="67020DD4" w14:textId="6EF5414D" w:rsidR="004D1741" w:rsidRPr="00053BCC" w:rsidRDefault="004E3D6B" w:rsidP="006930C2">
            <w:pPr>
              <w:tabs>
                <w:tab w:val="left" w:pos="2137"/>
              </w:tabs>
              <w:ind w:left="2137" w:hanging="2126"/>
            </w:pPr>
            <w:r w:rsidRPr="00053BCC">
              <w:t>1,0</w:t>
            </w:r>
            <w:r w:rsidR="006930C2">
              <w:tab/>
            </w:r>
            <w:r w:rsidRPr="00053BCC">
              <w:t>Citrons et limes (sous-groupe de cultures</w:t>
            </w:r>
            <w:r w:rsidR="006930C2">
              <w:t xml:space="preserve"> </w:t>
            </w:r>
            <w:r w:rsidRPr="00053BCC">
              <w:t>10B révisé), colza (sous-groupe de cultures</w:t>
            </w:r>
            <w:r w:rsidR="006930C2">
              <w:t xml:space="preserve"> </w:t>
            </w:r>
            <w:r w:rsidRPr="00053BCC">
              <w:t>20A révisé)</w:t>
            </w:r>
          </w:p>
          <w:p w14:paraId="54D97693" w14:textId="45FB3B9D" w:rsidR="004D1741" w:rsidRPr="00053BCC" w:rsidRDefault="004E3D6B" w:rsidP="006930C2">
            <w:pPr>
              <w:tabs>
                <w:tab w:val="left" w:pos="2137"/>
              </w:tabs>
              <w:ind w:left="2137" w:hanging="2137"/>
            </w:pPr>
            <w:r w:rsidRPr="00053BCC">
              <w:t>0,6</w:t>
            </w:r>
            <w:r w:rsidR="006930C2">
              <w:tab/>
            </w:r>
            <w:r w:rsidRPr="00053BCC">
              <w:t>Oranges (sous-groupe de cultures</w:t>
            </w:r>
            <w:r w:rsidR="006930C2">
              <w:t xml:space="preserve"> </w:t>
            </w:r>
            <w:r w:rsidRPr="00053BCC">
              <w:t>10A révisé), racines de betteraves à sucre</w:t>
            </w:r>
          </w:p>
          <w:p w14:paraId="35A6C935" w14:textId="4D28508F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0,5</w:t>
            </w:r>
            <w:r w:rsidR="006930C2">
              <w:tab/>
            </w:r>
            <w:r w:rsidRPr="00053BCC">
              <w:t>Pamplemousses (sous-groupe de cultures</w:t>
            </w:r>
            <w:r w:rsidR="006930C2">
              <w:t xml:space="preserve"> </w:t>
            </w:r>
            <w:r w:rsidRPr="00053BCC">
              <w:t>10C révisé)</w:t>
            </w:r>
          </w:p>
          <w:p w14:paraId="5A81CDFE" w14:textId="7777777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0,4</w:t>
            </w:r>
            <w:r w:rsidR="006930C2">
              <w:tab/>
            </w:r>
            <w:r w:rsidRPr="00053BCC">
              <w:t>Soja sec</w:t>
            </w:r>
          </w:p>
          <w:p w14:paraId="40C87E03" w14:textId="14EE1169" w:rsidR="004D1741" w:rsidRPr="00053BCC" w:rsidRDefault="004E3D6B" w:rsidP="006930C2">
            <w:pPr>
              <w:tabs>
                <w:tab w:val="left" w:pos="2137"/>
              </w:tabs>
              <w:ind w:left="2137" w:hanging="2137"/>
            </w:pPr>
            <w:r w:rsidRPr="00053BCC">
              <w:t>0,3</w:t>
            </w:r>
            <w:r w:rsidR="006930C2">
              <w:tab/>
            </w:r>
            <w:r w:rsidRPr="00053BCC">
              <w:t>Blé; sous-produits de viande de bovin, de chèvre, de cheval et de</w:t>
            </w:r>
            <w:r w:rsidR="006930C2">
              <w:t> </w:t>
            </w:r>
            <w:r w:rsidRPr="00053BCC">
              <w:t>mouton; triticale</w:t>
            </w:r>
          </w:p>
          <w:p w14:paraId="669712C7" w14:textId="7777777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0,2</w:t>
            </w:r>
            <w:r w:rsidR="006930C2">
              <w:tab/>
            </w:r>
            <w:r w:rsidRPr="00053BCC">
              <w:t>Gras de bovin, de chèvre, de cheval et de mouton</w:t>
            </w:r>
          </w:p>
          <w:p w14:paraId="4CB84664" w14:textId="77777777" w:rsidR="004D1741" w:rsidRPr="00053BCC" w:rsidRDefault="004E3D6B" w:rsidP="006930C2">
            <w:pPr>
              <w:tabs>
                <w:tab w:val="left" w:pos="2137"/>
              </w:tabs>
              <w:ind w:left="2137" w:hanging="2137"/>
            </w:pPr>
            <w:r w:rsidRPr="00053BCC">
              <w:t>0,15</w:t>
            </w:r>
            <w:r w:rsidR="006930C2">
              <w:tab/>
            </w:r>
            <w:r w:rsidRPr="00053BCC">
              <w:t>Graines vertes ou sèches de légumineuses (groupe de cultures</w:t>
            </w:r>
            <w:r w:rsidR="006930C2">
              <w:t xml:space="preserve"> </w:t>
            </w:r>
            <w:r w:rsidRPr="00053BCC">
              <w:t>6), sauf les lentilles sèches et le soja sec</w:t>
            </w:r>
          </w:p>
          <w:p w14:paraId="54714BF5" w14:textId="7777777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0,1</w:t>
            </w:r>
            <w:r w:rsidR="006930C2">
              <w:tab/>
            </w:r>
            <w:r w:rsidRPr="00053BCC">
              <w:t>Matières grasses du lait</w:t>
            </w:r>
          </w:p>
          <w:p w14:paraId="197BE9D9" w14:textId="7777777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0,06</w:t>
            </w:r>
            <w:r w:rsidR="006930C2">
              <w:tab/>
            </w:r>
            <w:r w:rsidRPr="00053BCC">
              <w:t>Noix au sens large, arachides exclues (groupe de cultures</w:t>
            </w:r>
            <w:r w:rsidR="006930C2">
              <w:t xml:space="preserve"> </w:t>
            </w:r>
            <w:r w:rsidRPr="00053BCC">
              <w:t>14-11)</w:t>
            </w:r>
          </w:p>
          <w:p w14:paraId="41C6D644" w14:textId="020BE18C" w:rsidR="004D1741" w:rsidRPr="00053BCC" w:rsidRDefault="004E3D6B" w:rsidP="006930C2">
            <w:pPr>
              <w:tabs>
                <w:tab w:val="left" w:pos="2137"/>
              </w:tabs>
              <w:ind w:left="2137" w:hanging="2137"/>
            </w:pPr>
            <w:r w:rsidRPr="00053BCC">
              <w:t>0,04</w:t>
            </w:r>
            <w:r w:rsidR="006930C2">
              <w:tab/>
            </w:r>
            <w:r w:rsidRPr="00053BCC">
              <w:t>Légumes-tubercules et légumes-cormes (sous</w:t>
            </w:r>
            <w:r w:rsidR="006930C2">
              <w:t xml:space="preserve"> </w:t>
            </w:r>
            <w:r w:rsidRPr="00053BCC">
              <w:t>-</w:t>
            </w:r>
            <w:r w:rsidR="006930C2">
              <w:t xml:space="preserve"> </w:t>
            </w:r>
            <w:r w:rsidRPr="00053BCC">
              <w:t>groupe de cultures</w:t>
            </w:r>
            <w:r w:rsidR="006930C2">
              <w:t> </w:t>
            </w:r>
            <w:r w:rsidRPr="00053BCC">
              <w:t>1C)</w:t>
            </w:r>
          </w:p>
          <w:p w14:paraId="0416BD88" w14:textId="715F34E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t>0,03</w:t>
            </w:r>
            <w:r w:rsidR="006930C2">
              <w:tab/>
            </w:r>
            <w:r w:rsidRPr="00053BCC">
              <w:t>Épis épluchés de maïs sucré</w:t>
            </w:r>
          </w:p>
          <w:p w14:paraId="7771C12D" w14:textId="77777777" w:rsidR="004D1741" w:rsidRPr="00053BCC" w:rsidRDefault="004E3D6B" w:rsidP="006930C2">
            <w:pPr>
              <w:tabs>
                <w:tab w:val="left" w:pos="2137"/>
              </w:tabs>
            </w:pPr>
            <w:r w:rsidRPr="00053BCC">
              <w:lastRenderedPageBreak/>
              <w:t>0,02</w:t>
            </w:r>
            <w:r w:rsidR="006930C2">
              <w:tab/>
            </w:r>
            <w:r w:rsidRPr="00053BCC">
              <w:t>Viande de bovin, de chèvre, de cheval et de mouton; lait</w:t>
            </w:r>
          </w:p>
          <w:p w14:paraId="620CD315" w14:textId="77777777" w:rsidR="004D1741" w:rsidRPr="00053BCC" w:rsidRDefault="004E3D6B" w:rsidP="006930C2">
            <w:pPr>
              <w:tabs>
                <w:tab w:val="left" w:pos="2137"/>
              </w:tabs>
              <w:ind w:left="2137" w:hanging="2137"/>
            </w:pPr>
            <w:r w:rsidRPr="00053BCC">
              <w:t>0,01</w:t>
            </w:r>
            <w:r w:rsidR="006930C2">
              <w:tab/>
            </w:r>
            <w:r w:rsidRPr="00053BCC">
              <w:t>Œufs; gras, viande et sous-produits de viande de porc et de volaille; maïs de grande culture; arachides; maïs à éclater</w:t>
            </w:r>
          </w:p>
          <w:p w14:paraId="210AB0A9" w14:textId="77777777" w:rsidR="004D1741" w:rsidRPr="00053BCC" w:rsidRDefault="004E3D6B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6930C2">
              <w:rPr>
                <w:sz w:val="16"/>
                <w:szCs w:val="20"/>
              </w:rPr>
              <w:t>ppm = partie par million</w:t>
            </w:r>
          </w:p>
          <w:p w14:paraId="45081A39" w14:textId="38101798" w:rsidR="004D1741" w:rsidRPr="00053BCC" w:rsidRDefault="004E3D6B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D1741" w14:paraId="0C7CDEF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2E8DA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BBD5F" w14:textId="77777777" w:rsidR="005E2B26" w:rsidRPr="00931751" w:rsidRDefault="004E3D6B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D1741" w14:paraId="7784ED5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2BACB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4CA67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9157DEC" w14:textId="77777777" w:rsidR="005E2B26" w:rsidRPr="00931751" w:rsidRDefault="004E3D6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6" w:name="sps8a"/>
            <w:bookmarkEnd w:id="36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788CC2E3" w14:textId="77777777" w:rsidR="005E2B26" w:rsidRPr="00931751" w:rsidRDefault="004E3D6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4B1D7DD8" w14:textId="77777777" w:rsidR="005E2B26" w:rsidRPr="00931751" w:rsidRDefault="004E3D6B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45719937" w14:textId="77777777" w:rsidR="005E2B26" w:rsidRPr="00931751" w:rsidRDefault="004E3D6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320FB357" w14:textId="77777777" w:rsidR="005E2B26" w:rsidRPr="00931751" w:rsidRDefault="004E3D6B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1F5FDAB6" w14:textId="77777777" w:rsidR="005E2B26" w:rsidRPr="00931751" w:rsidRDefault="004E3D6B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3B56443F" w14:textId="77777777" w:rsidR="005E2B26" w:rsidRPr="00931751" w:rsidRDefault="004E3D6B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le méfentrifluconazole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D1741" w14:paraId="40F295E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2153F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5E86E" w14:textId="77777777" w:rsidR="005E2B26" w:rsidRPr="00931751" w:rsidRDefault="004E3D6B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 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PMRL2020-04, affiché le 9 mars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D1741" w14:paraId="640C486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EC0BA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45D4F" w14:textId="77777777" w:rsidR="005E2B26" w:rsidRPr="00931751" w:rsidRDefault="004E3D6B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77DC934F" w14:textId="77777777" w:rsidR="005E2B26" w:rsidRPr="00931751" w:rsidRDefault="004E3D6B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D1741" w14:paraId="36DCE13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2068F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27ACE" w14:textId="77777777" w:rsidR="005E2B26" w:rsidRPr="00931751" w:rsidRDefault="004E3D6B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702E2F63" w14:textId="77777777" w:rsidR="005E2B26" w:rsidRPr="00931751" w:rsidRDefault="004E3D6B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D1741" w14:paraId="54121AE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93613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C6619" w14:textId="77777777" w:rsidR="005E2B26" w:rsidRPr="00931751" w:rsidRDefault="004E3D6B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23 mai 2020</w:t>
            </w:r>
            <w:bookmarkEnd w:id="71"/>
          </w:p>
          <w:p w14:paraId="41C595D6" w14:textId="77777777" w:rsidR="005E2B26" w:rsidRPr="00931751" w:rsidRDefault="004E3D6B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4D1741" w14:paraId="59CDA5D7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9E8919" w14:textId="77777777" w:rsidR="005E2B26" w:rsidRPr="00931751" w:rsidRDefault="004E3D6B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FE6FFB" w14:textId="77777777" w:rsidR="005E2B26" w:rsidRPr="00931751" w:rsidRDefault="004E3D6B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651AB93D" w14:textId="77637F1A" w:rsidR="005E2B26" w:rsidRPr="00053BCC" w:rsidRDefault="004E3D6B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4D4136D2" w14:textId="77777777" w:rsidR="005E2B26" w:rsidRPr="00053BCC" w:rsidRDefault="003825F6" w:rsidP="00252E8B">
            <w:pPr>
              <w:keepNext/>
              <w:keepLines/>
            </w:pPr>
            <w:hyperlink r:id="rId10" w:tgtFrame="_blank" w:history="1">
              <w:r w:rsidR="004E3D6B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https://www.canada.ca/en/health-canada/services/consumer-product-safety/pesticides-pest-management/public/consultations/proposed-maximum-residue-limit/2020/mefentrifluconazole/document.html</w:t>
              </w:r>
            </w:hyperlink>
            <w:r w:rsidR="004E3D6B" w:rsidRPr="00053BCC">
              <w:t xml:space="preserve"> (anglais)</w:t>
            </w:r>
          </w:p>
          <w:p w14:paraId="59E0F213" w14:textId="77777777" w:rsidR="005E2B26" w:rsidRPr="00053BCC" w:rsidRDefault="003825F6" w:rsidP="00252E8B">
            <w:pPr>
              <w:keepNext/>
              <w:keepLines/>
            </w:pPr>
            <w:hyperlink r:id="rId11" w:tgtFrame="_blank" w:history="1">
              <w:r w:rsidR="004E3D6B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https://www.canada.ca/fr/sante-canada/services/securite-produits-consommation/pesticides-lutte-antiparasitaire/public/consultations/limites-maximales-residus-proposees/2020/mefentrifluconazole/document.html</w:t>
              </w:r>
            </w:hyperlink>
            <w:r w:rsidR="004E3D6B" w:rsidRPr="00053BCC">
              <w:t xml:space="preserve"> (français)</w:t>
            </w:r>
          </w:p>
          <w:p w14:paraId="25B3B04D" w14:textId="77777777" w:rsidR="005E2B26" w:rsidRPr="00053BCC" w:rsidRDefault="004E3D6B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797F34F0" w14:textId="77777777" w:rsidR="005E2B26" w:rsidRPr="00053BCC" w:rsidRDefault="004E3D6B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201ED985" w14:textId="77777777" w:rsidR="005E2B26" w:rsidRPr="00053BCC" w:rsidRDefault="004E3D6B" w:rsidP="00252E8B">
            <w:pPr>
              <w:keepNext/>
              <w:keepLines/>
            </w:pPr>
            <w:r w:rsidRPr="00053BCC">
              <w:t>Affaires mondiales Canada</w:t>
            </w:r>
          </w:p>
          <w:p w14:paraId="5A8B8062" w14:textId="77777777" w:rsidR="005E2B26" w:rsidRPr="00053BCC" w:rsidRDefault="004E3D6B" w:rsidP="00252E8B">
            <w:pPr>
              <w:keepNext/>
              <w:keepLines/>
            </w:pPr>
            <w:r w:rsidRPr="00053BCC">
              <w:t>111, promenade Sussex</w:t>
            </w:r>
          </w:p>
          <w:p w14:paraId="34C90ADD" w14:textId="77777777" w:rsidR="005E2B26" w:rsidRPr="00053BCC" w:rsidRDefault="004E3D6B" w:rsidP="00252E8B">
            <w:pPr>
              <w:keepNext/>
              <w:keepLines/>
            </w:pPr>
            <w:r w:rsidRPr="00053BCC">
              <w:t>Ottawa (Ontario) K1A 0G2</w:t>
            </w:r>
          </w:p>
          <w:p w14:paraId="1FB2A345" w14:textId="77777777" w:rsidR="005E2B26" w:rsidRPr="00053BCC" w:rsidRDefault="004E3D6B" w:rsidP="00252E8B">
            <w:pPr>
              <w:keepNext/>
              <w:keepLines/>
            </w:pPr>
            <w:r w:rsidRPr="00053BCC">
              <w:t>Canada</w:t>
            </w:r>
          </w:p>
          <w:p w14:paraId="232E3F85" w14:textId="77777777" w:rsidR="005E2B26" w:rsidRPr="00053BCC" w:rsidRDefault="004E3D6B" w:rsidP="00252E8B">
            <w:pPr>
              <w:keepNext/>
              <w:keepLines/>
            </w:pPr>
            <w:r w:rsidRPr="00053BCC">
              <w:t>Tel: +(343) 203 4273</w:t>
            </w:r>
          </w:p>
          <w:p w14:paraId="4047A6A9" w14:textId="77777777" w:rsidR="005E2B26" w:rsidRPr="00053BCC" w:rsidRDefault="004E3D6B" w:rsidP="00252E8B">
            <w:pPr>
              <w:keepNext/>
              <w:keepLines/>
            </w:pPr>
            <w:r w:rsidRPr="00053BCC">
              <w:t>Fax: +(613) 943 0346</w:t>
            </w:r>
          </w:p>
          <w:p w14:paraId="17D176F7" w14:textId="34696482" w:rsidR="005E2B26" w:rsidRPr="00053BCC" w:rsidRDefault="004E3D6B" w:rsidP="00252E8B">
            <w:pPr>
              <w:keepNext/>
              <w:keepLines/>
              <w:spacing w:after="120"/>
            </w:pPr>
            <w:r w:rsidRPr="00053BCC">
              <w:t xml:space="preserve">Courriel: </w:t>
            </w:r>
            <w:hyperlink r:id="rId12" w:history="1">
              <w:r w:rsidR="006930C2" w:rsidRPr="00DE4FFC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 w:rsidR="006930C2">
              <w:t xml:space="preserve"> </w:t>
            </w:r>
          </w:p>
        </w:tc>
      </w:tr>
    </w:tbl>
    <w:p w14:paraId="41600737" w14:textId="77777777" w:rsidR="00337700" w:rsidRPr="00931751" w:rsidRDefault="00337700" w:rsidP="00931751"/>
    <w:sectPr w:rsidR="00337700" w:rsidRPr="00931751" w:rsidSect="006930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7A31A" w14:textId="77777777" w:rsidR="00230F15" w:rsidRDefault="004E3D6B">
      <w:r>
        <w:separator/>
      </w:r>
    </w:p>
  </w:endnote>
  <w:endnote w:type="continuationSeparator" w:id="0">
    <w:p w14:paraId="00AB6EFF" w14:textId="77777777" w:rsidR="00230F15" w:rsidRDefault="004E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E9BD" w14:textId="77777777" w:rsidR="005E2B26" w:rsidRPr="006930C2" w:rsidRDefault="006930C2" w:rsidP="006930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74EF" w14:textId="77777777" w:rsidR="00DD65B2" w:rsidRPr="006930C2" w:rsidRDefault="006930C2" w:rsidP="006930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36CB" w14:textId="77777777" w:rsidR="00DD65B2" w:rsidRPr="00931751" w:rsidRDefault="004E3D6B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CE24" w14:textId="77777777" w:rsidR="00230F15" w:rsidRDefault="004E3D6B">
      <w:r>
        <w:separator/>
      </w:r>
    </w:p>
  </w:footnote>
  <w:footnote w:type="continuationSeparator" w:id="0">
    <w:p w14:paraId="3DD61E6E" w14:textId="77777777" w:rsidR="00230F15" w:rsidRDefault="004E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DFF" w14:textId="77777777" w:rsidR="006930C2" w:rsidRPr="006930C2" w:rsidRDefault="006930C2" w:rsidP="0069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0C2">
      <w:t>G/SPS/N/CAN/1301</w:t>
    </w:r>
  </w:p>
  <w:p w14:paraId="377CAED6" w14:textId="77777777" w:rsidR="006930C2" w:rsidRPr="006930C2" w:rsidRDefault="006930C2" w:rsidP="0069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4C215B" w14:textId="77777777" w:rsidR="006930C2" w:rsidRPr="006930C2" w:rsidRDefault="006930C2" w:rsidP="0069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0C2">
      <w:t xml:space="preserve">- </w:t>
    </w:r>
    <w:r w:rsidRPr="006930C2">
      <w:fldChar w:fldCharType="begin"/>
    </w:r>
    <w:r w:rsidRPr="006930C2">
      <w:instrText xml:space="preserve"> PAGE </w:instrText>
    </w:r>
    <w:r w:rsidRPr="006930C2">
      <w:fldChar w:fldCharType="separate"/>
    </w:r>
    <w:r w:rsidRPr="006930C2">
      <w:rPr>
        <w:noProof/>
      </w:rPr>
      <w:t>2</w:t>
    </w:r>
    <w:r w:rsidRPr="006930C2">
      <w:fldChar w:fldCharType="end"/>
    </w:r>
    <w:r w:rsidRPr="006930C2">
      <w:t xml:space="preserve"> -</w:t>
    </w:r>
  </w:p>
  <w:p w14:paraId="14A88331" w14:textId="77777777" w:rsidR="005E2B26" w:rsidRPr="006930C2" w:rsidRDefault="005E2B26" w:rsidP="006930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5AE7" w14:textId="77777777" w:rsidR="006930C2" w:rsidRPr="006930C2" w:rsidRDefault="006930C2" w:rsidP="0069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0C2">
      <w:t>G/SPS/N/CAN/1301</w:t>
    </w:r>
  </w:p>
  <w:p w14:paraId="363C263C" w14:textId="77777777" w:rsidR="006930C2" w:rsidRPr="006930C2" w:rsidRDefault="006930C2" w:rsidP="0069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93AF3A" w14:textId="77777777" w:rsidR="006930C2" w:rsidRPr="006930C2" w:rsidRDefault="006930C2" w:rsidP="006930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0C2">
      <w:t xml:space="preserve">- </w:t>
    </w:r>
    <w:r w:rsidRPr="006930C2">
      <w:fldChar w:fldCharType="begin"/>
    </w:r>
    <w:r w:rsidRPr="006930C2">
      <w:instrText xml:space="preserve"> PAGE </w:instrText>
    </w:r>
    <w:r w:rsidRPr="006930C2">
      <w:fldChar w:fldCharType="separate"/>
    </w:r>
    <w:r w:rsidRPr="006930C2">
      <w:rPr>
        <w:noProof/>
      </w:rPr>
      <w:t>2</w:t>
    </w:r>
    <w:r w:rsidRPr="006930C2">
      <w:fldChar w:fldCharType="end"/>
    </w:r>
    <w:r w:rsidRPr="006930C2">
      <w:t xml:space="preserve"> -</w:t>
    </w:r>
  </w:p>
  <w:p w14:paraId="08B61F56" w14:textId="77777777" w:rsidR="00DD65B2" w:rsidRPr="006930C2" w:rsidRDefault="00DD65B2" w:rsidP="006930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1741" w14:paraId="7DB63A1D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8086EF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C55E10" w14:textId="77777777" w:rsidR="00172B05" w:rsidRPr="000A2392" w:rsidRDefault="006930C2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D1741" w14:paraId="6A9D89EC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E0747A" w14:textId="77777777" w:rsidR="00172B05" w:rsidRPr="000A2392" w:rsidRDefault="00E00ED1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589F8FE" wp14:editId="7922246D">
                <wp:extent cx="2383155" cy="7207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15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E15599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D1741" w14:paraId="7397DBB0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C11D8B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972C2B" w14:textId="77777777" w:rsidR="006930C2" w:rsidRDefault="006930C2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G/SPS/N/CAN/1301</w:t>
          </w:r>
        </w:p>
        <w:bookmarkEnd w:id="87"/>
        <w:p w14:paraId="3986632F" w14:textId="7777777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D1741" w14:paraId="6BEF466E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D3D212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EBC02" w14:textId="12A413BA" w:rsidR="00172B05" w:rsidRPr="000A2392" w:rsidRDefault="00382B1B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16 mars 2020</w:t>
          </w:r>
        </w:p>
      </w:tc>
    </w:tr>
    <w:tr w:rsidR="004D1741" w14:paraId="264D18E0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6DE285" w14:textId="15800910" w:rsidR="00172B05" w:rsidRPr="000A2392" w:rsidRDefault="004E3D6B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382B1B">
            <w:rPr>
              <w:color w:val="FF0000"/>
              <w:szCs w:val="18"/>
            </w:rPr>
            <w:t>20-</w:t>
          </w:r>
          <w:r w:rsidR="003825F6">
            <w:rPr>
              <w:color w:val="FF0000"/>
              <w:szCs w:val="18"/>
            </w:rPr>
            <w:t>2043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97EC31" w14:textId="77777777" w:rsidR="00172B05" w:rsidRPr="000A2392" w:rsidRDefault="004E3D6B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4D1741" w14:paraId="2C82C4F3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C013A0" w14:textId="77777777" w:rsidR="00172B05" w:rsidRPr="000A2392" w:rsidRDefault="006930C2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BDE18D" w14:textId="77777777" w:rsidR="00172B05" w:rsidRPr="00931751" w:rsidRDefault="006930C2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2FCA793E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B44D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BAB6F6" w:tentative="1">
      <w:start w:val="1"/>
      <w:numFmt w:val="lowerLetter"/>
      <w:lvlText w:val="%2."/>
      <w:lvlJc w:val="left"/>
      <w:pPr>
        <w:ind w:left="1080" w:hanging="360"/>
      </w:pPr>
    </w:lvl>
    <w:lvl w:ilvl="2" w:tplc="77F0AFE2" w:tentative="1">
      <w:start w:val="1"/>
      <w:numFmt w:val="lowerRoman"/>
      <w:lvlText w:val="%3."/>
      <w:lvlJc w:val="right"/>
      <w:pPr>
        <w:ind w:left="1800" w:hanging="180"/>
      </w:pPr>
    </w:lvl>
    <w:lvl w:ilvl="3" w:tplc="1292AEAC" w:tentative="1">
      <w:start w:val="1"/>
      <w:numFmt w:val="decimal"/>
      <w:lvlText w:val="%4."/>
      <w:lvlJc w:val="left"/>
      <w:pPr>
        <w:ind w:left="2520" w:hanging="360"/>
      </w:pPr>
    </w:lvl>
    <w:lvl w:ilvl="4" w:tplc="ABC65E10" w:tentative="1">
      <w:start w:val="1"/>
      <w:numFmt w:val="lowerLetter"/>
      <w:lvlText w:val="%5."/>
      <w:lvlJc w:val="left"/>
      <w:pPr>
        <w:ind w:left="3240" w:hanging="360"/>
      </w:pPr>
    </w:lvl>
    <w:lvl w:ilvl="5" w:tplc="223E1782" w:tentative="1">
      <w:start w:val="1"/>
      <w:numFmt w:val="lowerRoman"/>
      <w:lvlText w:val="%6."/>
      <w:lvlJc w:val="right"/>
      <w:pPr>
        <w:ind w:left="3960" w:hanging="180"/>
      </w:pPr>
    </w:lvl>
    <w:lvl w:ilvl="6" w:tplc="4D3A1784" w:tentative="1">
      <w:start w:val="1"/>
      <w:numFmt w:val="decimal"/>
      <w:lvlText w:val="%7."/>
      <w:lvlJc w:val="left"/>
      <w:pPr>
        <w:ind w:left="4680" w:hanging="360"/>
      </w:pPr>
    </w:lvl>
    <w:lvl w:ilvl="7" w:tplc="77B84E86" w:tentative="1">
      <w:start w:val="1"/>
      <w:numFmt w:val="lowerLetter"/>
      <w:lvlText w:val="%8."/>
      <w:lvlJc w:val="left"/>
      <w:pPr>
        <w:ind w:left="5400" w:hanging="360"/>
      </w:pPr>
    </w:lvl>
    <w:lvl w:ilvl="8" w:tplc="EFAE7B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0F1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825F6"/>
    <w:rsid w:val="00382B1B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1741"/>
    <w:rsid w:val="004D5FBF"/>
    <w:rsid w:val="004E3D6B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30C2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00ED1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C6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93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mefentrifluconazol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mefentrifluconazole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7204-F479-4D76-9CA4-61C5AB57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827</Words>
  <Characters>5334</Characters>
  <Application>Microsoft Office Word</Application>
  <DocSecurity>0</DocSecurity>
  <Lines>122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2020-03-13T14:23:00Z</dcterms:created>
  <dcterms:modified xsi:type="dcterms:W3CDTF">2020-03-16T11:44:00Z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G/SPS/N/CAN/1301</vt:lpwstr>
  </property>
  <property fmtid="{D5CDD505-2E9C-101B-9397-08002B2CF9AE}" pid="3" name="TitusGUID">
    <vt:lpwstr>bfe94fb8-2235-4fe4-83ab-abffe999eb1b</vt:lpwstr>
  </property>
  <property fmtid="{D5CDD505-2E9C-101B-9397-08002B2CF9AE}" pid="4" name="WTOCLASSIFICATION">
    <vt:lpwstr>WTO OFFICIAL</vt:lpwstr>
  </property>
</Properties>
</file>