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F35E60" w:rsidRDefault="009A6684" w:rsidP="00FB06A9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F35E60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06ADB" w:rsidRPr="00F35E60" w:rsidTr="00F35E6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Membre notifiant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rPr>
                <w:caps/>
                <w:u w:val="single"/>
              </w:rPr>
              <w:t>T</w:t>
            </w:r>
            <w:r w:rsidRPr="00F35E60">
              <w:rPr>
                <w:caps/>
                <w:u w:val="single"/>
              </w:rPr>
              <w:t>haïlande</w:t>
            </w:r>
          </w:p>
          <w:p w:rsidR="00EA4725" w:rsidRPr="00F35E60" w:rsidRDefault="009A6684" w:rsidP="00F35E60">
            <w:pPr>
              <w:spacing w:after="120"/>
            </w:pPr>
            <w:r w:rsidRPr="00F35E60">
              <w:rPr>
                <w:b/>
                <w:bCs/>
              </w:rPr>
              <w:t>Le cas échéant, pouvoirs publics locaux concernés</w:t>
            </w:r>
            <w:r w:rsidR="00F35E60" w:rsidRPr="00F35E60">
              <w:rPr>
                <w:b/>
                <w:bCs/>
              </w:rPr>
              <w:t xml:space="preserve">: </w:t>
            </w:r>
            <w:r w:rsidR="00F35E60" w:rsidRPr="00F35E60">
              <w:t>-</w:t>
            </w:r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Organisme responsable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rPr>
                <w:i/>
              </w:rPr>
              <w:t>F</w:t>
            </w:r>
            <w:r w:rsidRPr="00F35E60">
              <w:rPr>
                <w:i/>
              </w:rPr>
              <w:t>ood and Drug Administration (</w:t>
            </w:r>
            <w:proofErr w:type="spellStart"/>
            <w:r w:rsidRPr="00F35E60">
              <w:rPr>
                <w:i/>
              </w:rPr>
              <w:t>Thai</w:t>
            </w:r>
            <w:proofErr w:type="spellEnd"/>
            <w:r w:rsidRPr="00F35E60">
              <w:rPr>
                <w:i/>
              </w:rPr>
              <w:t xml:space="preserve"> FDA)</w:t>
            </w:r>
            <w:r w:rsidRPr="00F35E60">
              <w:t xml:space="preserve"> (Agence thaïlandaise des médicaments et des produits alimentaires)</w:t>
            </w:r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Produits visés (Prière d'indiquer le(s) numéro(s) du tarif figurant dans les listes nationales déposées à l'OMC</w:t>
            </w:r>
            <w:r w:rsidR="00F35E60" w:rsidRPr="00F35E60">
              <w:rPr>
                <w:b/>
              </w:rPr>
              <w:t>. L</w:t>
            </w:r>
            <w:r w:rsidRPr="00F35E60">
              <w:rPr>
                <w:b/>
              </w:rPr>
              <w:t>es numéros de l'</w:t>
            </w:r>
            <w:proofErr w:type="spellStart"/>
            <w:r w:rsidRPr="00F35E60">
              <w:rPr>
                <w:b/>
              </w:rPr>
              <w:t>ICS</w:t>
            </w:r>
            <w:proofErr w:type="spellEnd"/>
            <w:r w:rsidRPr="00F35E60">
              <w:rPr>
                <w:b/>
              </w:rPr>
              <w:t xml:space="preserve"> devraient aussi être indiqués, le cas échéant)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t>P</w:t>
            </w:r>
            <w:r w:rsidRPr="00F35E60">
              <w:t>roduits alimentaires en général (</w:t>
            </w:r>
            <w:proofErr w:type="spellStart"/>
            <w:r w:rsidRPr="00F35E60">
              <w:t>ICS</w:t>
            </w:r>
            <w:proofErr w:type="spellEnd"/>
            <w:r w:rsidRPr="00F35E60">
              <w:t xml:space="preserve"> 67.040)</w:t>
            </w:r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  <w:rPr>
                <w:b/>
              </w:rPr>
            </w:pPr>
            <w:r w:rsidRPr="00F35E6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  <w:rPr>
                <w:b/>
                <w:bCs/>
              </w:rPr>
            </w:pPr>
            <w:r w:rsidRPr="00F35E60">
              <w:rPr>
                <w:b/>
              </w:rPr>
              <w:t>Régions ou pays susceptibles d'être concernés, si cela est pertinent ou faisable:</w:t>
            </w:r>
          </w:p>
          <w:p w:rsidR="00A838D9" w:rsidRPr="00F35E60" w:rsidRDefault="009A6684" w:rsidP="00FB06A9">
            <w:pPr>
              <w:spacing w:after="80"/>
              <w:ind w:left="607" w:hanging="607"/>
              <w:rPr>
                <w:b/>
              </w:rPr>
            </w:pPr>
            <w:r w:rsidRPr="00F35E60">
              <w:rPr>
                <w:b/>
              </w:rPr>
              <w:t>[X]</w:t>
            </w:r>
            <w:r w:rsidRPr="00F35E60">
              <w:rPr>
                <w:b/>
              </w:rPr>
              <w:tab/>
              <w:t>Tous les partenaires commerciaux</w:t>
            </w:r>
          </w:p>
          <w:p w:rsidR="00EA4725" w:rsidRPr="00F35E60" w:rsidRDefault="00F35E60" w:rsidP="00FB06A9">
            <w:pPr>
              <w:spacing w:after="80"/>
              <w:ind w:left="607" w:hanging="607"/>
              <w:rPr>
                <w:b/>
              </w:rPr>
            </w:pPr>
            <w:r w:rsidRPr="00F35E60">
              <w:rPr>
                <w:b/>
                <w:bCs/>
              </w:rPr>
              <w:t>[ ]</w:t>
            </w:r>
            <w:r w:rsidR="00A838D9" w:rsidRPr="00F35E60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Intitulé du texte notifié</w:t>
            </w:r>
            <w:r w:rsidR="00F35E60" w:rsidRPr="00F35E60">
              <w:rPr>
                <w:b/>
              </w:rPr>
              <w:t xml:space="preserve">: </w:t>
            </w:r>
            <w:proofErr w:type="spellStart"/>
            <w:r w:rsidR="00F35E60" w:rsidRPr="00F35E60">
              <w:rPr>
                <w:i/>
              </w:rPr>
              <w:t>D</w:t>
            </w:r>
            <w:r w:rsidRPr="00F35E60">
              <w:rPr>
                <w:i/>
              </w:rPr>
              <w:t>raft</w:t>
            </w:r>
            <w:proofErr w:type="spellEnd"/>
            <w:r w:rsidRPr="00F35E60">
              <w:rPr>
                <w:i/>
              </w:rPr>
              <w:t xml:space="preserve"> Ministry of Public </w:t>
            </w:r>
            <w:proofErr w:type="spellStart"/>
            <w:r w:rsidRPr="00F35E60">
              <w:rPr>
                <w:i/>
              </w:rPr>
              <w:t>Health</w:t>
            </w:r>
            <w:proofErr w:type="spellEnd"/>
            <w:r w:rsidRPr="00F35E60">
              <w:rPr>
                <w:i/>
              </w:rPr>
              <w:t xml:space="preserve"> Notification (</w:t>
            </w:r>
            <w:proofErr w:type="spellStart"/>
            <w:r w:rsidRPr="00F35E60">
              <w:rPr>
                <w:i/>
              </w:rPr>
              <w:t>MOPH</w:t>
            </w:r>
            <w:proofErr w:type="spellEnd"/>
            <w:r w:rsidRPr="00F35E60">
              <w:rPr>
                <w:i/>
              </w:rPr>
              <w:t>), No. ..</w:t>
            </w:r>
            <w:r w:rsidR="00F35E60" w:rsidRPr="00F35E60">
              <w:rPr>
                <w:i/>
              </w:rPr>
              <w:t xml:space="preserve">. </w:t>
            </w:r>
            <w:proofErr w:type="spellStart"/>
            <w:r w:rsidR="00F35E60" w:rsidRPr="00F35E60">
              <w:rPr>
                <w:i/>
              </w:rPr>
              <w:t>B</w:t>
            </w:r>
            <w:r w:rsidRPr="00F35E60">
              <w:rPr>
                <w:i/>
              </w:rPr>
              <w:t>.E</w:t>
            </w:r>
            <w:proofErr w:type="spellEnd"/>
            <w:r w:rsidRPr="00F35E60">
              <w:rPr>
                <w:i/>
              </w:rPr>
              <w:t xml:space="preserve">. ..., </w:t>
            </w:r>
            <w:proofErr w:type="spellStart"/>
            <w:r w:rsidRPr="00F35E60">
              <w:rPr>
                <w:i/>
              </w:rPr>
              <w:t>entitled</w:t>
            </w:r>
            <w:proofErr w:type="spellEnd"/>
            <w:r w:rsidRPr="00F35E60">
              <w:rPr>
                <w:i/>
              </w:rPr>
              <w:t xml:space="preserve"> "Food </w:t>
            </w:r>
            <w:proofErr w:type="spellStart"/>
            <w:r w:rsidRPr="00F35E60">
              <w:rPr>
                <w:i/>
              </w:rPr>
              <w:t>Containing</w:t>
            </w:r>
            <w:proofErr w:type="spellEnd"/>
            <w:r w:rsidRPr="00F35E60">
              <w:rPr>
                <w:i/>
              </w:rPr>
              <w:t xml:space="preserve"> Pesticide </w:t>
            </w:r>
            <w:proofErr w:type="spellStart"/>
            <w:r w:rsidRPr="00F35E60">
              <w:rPr>
                <w:i/>
              </w:rPr>
              <w:t>Residues</w:t>
            </w:r>
            <w:proofErr w:type="spellEnd"/>
            <w:r w:rsidRPr="00F35E60">
              <w:rPr>
                <w:i/>
              </w:rPr>
              <w:t xml:space="preserve"> (No. 2)"</w:t>
            </w:r>
            <w:r w:rsidRPr="00F35E60">
              <w:t xml:space="preserve"> (Projet de notification n° ... du Ministère de la santé publique de ..</w:t>
            </w:r>
            <w:r w:rsidR="00F35E60" w:rsidRPr="00F35E60">
              <w:t xml:space="preserve">. </w:t>
            </w:r>
            <w:proofErr w:type="spellStart"/>
            <w:r w:rsidR="00F35E60" w:rsidRPr="00F35E60">
              <w:t>È</w:t>
            </w:r>
            <w:r w:rsidRPr="00F35E60">
              <w:t>.B</w:t>
            </w:r>
            <w:proofErr w:type="spellEnd"/>
            <w:r w:rsidRPr="00F35E60">
              <w:t>. relative aux aliments renfermant des résidus de pesticides (n° 2))</w:t>
            </w:r>
            <w:r w:rsidR="00F35E60" w:rsidRPr="00F35E60">
              <w:t xml:space="preserve">. </w:t>
            </w:r>
            <w:r w:rsidR="00F35E60" w:rsidRPr="00F35E60">
              <w:rPr>
                <w:b/>
              </w:rPr>
              <w:t>L</w:t>
            </w:r>
            <w:r w:rsidRPr="00F35E60">
              <w:rPr>
                <w:b/>
              </w:rPr>
              <w:t>angue(s)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t>t</w:t>
            </w:r>
            <w:r w:rsidRPr="00F35E60">
              <w:t>haï et anglais</w:t>
            </w:r>
            <w:r w:rsidR="00F35E60" w:rsidRPr="00F35E60">
              <w:t xml:space="preserve">. </w:t>
            </w:r>
            <w:r w:rsidR="00F35E60" w:rsidRPr="00F35E60">
              <w:rPr>
                <w:b/>
              </w:rPr>
              <w:t>N</w:t>
            </w:r>
            <w:r w:rsidRPr="00F35E60">
              <w:rPr>
                <w:b/>
              </w:rPr>
              <w:t>ombre de pages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t>2</w:t>
            </w:r>
            <w:r w:rsidRPr="00F35E60">
              <w:t xml:space="preserve"> et 1</w:t>
            </w:r>
          </w:p>
          <w:p w:rsidR="00EA4725" w:rsidRPr="00F35E60" w:rsidRDefault="003A2610" w:rsidP="00441372">
            <w:pPr>
              <w:rPr>
                <w:rStyle w:val="Hyperlink"/>
              </w:rPr>
            </w:pPr>
            <w:hyperlink r:id="rId8" w:tgtFrame="_blank" w:history="1">
              <w:r w:rsidR="00F35E60" w:rsidRPr="00F35E60">
                <w:rPr>
                  <w:rStyle w:val="Hyperlink"/>
                </w:rPr>
                <w:t>https://members.wto.org/crnattachments/2018/SPS/THA/18_1943_00_x.pdf</w:t>
              </w:r>
            </w:hyperlink>
          </w:p>
          <w:p w:rsidR="00906ADB" w:rsidRPr="00F35E60" w:rsidRDefault="003A2610" w:rsidP="00FB06A9">
            <w:pPr>
              <w:spacing w:after="80"/>
              <w:rPr>
                <w:rStyle w:val="Hyperlink"/>
              </w:rPr>
            </w:pPr>
            <w:hyperlink r:id="rId9" w:tgtFrame="_blank" w:history="1">
              <w:r w:rsidR="00F35E60" w:rsidRPr="00F35E60">
                <w:rPr>
                  <w:rStyle w:val="Hyperlink"/>
                </w:rPr>
                <w:t>https://members.wto.org/crnattachments/2018/SPS/THA/18_1943_00_e.pdf</w:t>
              </w:r>
            </w:hyperlink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Teneur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t>A</w:t>
            </w:r>
            <w:r w:rsidRPr="00F35E60">
              <w:t>fin de protéger les consommateurs, le Ministère de la santé publique (</w:t>
            </w:r>
            <w:proofErr w:type="spellStart"/>
            <w:r w:rsidRPr="00F35E60">
              <w:t>MOPH</w:t>
            </w:r>
            <w:proofErr w:type="spellEnd"/>
            <w:r w:rsidRPr="00F35E60">
              <w:t>) propose de réviser sa notification relative aux limites maximales de résidus de pesticides dans les aliments en s'appuyant sur une approche fondée sur les risques axée sur l'exposition à court terme (aigüe) ou à long terme (chronique) et sur les données nationales relatives à la consommation alimentaire et les données obtenues dans le cadre d'essais sur le terrain</w:t>
            </w:r>
            <w:r w:rsidR="00F35E60" w:rsidRPr="00F35E60">
              <w:t>. L</w:t>
            </w:r>
            <w:r w:rsidRPr="00F35E60">
              <w:t>a teneur du projet de notification est en substance la suivante:</w:t>
            </w:r>
          </w:p>
          <w:p w:rsidR="00906ADB" w:rsidRPr="00F35E60" w:rsidRDefault="009A6684" w:rsidP="00FB06A9">
            <w:pPr>
              <w:pStyle w:val="ListParagraph"/>
              <w:numPr>
                <w:ilvl w:val="0"/>
                <w:numId w:val="16"/>
              </w:numPr>
              <w:spacing w:after="80"/>
              <w:ind w:left="351" w:hanging="357"/>
            </w:pPr>
            <w:r w:rsidRPr="00F35E60">
              <w:t>les limites maximales de résidus (</w:t>
            </w:r>
            <w:proofErr w:type="spellStart"/>
            <w:r w:rsidRPr="00F35E60">
              <w:t>LMR</w:t>
            </w:r>
            <w:proofErr w:type="spellEnd"/>
            <w:r w:rsidRPr="00F35E60">
              <w:t>) ci</w:t>
            </w:r>
            <w:r w:rsidR="00F35E60" w:rsidRPr="00F35E60">
              <w:t>-</w:t>
            </w:r>
            <w:r w:rsidRPr="00F35E60">
              <w:t xml:space="preserve">après sont ajoutées à l'annexe 2 de la Notification du Ministère de la santé publique n° 387 de 2017 (2560 </w:t>
            </w:r>
            <w:proofErr w:type="spellStart"/>
            <w:r w:rsidRPr="00F35E60">
              <w:t>È.B</w:t>
            </w:r>
            <w:proofErr w:type="spellEnd"/>
            <w:r w:rsidRPr="00F35E60">
              <w:t>.) relative aux aliments renfermant des résidus de pesticides publiée le 1</w:t>
            </w:r>
            <w:r w:rsidR="00F35E60" w:rsidRPr="00F35E60">
              <w:t>8 août 2</w:t>
            </w:r>
            <w:r w:rsidRPr="00F35E60">
              <w:t>017:</w:t>
            </w:r>
          </w:p>
          <w:p w:rsidR="00906ADB" w:rsidRPr="00F35E60" w:rsidRDefault="009A6684" w:rsidP="00FB06A9">
            <w:pPr>
              <w:tabs>
                <w:tab w:val="left" w:pos="3245"/>
              </w:tabs>
              <w:spacing w:after="80"/>
              <w:ind w:left="340"/>
            </w:pPr>
            <w:r w:rsidRPr="00F35E60">
              <w:rPr>
                <w:u w:val="single"/>
              </w:rPr>
              <w:t>Pesticide</w:t>
            </w:r>
            <w:r w:rsidRPr="00F35E60">
              <w:tab/>
            </w:r>
            <w:r w:rsidRPr="00F35E60">
              <w:rPr>
                <w:u w:val="single"/>
              </w:rPr>
              <w:t>Denrée</w:t>
            </w:r>
          </w:p>
          <w:p w:rsidR="00906ADB" w:rsidRPr="00F35E60" w:rsidRDefault="009A6684" w:rsidP="006A1510">
            <w:pPr>
              <w:tabs>
                <w:tab w:val="left" w:pos="3245"/>
              </w:tabs>
              <w:ind w:left="340"/>
            </w:pPr>
            <w:proofErr w:type="spellStart"/>
            <w:r w:rsidRPr="00F35E60">
              <w:t>Carbosulfan</w:t>
            </w:r>
            <w:proofErr w:type="spellEnd"/>
            <w:r w:rsidRPr="00F35E60">
              <w:tab/>
              <w:t>Mangoustan</w:t>
            </w:r>
          </w:p>
          <w:p w:rsidR="00906ADB" w:rsidRPr="00F35E60" w:rsidRDefault="009A6684" w:rsidP="006A1510">
            <w:pPr>
              <w:tabs>
                <w:tab w:val="left" w:pos="3245"/>
              </w:tabs>
              <w:ind w:left="340"/>
            </w:pPr>
            <w:proofErr w:type="spellStart"/>
            <w:r w:rsidRPr="00F35E60">
              <w:t>Carbosulfan</w:t>
            </w:r>
            <w:proofErr w:type="spellEnd"/>
            <w:r w:rsidRPr="00F35E60">
              <w:tab/>
            </w:r>
            <w:proofErr w:type="spellStart"/>
            <w:r w:rsidRPr="00F35E60">
              <w:t>Mangosteen</w:t>
            </w:r>
            <w:proofErr w:type="spellEnd"/>
          </w:p>
          <w:p w:rsidR="00906ADB" w:rsidRPr="00F35E60" w:rsidRDefault="009A6684" w:rsidP="006A1510">
            <w:pPr>
              <w:tabs>
                <w:tab w:val="left" w:pos="3245"/>
              </w:tabs>
              <w:ind w:left="340"/>
            </w:pPr>
            <w:proofErr w:type="spellStart"/>
            <w:r w:rsidRPr="00F35E60">
              <w:t>Dithiocarbamates</w:t>
            </w:r>
            <w:proofErr w:type="spellEnd"/>
            <w:r w:rsidRPr="00F35E60">
              <w:tab/>
              <w:t>Longane</w:t>
            </w:r>
          </w:p>
          <w:p w:rsidR="00906ADB" w:rsidRPr="00F35E60" w:rsidRDefault="009A6684" w:rsidP="006A1510">
            <w:pPr>
              <w:tabs>
                <w:tab w:val="left" w:pos="3245"/>
              </w:tabs>
              <w:ind w:left="340"/>
            </w:pPr>
            <w:r w:rsidRPr="00F35E60">
              <w:t>Imidaclopride</w:t>
            </w:r>
            <w:r w:rsidRPr="00F35E60">
              <w:tab/>
              <w:t>Mangoustan</w:t>
            </w:r>
          </w:p>
          <w:p w:rsidR="00906ADB" w:rsidRPr="00F35E60" w:rsidRDefault="009A6684" w:rsidP="00FB06A9">
            <w:pPr>
              <w:tabs>
                <w:tab w:val="left" w:pos="3245"/>
              </w:tabs>
              <w:spacing w:after="80"/>
              <w:ind w:left="340"/>
            </w:pPr>
            <w:proofErr w:type="spellStart"/>
            <w:r w:rsidRPr="00F35E60">
              <w:t>Dinotéfuran</w:t>
            </w:r>
            <w:proofErr w:type="spellEnd"/>
            <w:r w:rsidRPr="00F35E60">
              <w:tab/>
              <w:t>Mangue</w:t>
            </w:r>
          </w:p>
          <w:p w:rsidR="00906ADB" w:rsidRPr="00F35E60" w:rsidRDefault="009A6684" w:rsidP="00FB06A9">
            <w:pPr>
              <w:pStyle w:val="ListParagraph"/>
              <w:numPr>
                <w:ilvl w:val="0"/>
                <w:numId w:val="16"/>
              </w:numPr>
              <w:spacing w:after="80"/>
              <w:ind w:left="351" w:hanging="357"/>
            </w:pPr>
            <w:r w:rsidRPr="00F35E60">
              <w:t>Le projet de notification entrera en vigueur après sa publication au Journal officiel.</w:t>
            </w:r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Objectif et raison d'être</w:t>
            </w:r>
            <w:r w:rsidR="00F35E60" w:rsidRPr="00F35E60">
              <w:rPr>
                <w:b/>
              </w:rPr>
              <w:t>: [</w:t>
            </w:r>
            <w:r w:rsidRPr="00F35E60">
              <w:rPr>
                <w:b/>
              </w:rPr>
              <w:t xml:space="preserve">X] innocuité des produits alimentaires, </w:t>
            </w:r>
            <w:r w:rsidR="00F35E60" w:rsidRPr="00F35E60">
              <w:rPr>
                <w:b/>
              </w:rPr>
              <w:t>[ ]</w:t>
            </w:r>
            <w:r w:rsidRPr="00F35E60">
              <w:rPr>
                <w:b/>
              </w:rPr>
              <w:t xml:space="preserve"> santé des animaux, </w:t>
            </w:r>
            <w:r w:rsidR="00F35E60" w:rsidRPr="00F35E60">
              <w:rPr>
                <w:b/>
              </w:rPr>
              <w:t>[ ]</w:t>
            </w:r>
            <w:r w:rsidRPr="00F35E60">
              <w:rPr>
                <w:b/>
              </w:rPr>
              <w:t xml:space="preserve"> préservation des végétaux, </w:t>
            </w:r>
            <w:r w:rsidR="00F35E60" w:rsidRPr="00F35E60">
              <w:rPr>
                <w:b/>
              </w:rPr>
              <w:t>[ ]</w:t>
            </w:r>
            <w:r w:rsidRPr="00F35E60">
              <w:rPr>
                <w:b/>
              </w:rPr>
              <w:t xml:space="preserve"> protection des personnes contre les maladies ou les parasites des animaux/des plantes, </w:t>
            </w:r>
            <w:r w:rsidR="00F35E60" w:rsidRPr="00F35E60">
              <w:rPr>
                <w:b/>
              </w:rPr>
              <w:t>[ ]</w:t>
            </w:r>
            <w:r w:rsidRPr="00F35E60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  <w:rPr>
                <w:b/>
              </w:rPr>
            </w:pPr>
            <w:r w:rsidRPr="00F35E6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80" w:after="80"/>
            </w:pPr>
            <w:r w:rsidRPr="00F35E60">
              <w:rPr>
                <w:b/>
              </w:rPr>
              <w:t>Existe</w:t>
            </w:r>
            <w:r w:rsidR="00F35E60" w:rsidRPr="00F35E60">
              <w:rPr>
                <w:b/>
              </w:rPr>
              <w:t>-</w:t>
            </w:r>
            <w:r w:rsidRPr="00F35E60">
              <w:rPr>
                <w:b/>
              </w:rPr>
              <w:t>t</w:t>
            </w:r>
            <w:r w:rsidR="00F35E60" w:rsidRPr="00F35E60">
              <w:rPr>
                <w:b/>
              </w:rPr>
              <w:t>-</w:t>
            </w:r>
            <w:r w:rsidRPr="00F35E60">
              <w:rPr>
                <w:b/>
              </w:rPr>
              <w:t>il une norme internationale pertinente</w:t>
            </w:r>
            <w:r w:rsidR="00F35E60" w:rsidRPr="00F35E60">
              <w:rPr>
                <w:b/>
              </w:rPr>
              <w:t>? D</w:t>
            </w:r>
            <w:r w:rsidRPr="00F35E60">
              <w:rPr>
                <w:b/>
              </w:rPr>
              <w:t>ans l'affirmative, indiquer laquelle:</w:t>
            </w:r>
          </w:p>
          <w:p w:rsidR="00EA4725" w:rsidRPr="00F35E60" w:rsidRDefault="009A6684" w:rsidP="006A1510">
            <w:pPr>
              <w:keepNext/>
              <w:spacing w:after="120"/>
              <w:ind w:left="720" w:hanging="720"/>
            </w:pPr>
            <w:r w:rsidRPr="00F35E60">
              <w:rPr>
                <w:b/>
              </w:rPr>
              <w:t>[X]</w:t>
            </w:r>
            <w:r w:rsidRPr="00F35E60">
              <w:rPr>
                <w:b/>
              </w:rPr>
              <w:tab/>
              <w:t xml:space="preserve">Commission du Codex </w:t>
            </w:r>
            <w:proofErr w:type="spellStart"/>
            <w:r w:rsidRPr="00F35E60">
              <w:rPr>
                <w:b/>
              </w:rPr>
              <w:t>Alimentarius</w:t>
            </w:r>
            <w:proofErr w:type="spellEnd"/>
            <w:r w:rsidRPr="00F35E60">
              <w:rPr>
                <w:b/>
              </w:rPr>
              <w:t xml:space="preserve"> </w:t>
            </w:r>
            <w:r w:rsidRPr="00F35E60">
              <w:rPr>
                <w:b/>
                <w:i/>
              </w:rPr>
              <w:t>(par exemple, intitulé ou numéro de série de la norme du Codex ou du texte apparenté)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t>N</w:t>
            </w:r>
            <w:r w:rsidRPr="00F35E60">
              <w:t>orme Codex relative aux résidus de pesticides dans les denrées alimentaires</w:t>
            </w:r>
          </w:p>
          <w:p w:rsidR="00A838D9" w:rsidRPr="00F35E60" w:rsidRDefault="00F35E60" w:rsidP="006A1510">
            <w:pPr>
              <w:keepNext/>
              <w:spacing w:after="120"/>
              <w:ind w:left="720" w:hanging="720"/>
              <w:rPr>
                <w:b/>
              </w:rPr>
            </w:pPr>
            <w:r w:rsidRPr="00F35E60">
              <w:rPr>
                <w:b/>
              </w:rPr>
              <w:lastRenderedPageBreak/>
              <w:t>[ ]</w:t>
            </w:r>
            <w:r w:rsidR="00A838D9" w:rsidRPr="00F35E60">
              <w:rPr>
                <w:b/>
              </w:rPr>
              <w:tab/>
              <w:t xml:space="preserve">Organisation mondiale de la santé animale (OIE) </w:t>
            </w:r>
            <w:r w:rsidR="00A838D9" w:rsidRPr="00F35E60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A838D9" w:rsidRPr="00F35E60">
              <w:rPr>
                <w:b/>
              </w:rPr>
              <w:t>:</w:t>
            </w:r>
          </w:p>
          <w:p w:rsidR="00A838D9" w:rsidRPr="00F35E60" w:rsidRDefault="00F35E60" w:rsidP="006A1510">
            <w:pPr>
              <w:keepNext/>
              <w:spacing w:after="120"/>
              <w:ind w:left="720" w:hanging="720"/>
              <w:rPr>
                <w:b/>
              </w:rPr>
            </w:pPr>
            <w:r w:rsidRPr="00F35E60">
              <w:rPr>
                <w:b/>
              </w:rPr>
              <w:t>[ ]</w:t>
            </w:r>
            <w:r w:rsidR="00A838D9" w:rsidRPr="00F35E60">
              <w:rPr>
                <w:b/>
              </w:rPr>
              <w:tab/>
              <w:t xml:space="preserve">Convention internationale pour la protection des végétaux </w:t>
            </w:r>
            <w:r w:rsidR="00A838D9" w:rsidRPr="00F35E60">
              <w:rPr>
                <w:b/>
                <w:i/>
              </w:rPr>
              <w:t xml:space="preserve">(par exemple, numéro de la </w:t>
            </w:r>
            <w:proofErr w:type="spellStart"/>
            <w:r w:rsidR="00A838D9" w:rsidRPr="00F35E60">
              <w:rPr>
                <w:b/>
                <w:i/>
              </w:rPr>
              <w:t>NIMP</w:t>
            </w:r>
            <w:proofErr w:type="spellEnd"/>
            <w:r w:rsidR="00A838D9" w:rsidRPr="00F35E60">
              <w:rPr>
                <w:b/>
                <w:i/>
              </w:rPr>
              <w:t>)</w:t>
            </w:r>
            <w:r w:rsidR="00A838D9" w:rsidRPr="00F35E60">
              <w:rPr>
                <w:b/>
              </w:rPr>
              <w:t>:</w:t>
            </w:r>
          </w:p>
          <w:p w:rsidR="00EA4725" w:rsidRPr="00F35E60" w:rsidRDefault="00F35E60" w:rsidP="006A1510">
            <w:pPr>
              <w:keepNext/>
              <w:spacing w:after="120"/>
              <w:ind w:left="720" w:hanging="720"/>
              <w:rPr>
                <w:b/>
              </w:rPr>
            </w:pPr>
            <w:r w:rsidRPr="00F35E60">
              <w:rPr>
                <w:b/>
              </w:rPr>
              <w:t>[ ]</w:t>
            </w:r>
            <w:r w:rsidR="00A838D9" w:rsidRPr="00F35E60">
              <w:rPr>
                <w:b/>
              </w:rPr>
              <w:tab/>
              <w:t>Néant</w:t>
            </w:r>
          </w:p>
          <w:p w:rsidR="00A838D9" w:rsidRPr="00F35E60" w:rsidRDefault="009A6684" w:rsidP="006A1510">
            <w:pPr>
              <w:keepNext/>
              <w:spacing w:after="120"/>
              <w:rPr>
                <w:b/>
              </w:rPr>
            </w:pPr>
            <w:r w:rsidRPr="00F35E60">
              <w:rPr>
                <w:b/>
              </w:rPr>
              <w:t>La réglementation projetée est</w:t>
            </w:r>
            <w:r w:rsidR="00F35E60" w:rsidRPr="00F35E60">
              <w:rPr>
                <w:b/>
              </w:rPr>
              <w:t>-</w:t>
            </w:r>
            <w:r w:rsidRPr="00F35E60">
              <w:rPr>
                <w:b/>
              </w:rPr>
              <w:t>elle conforme à la norme internationale pertinente?</w:t>
            </w:r>
          </w:p>
          <w:p w:rsidR="00EA4725" w:rsidRPr="00F35E60" w:rsidRDefault="009A6684" w:rsidP="006A1510">
            <w:pPr>
              <w:keepNext/>
              <w:spacing w:after="120"/>
              <w:rPr>
                <w:b/>
              </w:rPr>
            </w:pPr>
            <w:r w:rsidRPr="00F35E60">
              <w:rPr>
                <w:b/>
              </w:rPr>
              <w:t>[X] Ou</w:t>
            </w:r>
            <w:r w:rsidR="00F35E60" w:rsidRPr="00F35E60">
              <w:rPr>
                <w:b/>
              </w:rPr>
              <w:t>i [ ]</w:t>
            </w:r>
            <w:r w:rsidRPr="00F35E60">
              <w:rPr>
                <w:b/>
              </w:rPr>
              <w:t xml:space="preserve"> Non</w:t>
            </w:r>
          </w:p>
          <w:p w:rsidR="00EA4725" w:rsidRPr="00F35E60" w:rsidRDefault="009A6684" w:rsidP="00F35E60">
            <w:pPr>
              <w:keepNext/>
              <w:spacing w:after="120"/>
            </w:pPr>
            <w:r w:rsidRPr="00F35E60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35E60">
            <w:pPr>
              <w:spacing w:before="120" w:after="120"/>
              <w:jc w:val="left"/>
            </w:pPr>
            <w:r w:rsidRPr="00F35E60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35E60">
            <w:pPr>
              <w:spacing w:before="120" w:after="120"/>
            </w:pPr>
            <w:r w:rsidRPr="00F35E60">
              <w:rPr>
                <w:b/>
              </w:rPr>
              <w:t>Autres documents pertinents et langue(s) dans laquelle (lesquelles) ils sont disponibles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t>N</w:t>
            </w:r>
            <w:r w:rsidRPr="00F35E60">
              <w:t xml:space="preserve">otification du Ministère de la santé publique n° 387 de 2017 (2560 </w:t>
            </w:r>
            <w:proofErr w:type="spellStart"/>
            <w:r w:rsidRPr="00F35E60">
              <w:t>È.B</w:t>
            </w:r>
            <w:proofErr w:type="spellEnd"/>
            <w:r w:rsidRPr="00F35E60">
              <w:t>.) relative aux aliments renfermant des résidus de pesticides, publiée le 1</w:t>
            </w:r>
            <w:r w:rsidR="00F35E60" w:rsidRPr="00F35E60">
              <w:t>8 août 2</w:t>
            </w:r>
            <w:r w:rsidRPr="00F35E60">
              <w:t>017 (disponible en thaï et en anglais)</w:t>
            </w:r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35E60">
            <w:pPr>
              <w:spacing w:before="120" w:after="120"/>
              <w:jc w:val="left"/>
            </w:pPr>
            <w:r w:rsidRPr="00F35E6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35E60">
            <w:pPr>
              <w:spacing w:before="120" w:after="120"/>
            </w:pPr>
            <w:r w:rsidRPr="00F35E60">
              <w:rPr>
                <w:b/>
              </w:rPr>
              <w:t xml:space="preserve">Date projetée pour l'adoption </w:t>
            </w:r>
            <w:r w:rsidRPr="00F35E60">
              <w:rPr>
                <w:b/>
                <w:i/>
              </w:rPr>
              <w:t>(</w:t>
            </w:r>
            <w:proofErr w:type="spellStart"/>
            <w:r w:rsidRPr="00F35E60">
              <w:rPr>
                <w:b/>
                <w:i/>
              </w:rPr>
              <w:t>jj</w:t>
            </w:r>
            <w:proofErr w:type="spellEnd"/>
            <w:r w:rsidRPr="00F35E60">
              <w:rPr>
                <w:b/>
                <w:i/>
              </w:rPr>
              <w:t>/mm/</w:t>
            </w:r>
            <w:proofErr w:type="spellStart"/>
            <w:r w:rsidRPr="00F35E60">
              <w:rPr>
                <w:b/>
                <w:i/>
              </w:rPr>
              <w:t>aa</w:t>
            </w:r>
            <w:proofErr w:type="spellEnd"/>
            <w:r w:rsidRPr="00F35E60">
              <w:rPr>
                <w:b/>
                <w:i/>
              </w:rPr>
              <w:t>)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t>à</w:t>
            </w:r>
            <w:r w:rsidRPr="00F35E60">
              <w:t xml:space="preserve"> déterminer.</w:t>
            </w:r>
          </w:p>
          <w:p w:rsidR="00EA4725" w:rsidRPr="00F35E60" w:rsidRDefault="009A6684" w:rsidP="00F35E60">
            <w:pPr>
              <w:spacing w:after="120"/>
            </w:pPr>
            <w:r w:rsidRPr="00F35E60">
              <w:rPr>
                <w:b/>
              </w:rPr>
              <w:t xml:space="preserve">Date projetée pour la publication </w:t>
            </w:r>
            <w:r w:rsidRPr="00F35E60">
              <w:rPr>
                <w:b/>
                <w:i/>
              </w:rPr>
              <w:t>(</w:t>
            </w:r>
            <w:proofErr w:type="spellStart"/>
            <w:r w:rsidRPr="00F35E60">
              <w:rPr>
                <w:b/>
                <w:i/>
              </w:rPr>
              <w:t>jj</w:t>
            </w:r>
            <w:proofErr w:type="spellEnd"/>
            <w:r w:rsidRPr="00F35E60">
              <w:rPr>
                <w:b/>
                <w:i/>
              </w:rPr>
              <w:t>/mm/</w:t>
            </w:r>
            <w:proofErr w:type="spellStart"/>
            <w:r w:rsidRPr="00F35E60">
              <w:rPr>
                <w:b/>
                <w:i/>
              </w:rPr>
              <w:t>aa</w:t>
            </w:r>
            <w:proofErr w:type="spellEnd"/>
            <w:r w:rsidRPr="00F35E60">
              <w:rPr>
                <w:b/>
                <w:i/>
              </w:rPr>
              <w:t>)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t>à</w:t>
            </w:r>
            <w:r w:rsidRPr="00F35E60">
              <w:t xml:space="preserve"> déterminer.</w:t>
            </w:r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35E60">
            <w:pPr>
              <w:spacing w:before="120" w:after="120"/>
              <w:jc w:val="left"/>
            </w:pPr>
            <w:r w:rsidRPr="00F35E6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35E60">
            <w:pPr>
              <w:spacing w:before="120" w:after="120"/>
            </w:pPr>
            <w:r w:rsidRPr="00F35E60">
              <w:rPr>
                <w:b/>
              </w:rPr>
              <w:t>Date projetée pour l'entrée en vigueur</w:t>
            </w:r>
            <w:r w:rsidR="00F35E60" w:rsidRPr="00F35E60">
              <w:rPr>
                <w:b/>
              </w:rPr>
              <w:t>: [ ]</w:t>
            </w:r>
            <w:r w:rsidRPr="00F35E60">
              <w:rPr>
                <w:b/>
              </w:rPr>
              <w:t xml:space="preserve"> Six mois à compter de la date de publication, et/ou</w:t>
            </w:r>
            <w:r w:rsidRPr="00F35E60">
              <w:t xml:space="preserve"> </w:t>
            </w:r>
            <w:r w:rsidRPr="00F35E60">
              <w:rPr>
                <w:b/>
                <w:i/>
              </w:rPr>
              <w:t>(</w:t>
            </w:r>
            <w:proofErr w:type="spellStart"/>
            <w:r w:rsidRPr="00F35E60">
              <w:rPr>
                <w:b/>
                <w:i/>
              </w:rPr>
              <w:t>jj</w:t>
            </w:r>
            <w:proofErr w:type="spellEnd"/>
            <w:r w:rsidRPr="00F35E60">
              <w:rPr>
                <w:b/>
                <w:i/>
              </w:rPr>
              <w:t>/mm/</w:t>
            </w:r>
            <w:proofErr w:type="spellStart"/>
            <w:r w:rsidRPr="00F35E60">
              <w:rPr>
                <w:b/>
                <w:i/>
              </w:rPr>
              <w:t>aa</w:t>
            </w:r>
            <w:proofErr w:type="spellEnd"/>
            <w:r w:rsidRPr="00F35E60">
              <w:rPr>
                <w:b/>
                <w:i/>
              </w:rPr>
              <w:t>)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t>l</w:t>
            </w:r>
            <w:r w:rsidRPr="00F35E60">
              <w:t>e lendemain de la publication au Journal officiel (</w:t>
            </w:r>
            <w:r w:rsidRPr="00F35E60">
              <w:rPr>
                <w:i/>
              </w:rPr>
              <w:t xml:space="preserve">Royal Thaï </w:t>
            </w:r>
            <w:proofErr w:type="spellStart"/>
            <w:r w:rsidRPr="00F35E60">
              <w:rPr>
                <w:i/>
              </w:rPr>
              <w:t>Government</w:t>
            </w:r>
            <w:proofErr w:type="spellEnd"/>
            <w:r w:rsidRPr="00F35E60">
              <w:rPr>
                <w:i/>
              </w:rPr>
              <w:t xml:space="preserve"> Gazette</w:t>
            </w:r>
            <w:r w:rsidRPr="00F35E60">
              <w:t>)</w:t>
            </w:r>
          </w:p>
          <w:p w:rsidR="00EA4725" w:rsidRPr="00F35E60" w:rsidRDefault="00F35E60" w:rsidP="00F35E60">
            <w:pPr>
              <w:spacing w:after="120"/>
              <w:ind w:left="607" w:hanging="607"/>
              <w:rPr>
                <w:b/>
              </w:rPr>
            </w:pPr>
            <w:r w:rsidRPr="00F35E60">
              <w:rPr>
                <w:b/>
              </w:rPr>
              <w:t>[ ]</w:t>
            </w:r>
            <w:r w:rsidR="00A838D9" w:rsidRPr="00F35E60">
              <w:rPr>
                <w:b/>
              </w:rPr>
              <w:tab/>
              <w:t xml:space="preserve">Mesure de facilitation du commerce </w:t>
            </w:r>
          </w:p>
        </w:tc>
      </w:tr>
      <w:tr w:rsidR="00906ADB" w:rsidRPr="00FB06A9" w:rsidTr="00F35E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35E60">
            <w:pPr>
              <w:spacing w:before="120" w:after="120"/>
              <w:jc w:val="left"/>
            </w:pPr>
            <w:r w:rsidRPr="00F35E6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35E60" w:rsidRDefault="009A6684" w:rsidP="00F35E60">
            <w:pPr>
              <w:spacing w:before="120" w:after="120"/>
            </w:pPr>
            <w:r w:rsidRPr="00F35E60">
              <w:rPr>
                <w:b/>
              </w:rPr>
              <w:t>Date limite pour la présentation des observations</w:t>
            </w:r>
            <w:r w:rsidR="00F35E60" w:rsidRPr="00F35E60">
              <w:rPr>
                <w:b/>
              </w:rPr>
              <w:t>: [</w:t>
            </w:r>
            <w:r w:rsidRPr="00F35E60">
              <w:rPr>
                <w:b/>
              </w:rPr>
              <w:t xml:space="preserve">X] Soixante jours à compter de la date de distribution de la notification et/ou </w:t>
            </w:r>
            <w:r w:rsidRPr="00F35E60">
              <w:rPr>
                <w:b/>
                <w:i/>
              </w:rPr>
              <w:t>(</w:t>
            </w:r>
            <w:proofErr w:type="spellStart"/>
            <w:r w:rsidRPr="00F35E60">
              <w:rPr>
                <w:b/>
                <w:i/>
              </w:rPr>
              <w:t>jj</w:t>
            </w:r>
            <w:proofErr w:type="spellEnd"/>
            <w:r w:rsidRPr="00F35E60">
              <w:rPr>
                <w:b/>
                <w:i/>
              </w:rPr>
              <w:t>/mm/</w:t>
            </w:r>
            <w:proofErr w:type="spellStart"/>
            <w:r w:rsidRPr="00F35E60">
              <w:rPr>
                <w:b/>
                <w:i/>
              </w:rPr>
              <w:t>aa</w:t>
            </w:r>
            <w:proofErr w:type="spellEnd"/>
            <w:r w:rsidRPr="00F35E60">
              <w:rPr>
                <w:b/>
                <w:i/>
              </w:rPr>
              <w:t>)</w:t>
            </w:r>
            <w:r w:rsidR="00F35E60" w:rsidRPr="00F35E60">
              <w:rPr>
                <w:b/>
              </w:rPr>
              <w:t xml:space="preserve">: </w:t>
            </w:r>
            <w:r w:rsidR="00F35E60" w:rsidRPr="00F35E60">
              <w:t>18 juin 2</w:t>
            </w:r>
            <w:r w:rsidRPr="00F35E60">
              <w:t>018</w:t>
            </w:r>
          </w:p>
          <w:p w:rsidR="00A838D9" w:rsidRPr="00F35E60" w:rsidRDefault="009A6684" w:rsidP="00441372">
            <w:pPr>
              <w:spacing w:after="120"/>
            </w:pPr>
            <w:r w:rsidRPr="00F35E60">
              <w:rPr>
                <w:b/>
              </w:rPr>
              <w:t>Organisme ou autorité désigné pour traiter les observations</w:t>
            </w:r>
            <w:r w:rsidR="00F35E60" w:rsidRPr="00F35E60">
              <w:rPr>
                <w:b/>
              </w:rPr>
              <w:t>: [</w:t>
            </w:r>
            <w:r w:rsidRPr="00F35E60">
              <w:rPr>
                <w:b/>
              </w:rPr>
              <w:t>X] autorité nationale responsable des notifications, [X] point d'information national</w:t>
            </w:r>
            <w:r w:rsidR="00F35E60" w:rsidRPr="00F35E60">
              <w:rPr>
                <w:b/>
              </w:rPr>
              <w:t>. A</w:t>
            </w:r>
            <w:r w:rsidRPr="00F35E60">
              <w:rPr>
                <w:b/>
              </w:rPr>
              <w:t>dresse, numéro de fax et adresse électronique (s'il y a lieu) d'un autre organisme:</w:t>
            </w:r>
          </w:p>
          <w:p w:rsidR="00906ADB" w:rsidRPr="00FB06A9" w:rsidRDefault="009A6684">
            <w:pPr>
              <w:rPr>
                <w:lang w:val="en-GB"/>
              </w:rPr>
            </w:pPr>
            <w:r w:rsidRPr="00FB06A9">
              <w:rPr>
                <w:lang w:val="en-GB"/>
              </w:rPr>
              <w:t>National Bureau of Agricultural Commodity and Food Standards (ACFS)</w:t>
            </w:r>
          </w:p>
          <w:p w:rsidR="00906ADB" w:rsidRPr="00FB06A9" w:rsidRDefault="009A6684">
            <w:pPr>
              <w:rPr>
                <w:lang w:val="en-GB"/>
              </w:rPr>
            </w:pPr>
            <w:r w:rsidRPr="00FB06A9">
              <w:rPr>
                <w:lang w:val="en-GB"/>
              </w:rPr>
              <w:t>50 Phaholyothin Road, Ladyao</w:t>
            </w:r>
          </w:p>
          <w:p w:rsidR="00906ADB" w:rsidRPr="00FB06A9" w:rsidRDefault="009A6684">
            <w:pPr>
              <w:rPr>
                <w:lang w:val="en-GB"/>
              </w:rPr>
            </w:pPr>
            <w:r w:rsidRPr="00FB06A9">
              <w:rPr>
                <w:lang w:val="en-GB"/>
              </w:rPr>
              <w:t>Chatuchak, Bangkok 10900</w:t>
            </w:r>
          </w:p>
          <w:p w:rsidR="00906ADB" w:rsidRPr="00F35E60" w:rsidRDefault="009A6684">
            <w:r w:rsidRPr="00F35E60">
              <w:t>Thaïlande</w:t>
            </w:r>
          </w:p>
          <w:p w:rsidR="00906ADB" w:rsidRPr="00F35E60" w:rsidRDefault="009A6684">
            <w:r w:rsidRPr="00F35E60">
              <w:t>Téléphone</w:t>
            </w:r>
            <w:r w:rsidR="00F35E60" w:rsidRPr="00F35E60">
              <w:t>: +</w:t>
            </w:r>
            <w:r w:rsidRPr="00F35E60">
              <w:t>(662) 561 4024</w:t>
            </w:r>
          </w:p>
          <w:p w:rsidR="00906ADB" w:rsidRPr="00F35E60" w:rsidRDefault="009A6684">
            <w:r w:rsidRPr="00F35E60">
              <w:t>Fax</w:t>
            </w:r>
            <w:r w:rsidR="00F35E60" w:rsidRPr="00F35E60">
              <w:t>: +</w:t>
            </w:r>
            <w:r w:rsidRPr="00F35E60">
              <w:t>(662) 561 4034</w:t>
            </w:r>
          </w:p>
          <w:p w:rsidR="00906ADB" w:rsidRPr="00F35E60" w:rsidRDefault="00A838D9">
            <w:r w:rsidRPr="00F35E60">
              <w:t>Courrier électronique</w:t>
            </w:r>
            <w:r w:rsidR="00F35E60" w:rsidRPr="00F35E60">
              <w:t>: s</w:t>
            </w:r>
            <w:r w:rsidRPr="00F35E60">
              <w:t>psthailand@gmail.com</w:t>
            </w:r>
          </w:p>
          <w:p w:rsidR="00906ADB" w:rsidRPr="00FB06A9" w:rsidRDefault="009A6684" w:rsidP="00F35E60">
            <w:pPr>
              <w:spacing w:after="120"/>
              <w:rPr>
                <w:lang w:val="en-GB"/>
              </w:rPr>
            </w:pPr>
            <w:r w:rsidRPr="00FB06A9">
              <w:rPr>
                <w:lang w:val="en-GB"/>
              </w:rPr>
              <w:t xml:space="preserve">Site Web: </w:t>
            </w:r>
            <w:hyperlink r:id="rId10" w:tgtFrame="_blank" w:history="1">
              <w:r w:rsidR="00F35E60" w:rsidRPr="00FB06A9">
                <w:rPr>
                  <w:rStyle w:val="Hyperlink"/>
                  <w:lang w:val="en-GB"/>
                </w:rPr>
                <w:t>http://www.acfs.go.th/</w:t>
              </w:r>
            </w:hyperlink>
          </w:p>
        </w:tc>
      </w:tr>
      <w:tr w:rsidR="00906ADB" w:rsidRPr="00F35E60" w:rsidTr="00F35E6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35E60" w:rsidRDefault="009A6684" w:rsidP="00FB06A9">
            <w:pPr>
              <w:spacing w:before="120" w:after="120"/>
              <w:jc w:val="left"/>
            </w:pPr>
            <w:r w:rsidRPr="00F35E6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838D9" w:rsidRPr="00F35E60" w:rsidRDefault="009A6684" w:rsidP="00F35E60">
            <w:pPr>
              <w:keepNext/>
              <w:keepLines/>
              <w:spacing w:before="120" w:after="120"/>
              <w:rPr>
                <w:b/>
              </w:rPr>
            </w:pPr>
            <w:r w:rsidRPr="00F35E60">
              <w:rPr>
                <w:b/>
              </w:rPr>
              <w:t>Texte(s) disponible(s) auprès de</w:t>
            </w:r>
            <w:r w:rsidR="00F35E60" w:rsidRPr="00F35E60">
              <w:rPr>
                <w:b/>
              </w:rPr>
              <w:t>: [</w:t>
            </w:r>
            <w:r w:rsidRPr="00F35E60">
              <w:rPr>
                <w:b/>
              </w:rPr>
              <w:t>X] autorité nationale responsable des notifications, [X] point d'information national</w:t>
            </w:r>
            <w:r w:rsidR="00F35E60" w:rsidRPr="00F35E60">
              <w:rPr>
                <w:b/>
              </w:rPr>
              <w:t>. A</w:t>
            </w:r>
            <w:r w:rsidRPr="00F35E60">
              <w:rPr>
                <w:b/>
              </w:rPr>
              <w:t>dresse, numéro de fax et adresse électronique (s'il y a lieu) d'un autre organisme:</w:t>
            </w:r>
          </w:p>
          <w:p w:rsidR="00906ADB" w:rsidRPr="00FB06A9" w:rsidRDefault="009A6684">
            <w:pPr>
              <w:rPr>
                <w:lang w:val="en-GB"/>
              </w:rPr>
            </w:pPr>
            <w:r w:rsidRPr="00FB06A9">
              <w:rPr>
                <w:lang w:val="en-GB"/>
              </w:rPr>
              <w:t>National Bureau of Agricultural Commodity and Food Standards (ACFS)</w:t>
            </w:r>
          </w:p>
          <w:p w:rsidR="00906ADB" w:rsidRPr="00FB06A9" w:rsidRDefault="009A6684">
            <w:pPr>
              <w:rPr>
                <w:lang w:val="en-GB"/>
              </w:rPr>
            </w:pPr>
            <w:r w:rsidRPr="00FB06A9">
              <w:rPr>
                <w:lang w:val="en-GB"/>
              </w:rPr>
              <w:t>50 Phaholyothin Road, Ladyao</w:t>
            </w:r>
          </w:p>
          <w:p w:rsidR="00906ADB" w:rsidRPr="00FB06A9" w:rsidRDefault="009A6684">
            <w:pPr>
              <w:rPr>
                <w:lang w:val="en-GB"/>
              </w:rPr>
            </w:pPr>
            <w:r w:rsidRPr="00FB06A9">
              <w:rPr>
                <w:lang w:val="en-GB"/>
              </w:rPr>
              <w:t>Chatuchak, Bangkok 10900</w:t>
            </w:r>
          </w:p>
          <w:p w:rsidR="00906ADB" w:rsidRPr="00F35E60" w:rsidRDefault="009A6684">
            <w:r w:rsidRPr="00F35E60">
              <w:t>Thaïlande</w:t>
            </w:r>
          </w:p>
          <w:p w:rsidR="00906ADB" w:rsidRPr="00F35E60" w:rsidRDefault="009A6684">
            <w:r w:rsidRPr="00F35E60">
              <w:t>Téléphone</w:t>
            </w:r>
            <w:r w:rsidR="00F35E60" w:rsidRPr="00F35E60">
              <w:t>: +</w:t>
            </w:r>
            <w:r w:rsidRPr="00F35E60">
              <w:t>(662) 561 4024</w:t>
            </w:r>
          </w:p>
          <w:p w:rsidR="00906ADB" w:rsidRPr="00F35E60" w:rsidRDefault="009A6684">
            <w:r w:rsidRPr="00F35E60">
              <w:t>Fax</w:t>
            </w:r>
            <w:r w:rsidR="00F35E60" w:rsidRPr="00F35E60">
              <w:t>: +</w:t>
            </w:r>
            <w:r w:rsidRPr="00F35E60">
              <w:t>(662) 561 4034</w:t>
            </w:r>
          </w:p>
          <w:p w:rsidR="00906ADB" w:rsidRPr="00F35E60" w:rsidRDefault="00A838D9">
            <w:r w:rsidRPr="00F35E60">
              <w:t>Courrier électronique</w:t>
            </w:r>
            <w:r w:rsidR="00F35E60" w:rsidRPr="00F35E60">
              <w:t>: s</w:t>
            </w:r>
            <w:r w:rsidRPr="00F35E60">
              <w:t>psthailand@gmail.com</w:t>
            </w:r>
          </w:p>
          <w:p w:rsidR="00906ADB" w:rsidRPr="00F35E60" w:rsidRDefault="009A6684" w:rsidP="00F35E60">
            <w:pPr>
              <w:spacing w:after="120"/>
            </w:pPr>
            <w:r w:rsidRPr="00F35E60">
              <w:t xml:space="preserve">Site Web: </w:t>
            </w:r>
            <w:hyperlink r:id="rId11" w:tgtFrame="_blank" w:history="1">
              <w:r w:rsidR="00F35E60" w:rsidRPr="00F35E60">
                <w:rPr>
                  <w:rStyle w:val="Hyperlink"/>
                </w:rPr>
                <w:t>http://www.acfs.go.th/</w:t>
              </w:r>
            </w:hyperlink>
          </w:p>
        </w:tc>
      </w:tr>
    </w:tbl>
    <w:p w:rsidR="007141CF" w:rsidRPr="00F35E60" w:rsidRDefault="003A2610" w:rsidP="00441372"/>
    <w:sectPr w:rsidR="007141CF" w:rsidRPr="00F35E60" w:rsidSect="005564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CE" w:rsidRPr="00F35E60" w:rsidRDefault="009A6684">
      <w:r w:rsidRPr="00F35E60">
        <w:separator/>
      </w:r>
    </w:p>
  </w:endnote>
  <w:endnote w:type="continuationSeparator" w:id="0">
    <w:p w:rsidR="00836CCE" w:rsidRPr="00F35E60" w:rsidRDefault="009A6684">
      <w:r w:rsidRPr="00F35E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35E60" w:rsidRDefault="00F35E60" w:rsidP="00F35E60">
    <w:pPr>
      <w:pStyle w:val="Footer"/>
    </w:pPr>
    <w:r w:rsidRPr="00F35E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35E60" w:rsidRDefault="00F35E60" w:rsidP="00F35E60">
    <w:pPr>
      <w:pStyle w:val="Footer"/>
    </w:pPr>
    <w:r w:rsidRPr="00F35E6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F35E60" w:rsidRDefault="00F35E60" w:rsidP="00F35E60">
    <w:pPr>
      <w:pStyle w:val="Footer"/>
    </w:pPr>
    <w:r w:rsidRPr="00F35E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CE" w:rsidRPr="00F35E60" w:rsidRDefault="009A6684">
      <w:r w:rsidRPr="00F35E60">
        <w:separator/>
      </w:r>
    </w:p>
  </w:footnote>
  <w:footnote w:type="continuationSeparator" w:id="0">
    <w:p w:rsidR="00836CCE" w:rsidRPr="00F35E60" w:rsidRDefault="009A6684">
      <w:r w:rsidRPr="00F35E6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60" w:rsidRPr="00F35E60" w:rsidRDefault="00F35E60" w:rsidP="00F35E60">
    <w:pPr>
      <w:pStyle w:val="Header"/>
      <w:spacing w:after="240"/>
      <w:jc w:val="center"/>
    </w:pPr>
    <w:r w:rsidRPr="00F35E60">
      <w:t>G/SPS/N/</w:t>
    </w:r>
    <w:proofErr w:type="spellStart"/>
    <w:r w:rsidRPr="00F35E60">
      <w:t>THA</w:t>
    </w:r>
    <w:proofErr w:type="spellEnd"/>
    <w:r w:rsidRPr="00F35E60">
      <w:t>/247</w:t>
    </w:r>
  </w:p>
  <w:p w:rsidR="00F35E60" w:rsidRPr="00F35E60" w:rsidRDefault="00F35E60" w:rsidP="00F35E60">
    <w:pPr>
      <w:pStyle w:val="Header"/>
      <w:pBdr>
        <w:bottom w:val="single" w:sz="4" w:space="1" w:color="auto"/>
      </w:pBdr>
      <w:jc w:val="center"/>
    </w:pPr>
    <w:r w:rsidRPr="00F35E60">
      <w:t xml:space="preserve">- </w:t>
    </w:r>
    <w:r w:rsidRPr="00F35E60">
      <w:fldChar w:fldCharType="begin"/>
    </w:r>
    <w:r w:rsidRPr="00F35E60">
      <w:instrText xml:space="preserve"> PAGE  \* Arabic  \* MERGEFORMAT </w:instrText>
    </w:r>
    <w:r w:rsidRPr="00F35E60">
      <w:fldChar w:fldCharType="separate"/>
    </w:r>
    <w:r w:rsidRPr="00F35E60">
      <w:t>1</w:t>
    </w:r>
    <w:r w:rsidRPr="00F35E60">
      <w:fldChar w:fldCharType="end"/>
    </w:r>
    <w:r w:rsidRPr="00F35E6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60" w:rsidRPr="00F35E60" w:rsidRDefault="00F35E60" w:rsidP="00F35E60">
    <w:pPr>
      <w:pStyle w:val="Header"/>
      <w:spacing w:after="240"/>
      <w:jc w:val="center"/>
    </w:pPr>
    <w:r w:rsidRPr="00F35E60">
      <w:t>G/SPS/N/</w:t>
    </w:r>
    <w:proofErr w:type="spellStart"/>
    <w:r w:rsidRPr="00F35E60">
      <w:t>THA</w:t>
    </w:r>
    <w:proofErr w:type="spellEnd"/>
    <w:r w:rsidRPr="00F35E60">
      <w:t>/247</w:t>
    </w:r>
  </w:p>
  <w:p w:rsidR="00F35E60" w:rsidRPr="00F35E60" w:rsidRDefault="00F35E60" w:rsidP="00F35E60">
    <w:pPr>
      <w:pStyle w:val="Header"/>
      <w:pBdr>
        <w:bottom w:val="single" w:sz="4" w:space="1" w:color="auto"/>
      </w:pBdr>
      <w:jc w:val="center"/>
    </w:pPr>
    <w:r w:rsidRPr="00F35E60">
      <w:t xml:space="preserve">- </w:t>
    </w:r>
    <w:r w:rsidRPr="00F35E60">
      <w:fldChar w:fldCharType="begin"/>
    </w:r>
    <w:r w:rsidRPr="00F35E60">
      <w:instrText xml:space="preserve"> PAGE  \* Arabic  \* MERGEFORMAT </w:instrText>
    </w:r>
    <w:r w:rsidRPr="00F35E60">
      <w:fldChar w:fldCharType="separate"/>
    </w:r>
    <w:r w:rsidR="003A2610">
      <w:rPr>
        <w:noProof/>
      </w:rPr>
      <w:t>2</w:t>
    </w:r>
    <w:r w:rsidRPr="00F35E60">
      <w:fldChar w:fldCharType="end"/>
    </w:r>
    <w:r w:rsidRPr="00F35E6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35E60" w:rsidRPr="00F35E60" w:rsidTr="00F35E6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35E60" w:rsidRPr="00F35E60" w:rsidRDefault="00F35E60" w:rsidP="00F35E6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35E60" w:rsidRPr="00F35E60" w:rsidRDefault="00F35E60" w:rsidP="00F35E6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35E60" w:rsidRPr="00F35E60" w:rsidTr="00F35E6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35E60" w:rsidRPr="00F35E60" w:rsidRDefault="00F35E60" w:rsidP="00F35E60">
          <w:pPr>
            <w:jc w:val="left"/>
            <w:rPr>
              <w:rFonts w:eastAsia="Verdana" w:cs="Verdana"/>
              <w:szCs w:val="18"/>
            </w:rPr>
          </w:pPr>
          <w:r w:rsidRPr="00F35E6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025A623" wp14:editId="7F63747D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35E60" w:rsidRPr="00F35E60" w:rsidRDefault="00F35E60" w:rsidP="00F35E6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35E60" w:rsidRPr="00F35E60" w:rsidTr="00F35E6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35E60" w:rsidRPr="00F35E60" w:rsidRDefault="00F35E60" w:rsidP="00F35E6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35E60" w:rsidRPr="00F35E60" w:rsidRDefault="00F35E60" w:rsidP="00F35E60">
          <w:pPr>
            <w:jc w:val="right"/>
            <w:rPr>
              <w:rFonts w:eastAsia="Verdana" w:cs="Verdana"/>
              <w:b/>
              <w:szCs w:val="18"/>
            </w:rPr>
          </w:pPr>
          <w:r w:rsidRPr="00F35E60">
            <w:rPr>
              <w:b/>
              <w:szCs w:val="18"/>
            </w:rPr>
            <w:t>G/SPS/N/</w:t>
          </w:r>
          <w:proofErr w:type="spellStart"/>
          <w:r w:rsidRPr="00F35E60">
            <w:rPr>
              <w:b/>
              <w:szCs w:val="18"/>
            </w:rPr>
            <w:t>THA</w:t>
          </w:r>
          <w:proofErr w:type="spellEnd"/>
          <w:r w:rsidRPr="00F35E60">
            <w:rPr>
              <w:b/>
              <w:szCs w:val="18"/>
            </w:rPr>
            <w:t>/247</w:t>
          </w:r>
        </w:p>
      </w:tc>
    </w:tr>
    <w:tr w:rsidR="00F35E60" w:rsidRPr="00F35E60" w:rsidTr="00F35E6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35E60" w:rsidRPr="00F35E60" w:rsidRDefault="00F35E60" w:rsidP="00F35E6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35E60" w:rsidRPr="00F35E60" w:rsidRDefault="00F35E60" w:rsidP="00F35E60">
          <w:pPr>
            <w:jc w:val="right"/>
            <w:rPr>
              <w:rFonts w:eastAsia="Verdana" w:cs="Verdana"/>
              <w:szCs w:val="18"/>
            </w:rPr>
          </w:pPr>
          <w:r w:rsidRPr="00F35E60">
            <w:rPr>
              <w:rFonts w:eastAsia="Verdana" w:cs="Verdana"/>
              <w:szCs w:val="18"/>
            </w:rPr>
            <w:t>19 avril 2018</w:t>
          </w:r>
        </w:p>
      </w:tc>
    </w:tr>
    <w:tr w:rsidR="00F35E60" w:rsidRPr="00F35E60" w:rsidTr="00F35E6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35E60" w:rsidRPr="00F35E60" w:rsidRDefault="00F35E60" w:rsidP="00F35E60">
          <w:pPr>
            <w:jc w:val="left"/>
            <w:rPr>
              <w:rFonts w:eastAsia="Verdana" w:cs="Verdana"/>
              <w:b/>
              <w:szCs w:val="18"/>
            </w:rPr>
          </w:pPr>
          <w:r w:rsidRPr="00F35E60">
            <w:rPr>
              <w:rFonts w:eastAsia="Verdana" w:cs="Verdana"/>
              <w:color w:val="FF0000"/>
              <w:szCs w:val="18"/>
            </w:rPr>
            <w:t>(18</w:t>
          </w:r>
          <w:r w:rsidRPr="00F35E60">
            <w:rPr>
              <w:rFonts w:eastAsia="Verdana" w:cs="Verdana"/>
              <w:color w:val="FF0000"/>
              <w:szCs w:val="18"/>
            </w:rPr>
            <w:noBreakHyphen/>
          </w:r>
          <w:r w:rsidR="00FB06A9">
            <w:rPr>
              <w:rFonts w:eastAsia="Verdana" w:cs="Verdana"/>
              <w:color w:val="FF0000"/>
              <w:szCs w:val="18"/>
            </w:rPr>
            <w:t>2423</w:t>
          </w:r>
          <w:r w:rsidRPr="00F35E6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35E60" w:rsidRPr="00F35E60" w:rsidRDefault="00F35E60" w:rsidP="00F35E60">
          <w:pPr>
            <w:jc w:val="right"/>
            <w:rPr>
              <w:rFonts w:eastAsia="Verdana" w:cs="Verdana"/>
              <w:szCs w:val="18"/>
            </w:rPr>
          </w:pPr>
          <w:r w:rsidRPr="00F35E60">
            <w:rPr>
              <w:rFonts w:eastAsia="Verdana" w:cs="Verdana"/>
              <w:szCs w:val="18"/>
            </w:rPr>
            <w:t xml:space="preserve">Page: </w:t>
          </w:r>
          <w:r w:rsidRPr="00F35E60">
            <w:rPr>
              <w:rFonts w:eastAsia="Verdana" w:cs="Verdana"/>
              <w:szCs w:val="18"/>
            </w:rPr>
            <w:fldChar w:fldCharType="begin"/>
          </w:r>
          <w:r w:rsidRPr="00F35E6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35E60">
            <w:rPr>
              <w:rFonts w:eastAsia="Verdana" w:cs="Verdana"/>
              <w:szCs w:val="18"/>
            </w:rPr>
            <w:fldChar w:fldCharType="separate"/>
          </w:r>
          <w:r w:rsidR="003A2610">
            <w:rPr>
              <w:rFonts w:eastAsia="Verdana" w:cs="Verdana"/>
              <w:noProof/>
              <w:szCs w:val="18"/>
            </w:rPr>
            <w:t>1</w:t>
          </w:r>
          <w:r w:rsidRPr="00F35E60">
            <w:rPr>
              <w:rFonts w:eastAsia="Verdana" w:cs="Verdana"/>
              <w:szCs w:val="18"/>
            </w:rPr>
            <w:fldChar w:fldCharType="end"/>
          </w:r>
          <w:r w:rsidRPr="00F35E60">
            <w:rPr>
              <w:rFonts w:eastAsia="Verdana" w:cs="Verdana"/>
              <w:szCs w:val="18"/>
            </w:rPr>
            <w:t>/</w:t>
          </w:r>
          <w:r w:rsidRPr="00F35E60">
            <w:rPr>
              <w:rFonts w:eastAsia="Verdana" w:cs="Verdana"/>
              <w:szCs w:val="18"/>
            </w:rPr>
            <w:fldChar w:fldCharType="begin"/>
          </w:r>
          <w:r w:rsidRPr="00F35E6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35E60">
            <w:rPr>
              <w:rFonts w:eastAsia="Verdana" w:cs="Verdana"/>
              <w:szCs w:val="18"/>
            </w:rPr>
            <w:fldChar w:fldCharType="separate"/>
          </w:r>
          <w:r w:rsidR="003A2610">
            <w:rPr>
              <w:rFonts w:eastAsia="Verdana" w:cs="Verdana"/>
              <w:noProof/>
              <w:szCs w:val="18"/>
            </w:rPr>
            <w:t>2</w:t>
          </w:r>
          <w:r w:rsidRPr="00F35E60">
            <w:rPr>
              <w:rFonts w:eastAsia="Verdana" w:cs="Verdana"/>
              <w:szCs w:val="18"/>
            </w:rPr>
            <w:fldChar w:fldCharType="end"/>
          </w:r>
        </w:p>
      </w:tc>
    </w:tr>
    <w:tr w:rsidR="00F35E60" w:rsidRPr="00F35E60" w:rsidTr="00F35E6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35E60" w:rsidRPr="00F35E60" w:rsidRDefault="00F35E60" w:rsidP="00F35E60">
          <w:pPr>
            <w:jc w:val="left"/>
            <w:rPr>
              <w:rFonts w:eastAsia="Verdana" w:cs="Verdana"/>
              <w:szCs w:val="18"/>
            </w:rPr>
          </w:pPr>
          <w:r w:rsidRPr="00F35E6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35E60" w:rsidRPr="00F35E60" w:rsidRDefault="00F35E60" w:rsidP="00F35E60">
          <w:pPr>
            <w:jc w:val="right"/>
            <w:rPr>
              <w:rFonts w:eastAsia="Verdana" w:cs="Verdana"/>
              <w:bCs/>
              <w:szCs w:val="18"/>
            </w:rPr>
          </w:pPr>
          <w:r w:rsidRPr="00F35E60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F35E60" w:rsidRDefault="003A2610" w:rsidP="00F35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85C85"/>
    <w:multiLevelType w:val="hybridMultilevel"/>
    <w:tmpl w:val="81F6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CE17AB5"/>
    <w:multiLevelType w:val="hybridMultilevel"/>
    <w:tmpl w:val="8104E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526BA"/>
    <w:multiLevelType w:val="hybridMultilevel"/>
    <w:tmpl w:val="5CB60482"/>
    <w:lvl w:ilvl="0" w:tplc="7092FF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104942" w:tentative="1">
      <w:start w:val="1"/>
      <w:numFmt w:val="lowerLetter"/>
      <w:lvlText w:val="%2."/>
      <w:lvlJc w:val="left"/>
      <w:pPr>
        <w:ind w:left="1080" w:hanging="360"/>
      </w:pPr>
    </w:lvl>
    <w:lvl w:ilvl="2" w:tplc="B71E9D74" w:tentative="1">
      <w:start w:val="1"/>
      <w:numFmt w:val="lowerRoman"/>
      <w:lvlText w:val="%3."/>
      <w:lvlJc w:val="right"/>
      <w:pPr>
        <w:ind w:left="1800" w:hanging="180"/>
      </w:pPr>
    </w:lvl>
    <w:lvl w:ilvl="3" w:tplc="0BBA299E" w:tentative="1">
      <w:start w:val="1"/>
      <w:numFmt w:val="decimal"/>
      <w:lvlText w:val="%4."/>
      <w:lvlJc w:val="left"/>
      <w:pPr>
        <w:ind w:left="2520" w:hanging="360"/>
      </w:pPr>
    </w:lvl>
    <w:lvl w:ilvl="4" w:tplc="FE3CC76C" w:tentative="1">
      <w:start w:val="1"/>
      <w:numFmt w:val="lowerLetter"/>
      <w:lvlText w:val="%5."/>
      <w:lvlJc w:val="left"/>
      <w:pPr>
        <w:ind w:left="3240" w:hanging="360"/>
      </w:pPr>
    </w:lvl>
    <w:lvl w:ilvl="5" w:tplc="0494F7D0" w:tentative="1">
      <w:start w:val="1"/>
      <w:numFmt w:val="lowerRoman"/>
      <w:lvlText w:val="%6."/>
      <w:lvlJc w:val="right"/>
      <w:pPr>
        <w:ind w:left="3960" w:hanging="180"/>
      </w:pPr>
    </w:lvl>
    <w:lvl w:ilvl="6" w:tplc="A1E422AA" w:tentative="1">
      <w:start w:val="1"/>
      <w:numFmt w:val="decimal"/>
      <w:lvlText w:val="%7."/>
      <w:lvlJc w:val="left"/>
      <w:pPr>
        <w:ind w:left="4680" w:hanging="360"/>
      </w:pPr>
    </w:lvl>
    <w:lvl w:ilvl="7" w:tplc="44087CB4" w:tentative="1">
      <w:start w:val="1"/>
      <w:numFmt w:val="lowerLetter"/>
      <w:lvlText w:val="%8."/>
      <w:lvlJc w:val="left"/>
      <w:pPr>
        <w:ind w:left="5400" w:hanging="360"/>
      </w:pPr>
    </w:lvl>
    <w:lvl w:ilvl="8" w:tplc="6786FB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DB"/>
    <w:rsid w:val="000116F4"/>
    <w:rsid w:val="000E1495"/>
    <w:rsid w:val="000F08F8"/>
    <w:rsid w:val="00256597"/>
    <w:rsid w:val="00397C60"/>
    <w:rsid w:val="003A2610"/>
    <w:rsid w:val="0040294F"/>
    <w:rsid w:val="004A72C4"/>
    <w:rsid w:val="0055642D"/>
    <w:rsid w:val="006A1510"/>
    <w:rsid w:val="006E47FD"/>
    <w:rsid w:val="00752BD7"/>
    <w:rsid w:val="007E52D4"/>
    <w:rsid w:val="007F0E0A"/>
    <w:rsid w:val="007F52E8"/>
    <w:rsid w:val="00834C81"/>
    <w:rsid w:val="00836CCE"/>
    <w:rsid w:val="00906ADB"/>
    <w:rsid w:val="009A6684"/>
    <w:rsid w:val="009C131C"/>
    <w:rsid w:val="00A838D9"/>
    <w:rsid w:val="00AC6417"/>
    <w:rsid w:val="00CE21D8"/>
    <w:rsid w:val="00D94CB4"/>
    <w:rsid w:val="00F35E60"/>
    <w:rsid w:val="00F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44137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44137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441372"/>
    <w:rPr>
      <w:lang w:val="fr-FR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441372"/>
    <w:rPr>
      <w:lang w:val="fr-FR"/>
    </w:rPr>
  </w:style>
  <w:style w:type="character" w:styleId="PlaceholderText">
    <w:name w:val="Placeholder Text"/>
    <w:uiPriority w:val="99"/>
    <w:semiHidden/>
    <w:rsid w:val="0044137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441372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44137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44137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441372"/>
    <w:rPr>
      <w:lang w:val="fr-FR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441372"/>
    <w:rPr>
      <w:lang w:val="fr-FR"/>
    </w:rPr>
  </w:style>
  <w:style w:type="character" w:styleId="PlaceholderText">
    <w:name w:val="Placeholder Text"/>
    <w:uiPriority w:val="99"/>
    <w:semiHidden/>
    <w:rsid w:val="0044137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441372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HA/18_1943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fs.go.t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cfs.go.t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THA/18_1943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4243</Characters>
  <Application>Microsoft Office Word</Application>
  <DocSecurity>0</DocSecurity>
  <Lines>101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2018-04-19T06:11:00Z</cp:lastPrinted>
  <dcterms:created xsi:type="dcterms:W3CDTF">2018-04-24T08:18:00Z</dcterms:created>
  <dcterms:modified xsi:type="dcterms:W3CDTF">2018-04-24T13:32:00Z</dcterms:modified>
</cp:coreProperties>
</file>