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042D38" w:rsidRDefault="00042D38" w:rsidP="00042D38">
      <w:pPr>
        <w:pStyle w:val="Titre"/>
        <w:rPr>
          <w:b w:val="0"/>
          <w:caps w:val="0"/>
          <w:kern w:val="0"/>
        </w:rPr>
      </w:pPr>
      <w:bookmarkStart w:id="12" w:name="_Hlk527532206"/>
      <w:r w:rsidRPr="00042D38">
        <w:rPr>
          <w:caps w:val="0"/>
          <w:kern w:val="0"/>
        </w:rPr>
        <w:t>NOTIFICATION</w:t>
      </w:r>
    </w:p>
    <w:p w:rsidR="00985FA7" w:rsidRPr="00042D38" w:rsidRDefault="00FD51EA" w:rsidP="00042D38">
      <w:pPr>
        <w:pStyle w:val="Title3"/>
      </w:pPr>
      <w:r w:rsidRPr="00042D38">
        <w:t>Addendum</w:t>
      </w:r>
    </w:p>
    <w:p w:rsidR="00BC2B46" w:rsidRPr="00042D38" w:rsidRDefault="00FD51EA" w:rsidP="00042D38">
      <w:pPr>
        <w:spacing w:after="120"/>
      </w:pPr>
      <w:r w:rsidRPr="00042D38">
        <w:t>La communication ci</w:t>
      </w:r>
      <w:r w:rsidR="00042D38" w:rsidRPr="00042D38">
        <w:t>-</w:t>
      </w:r>
      <w:r w:rsidRPr="00042D38">
        <w:t>après, datée du 1</w:t>
      </w:r>
      <w:r w:rsidR="00042D38" w:rsidRPr="00042D38">
        <w:t>0 octobre 2</w:t>
      </w:r>
      <w:r w:rsidRPr="00042D38">
        <w:t xml:space="preserve">018, est distribuée à la demande de la délégation </w:t>
      </w:r>
      <w:proofErr w:type="gramStart"/>
      <w:r w:rsidRPr="00042D38">
        <w:t>de</w:t>
      </w:r>
      <w:proofErr w:type="gramEnd"/>
      <w:r w:rsidRPr="00042D38">
        <w:t xml:space="preserve"> l'</w:t>
      </w:r>
      <w:r w:rsidRPr="00042D38">
        <w:rPr>
          <w:u w:val="single"/>
        </w:rPr>
        <w:t>Égypte</w:t>
      </w:r>
      <w:r w:rsidRPr="00042D38">
        <w:t>.</w:t>
      </w:r>
    </w:p>
    <w:p w:rsidR="00985FA7" w:rsidRPr="00042D38" w:rsidRDefault="006F298F" w:rsidP="00042D38"/>
    <w:p w:rsidR="00985FA7" w:rsidRPr="00042D38" w:rsidRDefault="00042D38" w:rsidP="00042D38">
      <w:pPr>
        <w:jc w:val="center"/>
        <w:rPr>
          <w:b/>
        </w:rPr>
      </w:pPr>
      <w:r w:rsidRPr="00042D38">
        <w:rPr>
          <w:b/>
        </w:rPr>
        <w:t>_______________</w:t>
      </w:r>
    </w:p>
    <w:p w:rsidR="00985FA7" w:rsidRPr="00042D38" w:rsidRDefault="006F298F" w:rsidP="00042D38"/>
    <w:p w:rsidR="00985FA7" w:rsidRPr="00042D38" w:rsidRDefault="006F298F" w:rsidP="00042D38"/>
    <w:p w:rsidR="00985FA7" w:rsidRPr="00042D38" w:rsidRDefault="00FD51EA" w:rsidP="00042D38">
      <w:pPr>
        <w:spacing w:after="120"/>
      </w:pPr>
      <w:r w:rsidRPr="00042D38">
        <w:rPr>
          <w:u w:val="single"/>
        </w:rPr>
        <w:t xml:space="preserve">Produits </w:t>
      </w:r>
      <w:proofErr w:type="gramStart"/>
      <w:r w:rsidRPr="00042D38">
        <w:rPr>
          <w:u w:val="single"/>
        </w:rPr>
        <w:t>visés</w:t>
      </w:r>
      <w:r w:rsidR="00042D38" w:rsidRPr="00042D38">
        <w:rPr>
          <w:u w:val="single"/>
        </w:rPr>
        <w:t>:</w:t>
      </w:r>
      <w:proofErr w:type="gramEnd"/>
      <w:r w:rsidR="00042D38" w:rsidRPr="00042D38">
        <w:rPr>
          <w:u w:val="single"/>
        </w:rPr>
        <w:t xml:space="preserve"> </w:t>
      </w:r>
      <w:proofErr w:type="spellStart"/>
      <w:r w:rsidR="00042D38" w:rsidRPr="00042D38">
        <w:rPr>
          <w:u w:val="single"/>
        </w:rPr>
        <w:t>I</w:t>
      </w:r>
      <w:r w:rsidRPr="00042D38">
        <w:rPr>
          <w:u w:val="single"/>
        </w:rPr>
        <w:t>CS</w:t>
      </w:r>
      <w:proofErr w:type="spellEnd"/>
      <w:r w:rsidRPr="00042D38">
        <w:rPr>
          <w:u w:val="single"/>
        </w:rPr>
        <w:t xml:space="preserve"> 25.220.50 (émaux</w:t>
      </w:r>
      <w:r w:rsidRPr="00042D38">
        <w:t>)</w:t>
      </w:r>
    </w:p>
    <w:p w:rsidR="003515C1" w:rsidRPr="00042D38" w:rsidRDefault="00FD51EA" w:rsidP="006F298F">
      <w:pPr>
        <w:spacing w:after="120"/>
      </w:pPr>
      <w:r w:rsidRPr="00042D38">
        <w:t xml:space="preserve">Le présent addendum concerne la notification de la </w:t>
      </w:r>
      <w:proofErr w:type="spellStart"/>
      <w:r w:rsidRPr="00042D38">
        <w:t>pulbication</w:t>
      </w:r>
      <w:proofErr w:type="spellEnd"/>
      <w:r w:rsidRPr="00042D38">
        <w:t xml:space="preserve"> du Décret ministériel n° 478/2018 (3 pages, en arabe) qui annule les normes égyptiennes </w:t>
      </w:r>
      <w:proofErr w:type="gramStart"/>
      <w:r w:rsidRPr="00042D38">
        <w:t>suivantes:</w:t>
      </w:r>
      <w:proofErr w:type="gramEnd"/>
    </w:p>
    <w:p w:rsidR="003515C1" w:rsidRPr="00042D38" w:rsidRDefault="00FD51EA" w:rsidP="00042D38">
      <w:pPr>
        <w:numPr>
          <w:ilvl w:val="0"/>
          <w:numId w:val="16"/>
        </w:numPr>
      </w:pPr>
      <w:r w:rsidRPr="00042D38">
        <w:t>ES 234</w:t>
      </w:r>
      <w:r w:rsidR="00042D38" w:rsidRPr="00042D38">
        <w:t>-</w:t>
      </w:r>
      <w:r w:rsidRPr="00042D38">
        <w:t>1 "</w:t>
      </w:r>
      <w:r w:rsidRPr="00042D38">
        <w:rPr>
          <w:i/>
          <w:iCs/>
        </w:rPr>
        <w:t xml:space="preserve">Standard </w:t>
      </w:r>
      <w:proofErr w:type="spellStart"/>
      <w:r w:rsidRPr="00042D38">
        <w:rPr>
          <w:i/>
          <w:iCs/>
        </w:rPr>
        <w:t>methods</w:t>
      </w:r>
      <w:proofErr w:type="spellEnd"/>
      <w:r w:rsidRPr="00042D38">
        <w:rPr>
          <w:i/>
          <w:iCs/>
        </w:rPr>
        <w:t xml:space="preserve"> of </w:t>
      </w:r>
      <w:proofErr w:type="spellStart"/>
      <w:r w:rsidRPr="00042D38">
        <w:rPr>
          <w:i/>
          <w:iCs/>
        </w:rPr>
        <w:t>testing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enamel</w:t>
      </w:r>
      <w:proofErr w:type="spellEnd"/>
      <w:r w:rsidRPr="00042D38">
        <w:rPr>
          <w:i/>
          <w:iCs/>
        </w:rPr>
        <w:t xml:space="preserve"> </w:t>
      </w:r>
      <w:r w:rsidR="00042D38" w:rsidRPr="00042D38">
        <w:rPr>
          <w:i/>
          <w:iCs/>
        </w:rPr>
        <w:t>-</w:t>
      </w:r>
      <w:r w:rsidRPr="00042D38">
        <w:rPr>
          <w:i/>
          <w:iCs/>
        </w:rPr>
        <w:t xml:space="preserve"> part (1</w:t>
      </w:r>
      <w:proofErr w:type="gramStart"/>
      <w:r w:rsidRPr="00042D38">
        <w:rPr>
          <w:i/>
          <w:iCs/>
        </w:rPr>
        <w:t>)</w:t>
      </w:r>
      <w:r w:rsidR="00042D38" w:rsidRPr="00042D38">
        <w:rPr>
          <w:i/>
          <w:iCs/>
        </w:rPr>
        <w:t>:</w:t>
      </w:r>
      <w:proofErr w:type="gramEnd"/>
      <w:r w:rsidR="00042D38" w:rsidRPr="00042D38">
        <w:rPr>
          <w:i/>
          <w:iCs/>
        </w:rPr>
        <w:t xml:space="preserve"> G</w:t>
      </w:r>
      <w:r w:rsidRPr="00042D38">
        <w:rPr>
          <w:i/>
          <w:iCs/>
        </w:rPr>
        <w:t xml:space="preserve">uide to </w:t>
      </w:r>
      <w:proofErr w:type="spellStart"/>
      <w:r w:rsidRPr="00042D38">
        <w:rPr>
          <w:i/>
          <w:iCs/>
        </w:rPr>
        <w:t>selection</w:t>
      </w:r>
      <w:proofErr w:type="spellEnd"/>
      <w:r w:rsidRPr="00042D38">
        <w:rPr>
          <w:i/>
          <w:iCs/>
        </w:rPr>
        <w:t xml:space="preserve"> of test </w:t>
      </w:r>
      <w:proofErr w:type="spellStart"/>
      <w:r w:rsidRPr="00042D38">
        <w:rPr>
          <w:i/>
          <w:iCs/>
        </w:rPr>
        <w:t>methods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vitreous</w:t>
      </w:r>
      <w:proofErr w:type="spellEnd"/>
      <w:r w:rsidRPr="00042D38">
        <w:rPr>
          <w:i/>
          <w:iCs/>
        </w:rPr>
        <w:t xml:space="preserve"> and </w:t>
      </w:r>
      <w:proofErr w:type="spellStart"/>
      <w:r w:rsidRPr="00042D38">
        <w:rPr>
          <w:i/>
          <w:iCs/>
        </w:rPr>
        <w:t>porcelain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enameled</w:t>
      </w:r>
      <w:proofErr w:type="spellEnd"/>
      <w:r w:rsidRPr="00042D38">
        <w:rPr>
          <w:i/>
          <w:iCs/>
        </w:rPr>
        <w:t xml:space="preserve"> areas of articles</w:t>
      </w:r>
      <w:r w:rsidRPr="00042D38">
        <w:t xml:space="preserve">" (Méthodes d'essai normalisées applicables aux émaux </w:t>
      </w:r>
      <w:r w:rsidR="00042D38" w:rsidRPr="00042D38">
        <w:t>-</w:t>
      </w:r>
      <w:r w:rsidRPr="00042D38">
        <w:t xml:space="preserve"> Partie 1</w:t>
      </w:r>
      <w:r w:rsidR="00042D38" w:rsidRPr="00042D38">
        <w:t>: G</w:t>
      </w:r>
      <w:r w:rsidRPr="00042D38">
        <w:t>uide pour le choix des méthodes d'essai applicables aux surfaces émaillées de pièces), 28 pages, en arabe</w:t>
      </w:r>
    </w:p>
    <w:p w:rsidR="003515C1" w:rsidRPr="00042D38" w:rsidRDefault="00FD51EA" w:rsidP="00042D38">
      <w:pPr>
        <w:numPr>
          <w:ilvl w:val="0"/>
          <w:numId w:val="16"/>
        </w:numPr>
      </w:pPr>
      <w:r w:rsidRPr="00042D38">
        <w:t>ES 234</w:t>
      </w:r>
      <w:r w:rsidR="00042D38" w:rsidRPr="00042D38">
        <w:t>-</w:t>
      </w:r>
      <w:r w:rsidRPr="00042D38">
        <w:t>2 "</w:t>
      </w:r>
      <w:r w:rsidRPr="00042D38">
        <w:rPr>
          <w:i/>
          <w:iCs/>
        </w:rPr>
        <w:t xml:space="preserve">Standard </w:t>
      </w:r>
      <w:proofErr w:type="spellStart"/>
      <w:r w:rsidRPr="00042D38">
        <w:rPr>
          <w:i/>
          <w:iCs/>
        </w:rPr>
        <w:t>methods</w:t>
      </w:r>
      <w:proofErr w:type="spellEnd"/>
      <w:r w:rsidRPr="00042D38">
        <w:rPr>
          <w:i/>
          <w:iCs/>
        </w:rPr>
        <w:t xml:space="preserve"> of </w:t>
      </w:r>
      <w:proofErr w:type="spellStart"/>
      <w:r w:rsidRPr="00042D38">
        <w:rPr>
          <w:i/>
          <w:iCs/>
        </w:rPr>
        <w:t>testing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enamel</w:t>
      </w:r>
      <w:proofErr w:type="spellEnd"/>
      <w:r w:rsidRPr="00042D38">
        <w:rPr>
          <w:i/>
          <w:iCs/>
        </w:rPr>
        <w:t xml:space="preserve"> </w:t>
      </w:r>
      <w:r w:rsidR="00042D38" w:rsidRPr="00042D38">
        <w:rPr>
          <w:i/>
          <w:iCs/>
        </w:rPr>
        <w:t>-</w:t>
      </w:r>
      <w:r w:rsidRPr="00042D38">
        <w:rPr>
          <w:i/>
          <w:iCs/>
        </w:rPr>
        <w:t xml:space="preserve"> part (2</w:t>
      </w:r>
      <w:proofErr w:type="gramStart"/>
      <w:r w:rsidRPr="00042D38">
        <w:rPr>
          <w:i/>
          <w:iCs/>
        </w:rPr>
        <w:t>)</w:t>
      </w:r>
      <w:r w:rsidR="00042D38" w:rsidRPr="00042D38">
        <w:rPr>
          <w:i/>
          <w:iCs/>
        </w:rPr>
        <w:t>:</w:t>
      </w:r>
      <w:proofErr w:type="gramEnd"/>
      <w:r w:rsidR="00042D38" w:rsidRPr="00042D38">
        <w:rPr>
          <w:i/>
          <w:iCs/>
        </w:rPr>
        <w:t xml:space="preserve"> P</w:t>
      </w:r>
      <w:r w:rsidRPr="00042D38">
        <w:rPr>
          <w:i/>
          <w:iCs/>
        </w:rPr>
        <w:t xml:space="preserve">roduction of </w:t>
      </w:r>
      <w:proofErr w:type="spellStart"/>
      <w:r w:rsidRPr="00042D38">
        <w:rPr>
          <w:i/>
          <w:iCs/>
        </w:rPr>
        <w:t>specimens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testing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enamels</w:t>
      </w:r>
      <w:proofErr w:type="spellEnd"/>
      <w:r w:rsidRPr="00042D38">
        <w:rPr>
          <w:i/>
          <w:iCs/>
        </w:rPr>
        <w:t xml:space="preserve"> on </w:t>
      </w:r>
      <w:proofErr w:type="spellStart"/>
      <w:r w:rsidRPr="00042D38">
        <w:rPr>
          <w:i/>
          <w:iCs/>
        </w:rPr>
        <w:t>sheet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steel</w:t>
      </w:r>
      <w:proofErr w:type="spellEnd"/>
      <w:r w:rsidRPr="00042D38">
        <w:rPr>
          <w:i/>
          <w:iCs/>
        </w:rPr>
        <w:t xml:space="preserve">, </w:t>
      </w:r>
      <w:proofErr w:type="spellStart"/>
      <w:r w:rsidRPr="00042D38">
        <w:rPr>
          <w:i/>
          <w:iCs/>
        </w:rPr>
        <w:t>sheet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aluminum</w:t>
      </w:r>
      <w:proofErr w:type="spellEnd"/>
      <w:r w:rsidRPr="00042D38">
        <w:rPr>
          <w:i/>
          <w:iCs/>
        </w:rPr>
        <w:t xml:space="preserve"> and </w:t>
      </w:r>
      <w:proofErr w:type="spellStart"/>
      <w:r w:rsidRPr="00042D38">
        <w:rPr>
          <w:i/>
          <w:iCs/>
        </w:rPr>
        <w:t>cast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iron</w:t>
      </w:r>
      <w:proofErr w:type="spellEnd"/>
      <w:r w:rsidRPr="00042D38">
        <w:t xml:space="preserve">" (Méthodes d'essai normalisées applicables aux émaux </w:t>
      </w:r>
      <w:r w:rsidR="00042D38" w:rsidRPr="00042D38">
        <w:t>-</w:t>
      </w:r>
      <w:r w:rsidRPr="00042D38">
        <w:t xml:space="preserve"> Partie 2</w:t>
      </w:r>
      <w:r w:rsidR="00042D38" w:rsidRPr="00042D38">
        <w:t>: P</w:t>
      </w:r>
      <w:r w:rsidRPr="00042D38">
        <w:t>roduction d'éprouvettes pour l'essai des émaux sur la tôle d'acier, la tôle d'aluminium et la fonte), 8 pages, en arabe</w:t>
      </w:r>
    </w:p>
    <w:p w:rsidR="003515C1" w:rsidRPr="00042D38" w:rsidRDefault="00FD51EA" w:rsidP="00042D38">
      <w:pPr>
        <w:numPr>
          <w:ilvl w:val="0"/>
          <w:numId w:val="16"/>
        </w:numPr>
      </w:pPr>
      <w:r w:rsidRPr="00042D38">
        <w:t>ES 234</w:t>
      </w:r>
      <w:r w:rsidR="00042D38" w:rsidRPr="00042D38">
        <w:t>-</w:t>
      </w:r>
      <w:r w:rsidRPr="00042D38">
        <w:t>3 "</w:t>
      </w:r>
      <w:r w:rsidRPr="00042D38">
        <w:rPr>
          <w:i/>
          <w:iCs/>
        </w:rPr>
        <w:t xml:space="preserve">Standard </w:t>
      </w:r>
      <w:proofErr w:type="spellStart"/>
      <w:r w:rsidRPr="00042D38">
        <w:rPr>
          <w:i/>
          <w:iCs/>
        </w:rPr>
        <w:t>methods</w:t>
      </w:r>
      <w:proofErr w:type="spellEnd"/>
      <w:r w:rsidRPr="00042D38">
        <w:rPr>
          <w:i/>
          <w:iCs/>
        </w:rPr>
        <w:t xml:space="preserve"> of </w:t>
      </w:r>
      <w:proofErr w:type="spellStart"/>
      <w:r w:rsidRPr="00042D38">
        <w:rPr>
          <w:i/>
          <w:iCs/>
        </w:rPr>
        <w:t>testing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enamel</w:t>
      </w:r>
      <w:proofErr w:type="spellEnd"/>
      <w:r w:rsidRPr="00042D38">
        <w:rPr>
          <w:i/>
          <w:iCs/>
        </w:rPr>
        <w:t xml:space="preserve"> </w:t>
      </w:r>
      <w:r w:rsidR="00042D38" w:rsidRPr="00042D38">
        <w:rPr>
          <w:i/>
          <w:iCs/>
        </w:rPr>
        <w:t>-</w:t>
      </w:r>
      <w:r w:rsidRPr="00042D38">
        <w:rPr>
          <w:i/>
          <w:iCs/>
        </w:rPr>
        <w:t xml:space="preserve"> part (3</w:t>
      </w:r>
      <w:proofErr w:type="gramStart"/>
      <w:r w:rsidRPr="00042D38">
        <w:rPr>
          <w:i/>
          <w:iCs/>
        </w:rPr>
        <w:t>)</w:t>
      </w:r>
      <w:r w:rsidR="00042D38" w:rsidRPr="00042D38">
        <w:rPr>
          <w:i/>
          <w:iCs/>
        </w:rPr>
        <w:t>:</w:t>
      </w:r>
      <w:proofErr w:type="gramEnd"/>
      <w:r w:rsidR="00042D38" w:rsidRPr="00042D38">
        <w:rPr>
          <w:i/>
          <w:iCs/>
        </w:rPr>
        <w:t xml:space="preserve"> </w:t>
      </w:r>
      <w:proofErr w:type="spellStart"/>
      <w:r w:rsidR="00042D38" w:rsidRPr="00042D38">
        <w:rPr>
          <w:i/>
          <w:iCs/>
        </w:rPr>
        <w:t>D</w:t>
      </w:r>
      <w:r w:rsidRPr="00042D38">
        <w:rPr>
          <w:i/>
          <w:iCs/>
        </w:rPr>
        <w:t>etermination</w:t>
      </w:r>
      <w:proofErr w:type="spellEnd"/>
      <w:r w:rsidRPr="00042D38">
        <w:rPr>
          <w:i/>
          <w:iCs/>
        </w:rPr>
        <w:t xml:space="preserve"> of </w:t>
      </w:r>
      <w:proofErr w:type="spellStart"/>
      <w:r w:rsidRPr="00042D38">
        <w:rPr>
          <w:i/>
          <w:iCs/>
        </w:rPr>
        <w:t>resistance</w:t>
      </w:r>
      <w:proofErr w:type="spellEnd"/>
      <w:r w:rsidRPr="00042D38">
        <w:rPr>
          <w:i/>
          <w:iCs/>
        </w:rPr>
        <w:t xml:space="preserve"> to </w:t>
      </w:r>
      <w:proofErr w:type="spellStart"/>
      <w:r w:rsidRPr="00042D38">
        <w:rPr>
          <w:i/>
          <w:iCs/>
        </w:rPr>
        <w:t>chemical</w:t>
      </w:r>
      <w:proofErr w:type="spellEnd"/>
      <w:r w:rsidRPr="00042D38">
        <w:rPr>
          <w:i/>
          <w:iCs/>
        </w:rPr>
        <w:t xml:space="preserve"> corrosion by </w:t>
      </w:r>
      <w:proofErr w:type="spellStart"/>
      <w:r w:rsidRPr="00042D38">
        <w:rPr>
          <w:i/>
          <w:iCs/>
        </w:rPr>
        <w:t>boiling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acids</w:t>
      </w:r>
      <w:proofErr w:type="spellEnd"/>
      <w:r w:rsidRPr="00042D38">
        <w:rPr>
          <w:i/>
          <w:iCs/>
        </w:rPr>
        <w:t xml:space="preserve">, </w:t>
      </w:r>
      <w:proofErr w:type="spellStart"/>
      <w:r w:rsidRPr="00042D38">
        <w:rPr>
          <w:i/>
          <w:iCs/>
        </w:rPr>
        <w:t>boiling</w:t>
      </w:r>
      <w:proofErr w:type="spellEnd"/>
      <w:r w:rsidRPr="00042D38">
        <w:rPr>
          <w:i/>
          <w:iCs/>
        </w:rPr>
        <w:t xml:space="preserve"> neutral </w:t>
      </w:r>
      <w:proofErr w:type="spellStart"/>
      <w:r w:rsidRPr="00042D38">
        <w:rPr>
          <w:i/>
          <w:iCs/>
        </w:rPr>
        <w:t>liquids</w:t>
      </w:r>
      <w:proofErr w:type="spellEnd"/>
      <w:r w:rsidRPr="00042D38">
        <w:rPr>
          <w:i/>
          <w:iCs/>
        </w:rPr>
        <w:t xml:space="preserve"> and/or </w:t>
      </w:r>
      <w:proofErr w:type="spellStart"/>
      <w:r w:rsidRPr="00042D38">
        <w:rPr>
          <w:i/>
          <w:iCs/>
        </w:rPr>
        <w:t>their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vapors</w:t>
      </w:r>
      <w:proofErr w:type="spellEnd"/>
      <w:r w:rsidRPr="00042D38">
        <w:t xml:space="preserve">" (Méthodes d'essai normalisées applicables aux émaux </w:t>
      </w:r>
      <w:r w:rsidR="00042D38" w:rsidRPr="00042D38">
        <w:t>-</w:t>
      </w:r>
      <w:r w:rsidRPr="00042D38">
        <w:t xml:space="preserve"> Partie 3</w:t>
      </w:r>
      <w:r w:rsidR="00042D38" w:rsidRPr="00042D38">
        <w:t>: D</w:t>
      </w:r>
      <w:r w:rsidRPr="00042D38">
        <w:t>étermination de la résistance à la corrosion chimique par des acides bouillants, les liquides neutres bouillants et/ou leurs vapeurs), 26 pages, en arabe</w:t>
      </w:r>
    </w:p>
    <w:p w:rsidR="003515C1" w:rsidRPr="00042D38" w:rsidRDefault="00FD51EA" w:rsidP="006F298F">
      <w:pPr>
        <w:numPr>
          <w:ilvl w:val="0"/>
          <w:numId w:val="16"/>
        </w:numPr>
        <w:spacing w:after="120"/>
        <w:ind w:left="714" w:hanging="357"/>
      </w:pPr>
      <w:r w:rsidRPr="00042D38">
        <w:t>ES 234</w:t>
      </w:r>
      <w:r w:rsidR="00042D38" w:rsidRPr="00042D38">
        <w:t>-</w:t>
      </w:r>
      <w:r w:rsidRPr="00042D38">
        <w:t>4 "</w:t>
      </w:r>
      <w:r w:rsidRPr="00042D38">
        <w:rPr>
          <w:i/>
          <w:iCs/>
        </w:rPr>
        <w:t xml:space="preserve">Standard </w:t>
      </w:r>
      <w:proofErr w:type="spellStart"/>
      <w:r w:rsidRPr="00042D38">
        <w:rPr>
          <w:i/>
          <w:iCs/>
        </w:rPr>
        <w:t>methods</w:t>
      </w:r>
      <w:proofErr w:type="spellEnd"/>
      <w:r w:rsidRPr="00042D38">
        <w:rPr>
          <w:i/>
          <w:iCs/>
        </w:rPr>
        <w:t xml:space="preserve"> of </w:t>
      </w:r>
      <w:proofErr w:type="spellStart"/>
      <w:r w:rsidRPr="00042D38">
        <w:rPr>
          <w:i/>
          <w:iCs/>
        </w:rPr>
        <w:t>testing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enamel</w:t>
      </w:r>
      <w:proofErr w:type="spellEnd"/>
      <w:r w:rsidRPr="00042D38">
        <w:rPr>
          <w:i/>
          <w:iCs/>
        </w:rPr>
        <w:t xml:space="preserve"> part (4</w:t>
      </w:r>
      <w:proofErr w:type="gramStart"/>
      <w:r w:rsidRPr="00042D38">
        <w:rPr>
          <w:i/>
          <w:iCs/>
        </w:rPr>
        <w:t>)</w:t>
      </w:r>
      <w:r w:rsidR="00042D38" w:rsidRPr="00042D38">
        <w:rPr>
          <w:i/>
          <w:iCs/>
        </w:rPr>
        <w:t>:</w:t>
      </w:r>
      <w:proofErr w:type="gramEnd"/>
      <w:r w:rsidR="00042D38" w:rsidRPr="00042D38">
        <w:rPr>
          <w:i/>
          <w:iCs/>
        </w:rPr>
        <w:t xml:space="preserve"> p</w:t>
      </w:r>
      <w:r w:rsidRPr="00042D38">
        <w:rPr>
          <w:i/>
          <w:iCs/>
        </w:rPr>
        <w:t xml:space="preserve">roduction of test </w:t>
      </w:r>
      <w:proofErr w:type="spellStart"/>
      <w:r w:rsidRPr="00042D38">
        <w:rPr>
          <w:i/>
          <w:iCs/>
        </w:rPr>
        <w:t>specimens</w:t>
      </w:r>
      <w:proofErr w:type="spellEnd"/>
      <w:r w:rsidRPr="00042D38">
        <w:rPr>
          <w:i/>
          <w:iCs/>
        </w:rPr>
        <w:t xml:space="preserve"> for aluminium</w:t>
      </w:r>
      <w:r w:rsidRPr="00042D38">
        <w:t xml:space="preserve">" (Méthodes d'essai normalisées applicables aux émaux </w:t>
      </w:r>
      <w:r w:rsidR="00042D38" w:rsidRPr="00042D38">
        <w:t>-</w:t>
      </w:r>
      <w:r w:rsidRPr="00042D38">
        <w:t xml:space="preserve"> Partie 4</w:t>
      </w:r>
      <w:r w:rsidR="00042D38" w:rsidRPr="00042D38">
        <w:t>: P</w:t>
      </w:r>
      <w:r w:rsidRPr="00042D38">
        <w:t>roduction d'éprouvettes pour l'aluminium), 8 pages, en arabe</w:t>
      </w:r>
    </w:p>
    <w:p w:rsidR="003515C1" w:rsidRPr="00042D38" w:rsidRDefault="00FD51EA" w:rsidP="00042D38">
      <w:pPr>
        <w:spacing w:after="120"/>
      </w:pPr>
      <w:r w:rsidRPr="00042D38">
        <w:t>Il est à noter que le Décret ministériel n° 423/2005 (25 pages, en arabe), qui avait fait l'objet de la notification G/</w:t>
      </w:r>
      <w:proofErr w:type="spellStart"/>
      <w:r w:rsidRPr="00042D38">
        <w:t>TBT</w:t>
      </w:r>
      <w:proofErr w:type="spellEnd"/>
      <w:r w:rsidRPr="00042D38">
        <w:t>/N/</w:t>
      </w:r>
      <w:proofErr w:type="spellStart"/>
      <w:r w:rsidRPr="00042D38">
        <w:t>EGY</w:t>
      </w:r>
      <w:proofErr w:type="spellEnd"/>
      <w:r w:rsidRPr="00042D38">
        <w:t>/3 du 1</w:t>
      </w:r>
      <w:r w:rsidR="00042D38" w:rsidRPr="00042D38">
        <w:t>4 décembre 2</w:t>
      </w:r>
      <w:r w:rsidRPr="00042D38">
        <w:t>005, prévoyait, entre autres, l'application obligatoire de l'édition précédente de cette norme égyptienne.</w:t>
      </w:r>
    </w:p>
    <w:p w:rsidR="003515C1" w:rsidRPr="00042D38" w:rsidRDefault="00FD51EA" w:rsidP="00042D38">
      <w:pPr>
        <w:spacing w:after="120"/>
      </w:pPr>
      <w:r w:rsidRPr="00042D38">
        <w:t>Les producteurs et importateurs sont informés de toute modification aux normes égyptiennes par la publication d'arrêtés administratifs dans le Journal officiel.</w:t>
      </w:r>
    </w:p>
    <w:p w:rsidR="003515C1" w:rsidRPr="00042D38" w:rsidRDefault="00FD51EA" w:rsidP="00042D38">
      <w:pPr>
        <w:spacing w:after="120"/>
        <w:jc w:val="left"/>
      </w:pPr>
      <w:r w:rsidRPr="00042D38">
        <w:t xml:space="preserve">Date projetée pour </w:t>
      </w:r>
      <w:proofErr w:type="gramStart"/>
      <w:r w:rsidRPr="00042D38">
        <w:t>l'adoption</w:t>
      </w:r>
      <w:r w:rsidR="00042D38" w:rsidRPr="00042D38">
        <w:t>:</w:t>
      </w:r>
      <w:proofErr w:type="gramEnd"/>
      <w:r w:rsidR="00042D38" w:rsidRPr="00042D38">
        <w:t xml:space="preserve"> 27 mai 2</w:t>
      </w:r>
      <w:r w:rsidRPr="00042D38">
        <w:t>018</w:t>
      </w:r>
    </w:p>
    <w:p w:rsidR="003515C1" w:rsidRPr="00042D38" w:rsidRDefault="00FD51EA" w:rsidP="00042D38">
      <w:pPr>
        <w:spacing w:after="120"/>
        <w:jc w:val="left"/>
      </w:pPr>
      <w:r w:rsidRPr="00042D38">
        <w:t xml:space="preserve">Date projetée pour l'entrée en </w:t>
      </w:r>
      <w:proofErr w:type="gramStart"/>
      <w:r w:rsidRPr="00042D38">
        <w:t>vigueur</w:t>
      </w:r>
      <w:r w:rsidR="00042D38" w:rsidRPr="00042D38">
        <w:t>:</w:t>
      </w:r>
      <w:proofErr w:type="gramEnd"/>
      <w:r w:rsidR="00042D38" w:rsidRPr="00042D38">
        <w:t xml:space="preserve"> 24 juin 2</w:t>
      </w:r>
      <w:r w:rsidRPr="00042D38">
        <w:t>018</w:t>
      </w:r>
    </w:p>
    <w:p w:rsidR="003515C1" w:rsidRPr="00042D38" w:rsidRDefault="00FD51EA" w:rsidP="006F298F">
      <w:pPr>
        <w:spacing w:after="120"/>
        <w:jc w:val="left"/>
      </w:pPr>
      <w:r w:rsidRPr="00042D38">
        <w:t xml:space="preserve">Organisme ou autorité désigné pour traiter les observations et entité auprès de laquelle le texte peut être </w:t>
      </w:r>
      <w:proofErr w:type="gramStart"/>
      <w:r w:rsidRPr="00042D38">
        <w:t>obtenu:</w:t>
      </w:r>
      <w:bookmarkStart w:id="13" w:name="_GoBack"/>
      <w:bookmarkEnd w:id="13"/>
      <w:proofErr w:type="gramEnd"/>
    </w:p>
    <w:p w:rsidR="003515C1" w:rsidRPr="00042D38" w:rsidRDefault="00FD51EA" w:rsidP="00042D38">
      <w:pPr>
        <w:jc w:val="left"/>
      </w:pPr>
      <w:r w:rsidRPr="00042D38">
        <w:t>Point d'information national</w:t>
      </w:r>
    </w:p>
    <w:p w:rsidR="003515C1" w:rsidRPr="00042D38" w:rsidRDefault="00FD51EA" w:rsidP="00042D38">
      <w:pPr>
        <w:jc w:val="left"/>
      </w:pPr>
      <w:proofErr w:type="spellStart"/>
      <w:r w:rsidRPr="00042D38">
        <w:rPr>
          <w:i/>
          <w:iCs/>
        </w:rPr>
        <w:t>Egyptian</w:t>
      </w:r>
      <w:proofErr w:type="spellEnd"/>
      <w:r w:rsidRPr="00042D38">
        <w:rPr>
          <w:i/>
          <w:iCs/>
        </w:rPr>
        <w:t xml:space="preserve"> </w:t>
      </w:r>
      <w:proofErr w:type="spellStart"/>
      <w:r w:rsidRPr="00042D38">
        <w:rPr>
          <w:i/>
          <w:iCs/>
        </w:rPr>
        <w:t>Organization</w:t>
      </w:r>
      <w:proofErr w:type="spellEnd"/>
      <w:r w:rsidRPr="00042D38">
        <w:rPr>
          <w:i/>
          <w:iCs/>
        </w:rPr>
        <w:t xml:space="preserve"> for </w:t>
      </w:r>
      <w:proofErr w:type="spellStart"/>
      <w:r w:rsidRPr="00042D38">
        <w:rPr>
          <w:i/>
          <w:iCs/>
        </w:rPr>
        <w:t>Standardization</w:t>
      </w:r>
      <w:proofErr w:type="spellEnd"/>
      <w:r w:rsidRPr="00042D38">
        <w:rPr>
          <w:i/>
          <w:iCs/>
        </w:rPr>
        <w:t xml:space="preserve"> and </w:t>
      </w:r>
      <w:proofErr w:type="spellStart"/>
      <w:r w:rsidRPr="00042D38">
        <w:rPr>
          <w:i/>
          <w:iCs/>
        </w:rPr>
        <w:t>Quality</w:t>
      </w:r>
      <w:proofErr w:type="spellEnd"/>
      <w:r w:rsidRPr="00042D38">
        <w:t xml:space="preserve"> (Organisation égyptienne de normalisation et de contrôle de la qualité)</w:t>
      </w:r>
    </w:p>
    <w:p w:rsidR="003515C1" w:rsidRPr="00042D38" w:rsidRDefault="00FD51EA" w:rsidP="00042D38">
      <w:pPr>
        <w:jc w:val="left"/>
      </w:pPr>
      <w:r w:rsidRPr="00042D38">
        <w:t xml:space="preserve">16 </w:t>
      </w:r>
      <w:proofErr w:type="spellStart"/>
      <w:r w:rsidRPr="00042D38">
        <w:t>Tadreeb</w:t>
      </w:r>
      <w:proofErr w:type="spellEnd"/>
      <w:r w:rsidRPr="00042D38">
        <w:t xml:space="preserve"> El</w:t>
      </w:r>
      <w:r w:rsidR="00042D38" w:rsidRPr="00042D38">
        <w:t>-</w:t>
      </w:r>
      <w:proofErr w:type="spellStart"/>
      <w:r w:rsidRPr="00042D38">
        <w:t>Modarrebeen</w:t>
      </w:r>
      <w:proofErr w:type="spellEnd"/>
      <w:r w:rsidRPr="00042D38">
        <w:t xml:space="preserve"> St., </w:t>
      </w:r>
      <w:proofErr w:type="spellStart"/>
      <w:r w:rsidRPr="00042D38">
        <w:t>Ameriya</w:t>
      </w:r>
      <w:proofErr w:type="spellEnd"/>
      <w:r w:rsidRPr="00042D38">
        <w:t>, Le Caire (Égypte)</w:t>
      </w:r>
    </w:p>
    <w:p w:rsidR="003515C1" w:rsidRPr="00042D38" w:rsidRDefault="00BC2B46" w:rsidP="00042D38">
      <w:pPr>
        <w:jc w:val="left"/>
      </w:pPr>
      <w:r w:rsidRPr="00042D38">
        <w:t xml:space="preserve">Courrier </w:t>
      </w:r>
      <w:proofErr w:type="gramStart"/>
      <w:r w:rsidRPr="00042D38">
        <w:t>électronique:</w:t>
      </w:r>
      <w:proofErr w:type="gramEnd"/>
      <w:r w:rsidRPr="00042D38">
        <w:t xml:space="preserve"> </w:t>
      </w:r>
      <w:hyperlink r:id="rId7" w:history="1">
        <w:r w:rsidR="00042D38" w:rsidRPr="00042D38">
          <w:rPr>
            <w:rStyle w:val="Lienhypertexte"/>
          </w:rPr>
          <w:t>eos@idsc.net.eg</w:t>
        </w:r>
      </w:hyperlink>
      <w:r w:rsidRPr="00042D38">
        <w:t>/</w:t>
      </w:r>
      <w:hyperlink r:id="rId8" w:history="1">
        <w:r w:rsidR="00042D38" w:rsidRPr="00042D38">
          <w:rPr>
            <w:rStyle w:val="Lienhypertexte"/>
          </w:rPr>
          <w:t>eos.tbt@eos.org.eg</w:t>
        </w:r>
      </w:hyperlink>
    </w:p>
    <w:p w:rsidR="003515C1" w:rsidRPr="006F298F" w:rsidRDefault="00FD51EA" w:rsidP="00042D38">
      <w:pPr>
        <w:jc w:val="left"/>
        <w:rPr>
          <w:lang w:val="en-GB"/>
        </w:rPr>
      </w:pPr>
      <w:r w:rsidRPr="006F298F">
        <w:rPr>
          <w:lang w:val="en-GB"/>
        </w:rPr>
        <w:t xml:space="preserve">Site Web: </w:t>
      </w:r>
      <w:hyperlink r:id="rId9" w:tgtFrame="_blank" w:history="1">
        <w:r w:rsidR="00042D38" w:rsidRPr="006F298F">
          <w:rPr>
            <w:rStyle w:val="Lienhypertexte"/>
            <w:lang w:val="en-GB"/>
          </w:rPr>
          <w:t>http://www.eos.org.eg/</w:t>
        </w:r>
      </w:hyperlink>
    </w:p>
    <w:p w:rsidR="003515C1" w:rsidRPr="00042D38" w:rsidRDefault="00FD51EA" w:rsidP="00042D38">
      <w:pPr>
        <w:jc w:val="left"/>
      </w:pPr>
      <w:proofErr w:type="gramStart"/>
      <w:r w:rsidRPr="00042D38">
        <w:t>Téléphone</w:t>
      </w:r>
      <w:r w:rsidR="00042D38" w:rsidRPr="00042D38">
        <w:t>:</w:t>
      </w:r>
      <w:proofErr w:type="gramEnd"/>
      <w:r w:rsidR="00042D38" w:rsidRPr="00042D38">
        <w:t xml:space="preserve"> +</w:t>
      </w:r>
      <w:r w:rsidRPr="00042D38">
        <w:t xml:space="preserve"> (202) 22845528</w:t>
      </w:r>
    </w:p>
    <w:p w:rsidR="00985FA7" w:rsidRPr="00042D38" w:rsidRDefault="00FD51EA" w:rsidP="00042D38">
      <w:pPr>
        <w:spacing w:after="120"/>
        <w:jc w:val="left"/>
      </w:pPr>
      <w:proofErr w:type="gramStart"/>
      <w:r w:rsidRPr="00042D38">
        <w:t>Fax</w:t>
      </w:r>
      <w:r w:rsidR="00042D38" w:rsidRPr="00042D38">
        <w:t>:</w:t>
      </w:r>
      <w:proofErr w:type="gramEnd"/>
      <w:r w:rsidR="00042D38" w:rsidRPr="00042D38">
        <w:t xml:space="preserve"> +</w:t>
      </w:r>
      <w:r w:rsidRPr="00042D38">
        <w:t xml:space="preserve"> (202) 22845504</w:t>
      </w:r>
    </w:p>
    <w:p w:rsidR="00985FA7" w:rsidRPr="00042D38" w:rsidRDefault="00042D38" w:rsidP="00042D38">
      <w:pPr>
        <w:jc w:val="center"/>
        <w:rPr>
          <w:b/>
        </w:rPr>
      </w:pPr>
      <w:r w:rsidRPr="00042D38">
        <w:rPr>
          <w:b/>
        </w:rPr>
        <w:t>__________</w:t>
      </w:r>
      <w:bookmarkEnd w:id="12"/>
    </w:p>
    <w:sectPr w:rsidR="00985FA7" w:rsidRPr="00042D38" w:rsidSect="006F2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54" w:rsidRPr="00042D38" w:rsidRDefault="00FD51EA">
      <w:bookmarkStart w:id="6" w:name="_Hlk527532231"/>
      <w:bookmarkStart w:id="7" w:name="_Hlk527532232"/>
      <w:bookmarkStart w:id="8" w:name="_Hlk527532233"/>
      <w:r w:rsidRPr="00042D38">
        <w:separator/>
      </w:r>
      <w:bookmarkEnd w:id="6"/>
      <w:bookmarkEnd w:id="7"/>
      <w:bookmarkEnd w:id="8"/>
    </w:p>
  </w:endnote>
  <w:endnote w:type="continuationSeparator" w:id="0">
    <w:p w:rsidR="00BF7154" w:rsidRPr="00042D38" w:rsidRDefault="00FD51EA">
      <w:bookmarkStart w:id="9" w:name="_Hlk527532234"/>
      <w:bookmarkStart w:id="10" w:name="_Hlk527532235"/>
      <w:bookmarkStart w:id="11" w:name="_Hlk527532236"/>
      <w:r w:rsidRPr="00042D38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42D38" w:rsidRDefault="00042D38" w:rsidP="00042D38">
    <w:pPr>
      <w:pStyle w:val="Pieddepage"/>
    </w:pPr>
    <w:bookmarkStart w:id="20" w:name="_Hlk527532213"/>
    <w:bookmarkStart w:id="21" w:name="_Hlk527532214"/>
    <w:bookmarkStart w:id="22" w:name="_Hlk527532215"/>
    <w:r w:rsidRPr="00042D38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42D38" w:rsidRDefault="00042D38" w:rsidP="00042D38">
    <w:pPr>
      <w:pStyle w:val="Pieddepage"/>
    </w:pPr>
    <w:bookmarkStart w:id="23" w:name="_Hlk527532216"/>
    <w:bookmarkStart w:id="24" w:name="_Hlk527532217"/>
    <w:bookmarkStart w:id="25" w:name="_Hlk527532218"/>
    <w:r w:rsidRPr="00042D38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042D38" w:rsidRDefault="00042D38" w:rsidP="00042D38">
    <w:pPr>
      <w:pStyle w:val="Pieddepage"/>
    </w:pPr>
    <w:bookmarkStart w:id="29" w:name="_Hlk527532222"/>
    <w:bookmarkStart w:id="30" w:name="_Hlk527532223"/>
    <w:bookmarkStart w:id="31" w:name="_Hlk527532224"/>
    <w:r w:rsidRPr="00042D38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54" w:rsidRPr="00042D38" w:rsidRDefault="00FD51EA">
      <w:bookmarkStart w:id="0" w:name="_Hlk527532225"/>
      <w:bookmarkStart w:id="1" w:name="_Hlk527532226"/>
      <w:bookmarkStart w:id="2" w:name="_Hlk527532227"/>
      <w:r w:rsidRPr="00042D38">
        <w:separator/>
      </w:r>
      <w:bookmarkEnd w:id="0"/>
      <w:bookmarkEnd w:id="1"/>
      <w:bookmarkEnd w:id="2"/>
    </w:p>
  </w:footnote>
  <w:footnote w:type="continuationSeparator" w:id="0">
    <w:p w:rsidR="00BF7154" w:rsidRPr="00042D38" w:rsidRDefault="00FD51EA">
      <w:bookmarkStart w:id="3" w:name="_Hlk527532228"/>
      <w:bookmarkStart w:id="4" w:name="_Hlk527532229"/>
      <w:bookmarkStart w:id="5" w:name="_Hlk527532230"/>
      <w:r w:rsidRPr="00042D38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38" w:rsidRPr="006F298F" w:rsidRDefault="00042D38" w:rsidP="00042D38">
    <w:pPr>
      <w:pStyle w:val="En-tte"/>
      <w:spacing w:after="240"/>
      <w:jc w:val="center"/>
      <w:rPr>
        <w:lang w:val="en-GB"/>
      </w:rPr>
    </w:pPr>
    <w:bookmarkStart w:id="14" w:name="_Hlk527532207"/>
    <w:bookmarkStart w:id="15" w:name="_Hlk527532208"/>
    <w:bookmarkStart w:id="16" w:name="_Hlk527532209"/>
    <w:r w:rsidRPr="006F298F">
      <w:rPr>
        <w:lang w:val="en-GB"/>
      </w:rPr>
      <w:t>G/TBT/N/</w:t>
    </w:r>
    <w:proofErr w:type="spellStart"/>
    <w:r w:rsidRPr="006F298F">
      <w:rPr>
        <w:lang w:val="en-GB"/>
      </w:rPr>
      <w:t>EGY</w:t>
    </w:r>
    <w:proofErr w:type="spellEnd"/>
    <w:r w:rsidRPr="006F298F">
      <w:rPr>
        <w:lang w:val="en-GB"/>
      </w:rPr>
      <w:t>/3/Add.16</w:t>
    </w:r>
  </w:p>
  <w:p w:rsidR="00042D38" w:rsidRPr="00042D38" w:rsidRDefault="00042D38" w:rsidP="00042D38">
    <w:pPr>
      <w:pStyle w:val="En-tte"/>
      <w:pBdr>
        <w:bottom w:val="single" w:sz="4" w:space="1" w:color="auto"/>
      </w:pBdr>
      <w:jc w:val="center"/>
    </w:pPr>
    <w:r w:rsidRPr="00042D38">
      <w:t xml:space="preserve">- </w:t>
    </w:r>
    <w:r w:rsidRPr="00042D38">
      <w:fldChar w:fldCharType="begin"/>
    </w:r>
    <w:r w:rsidRPr="00042D38">
      <w:instrText xml:space="preserve"> PAGE  \* Arabic  \* MERGEFORMAT </w:instrText>
    </w:r>
    <w:r w:rsidRPr="00042D38">
      <w:fldChar w:fldCharType="separate"/>
    </w:r>
    <w:r w:rsidRPr="00042D38">
      <w:t>1</w:t>
    </w:r>
    <w:r w:rsidRPr="00042D38">
      <w:fldChar w:fldCharType="end"/>
    </w:r>
    <w:r w:rsidRPr="00042D38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38" w:rsidRPr="006F298F" w:rsidRDefault="00042D38" w:rsidP="00042D38">
    <w:pPr>
      <w:pStyle w:val="En-tte"/>
      <w:spacing w:after="240"/>
      <w:jc w:val="center"/>
      <w:rPr>
        <w:lang w:val="en-GB"/>
      </w:rPr>
    </w:pPr>
    <w:bookmarkStart w:id="17" w:name="_Hlk527532210"/>
    <w:bookmarkStart w:id="18" w:name="_Hlk527532211"/>
    <w:bookmarkStart w:id="19" w:name="_Hlk527532212"/>
    <w:r w:rsidRPr="006F298F">
      <w:rPr>
        <w:lang w:val="en-GB"/>
      </w:rPr>
      <w:t>G/TBT/N/</w:t>
    </w:r>
    <w:proofErr w:type="spellStart"/>
    <w:r w:rsidRPr="006F298F">
      <w:rPr>
        <w:lang w:val="en-GB"/>
      </w:rPr>
      <w:t>EGY</w:t>
    </w:r>
    <w:proofErr w:type="spellEnd"/>
    <w:r w:rsidRPr="006F298F">
      <w:rPr>
        <w:lang w:val="en-GB"/>
      </w:rPr>
      <w:t>/3/Add.16</w:t>
    </w:r>
  </w:p>
  <w:p w:rsidR="00042D38" w:rsidRPr="00042D38" w:rsidRDefault="00042D38" w:rsidP="00042D38">
    <w:pPr>
      <w:pStyle w:val="En-tte"/>
      <w:pBdr>
        <w:bottom w:val="single" w:sz="4" w:space="1" w:color="auto"/>
      </w:pBdr>
      <w:jc w:val="center"/>
    </w:pPr>
    <w:r w:rsidRPr="00042D38">
      <w:t xml:space="preserve">- </w:t>
    </w:r>
    <w:r w:rsidRPr="00042D38">
      <w:fldChar w:fldCharType="begin"/>
    </w:r>
    <w:r w:rsidRPr="00042D38">
      <w:instrText xml:space="preserve"> PAGE  \* Arabic  \* MERGEFORMAT </w:instrText>
    </w:r>
    <w:r w:rsidRPr="00042D38">
      <w:fldChar w:fldCharType="separate"/>
    </w:r>
    <w:r w:rsidR="006F298F">
      <w:rPr>
        <w:noProof/>
      </w:rPr>
      <w:t>2</w:t>
    </w:r>
    <w:r w:rsidRPr="00042D38">
      <w:fldChar w:fldCharType="end"/>
    </w:r>
    <w:r w:rsidRPr="00042D38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42D38" w:rsidRPr="00042D38" w:rsidTr="00042D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2D38" w:rsidRPr="00042D38" w:rsidRDefault="00042D38" w:rsidP="00042D3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7532219"/>
          <w:bookmarkStart w:id="27" w:name="_Hlk527532220"/>
          <w:bookmarkStart w:id="28" w:name="_Hlk5275322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2D38" w:rsidRPr="00042D38" w:rsidRDefault="00042D38" w:rsidP="00042D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2D38" w:rsidRPr="00042D38" w:rsidTr="00042D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2D38" w:rsidRPr="00042D38" w:rsidRDefault="00042D38" w:rsidP="00042D38">
          <w:pPr>
            <w:jc w:val="left"/>
            <w:rPr>
              <w:rFonts w:eastAsia="Verdana" w:cs="Verdana"/>
              <w:szCs w:val="18"/>
            </w:rPr>
          </w:pPr>
          <w:r w:rsidRPr="00042D3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2D38" w:rsidRPr="00042D38" w:rsidRDefault="00042D38" w:rsidP="00042D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2D38" w:rsidRPr="006F298F" w:rsidTr="00042D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2D38" w:rsidRPr="00042D38" w:rsidRDefault="00042D38" w:rsidP="00042D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2D38" w:rsidRPr="006F298F" w:rsidRDefault="00042D38" w:rsidP="00042D3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F298F">
            <w:rPr>
              <w:b/>
              <w:szCs w:val="18"/>
              <w:lang w:val="en-GB"/>
            </w:rPr>
            <w:t>G/TBT/N/</w:t>
          </w:r>
          <w:proofErr w:type="spellStart"/>
          <w:r w:rsidRPr="006F298F">
            <w:rPr>
              <w:b/>
              <w:szCs w:val="18"/>
              <w:lang w:val="en-GB"/>
            </w:rPr>
            <w:t>EGY</w:t>
          </w:r>
          <w:proofErr w:type="spellEnd"/>
          <w:r w:rsidRPr="006F298F">
            <w:rPr>
              <w:b/>
              <w:szCs w:val="18"/>
              <w:lang w:val="en-GB"/>
            </w:rPr>
            <w:t>/3/Add.16</w:t>
          </w:r>
        </w:p>
      </w:tc>
    </w:tr>
    <w:tr w:rsidR="00042D38" w:rsidRPr="00042D38" w:rsidTr="00042D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2D38" w:rsidRPr="006F298F" w:rsidRDefault="00042D38" w:rsidP="00042D3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2D38" w:rsidRPr="00042D38" w:rsidRDefault="006F298F" w:rsidP="00042D3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042D38" w:rsidRPr="00042D38">
            <w:rPr>
              <w:rFonts w:eastAsia="Verdana" w:cs="Verdana"/>
              <w:szCs w:val="18"/>
            </w:rPr>
            <w:t> octobre 2018</w:t>
          </w:r>
        </w:p>
      </w:tc>
    </w:tr>
    <w:tr w:rsidR="00042D38" w:rsidRPr="00042D38" w:rsidTr="00042D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2D38" w:rsidRPr="00042D38" w:rsidRDefault="00042D38" w:rsidP="00042D38">
          <w:pPr>
            <w:jc w:val="left"/>
            <w:rPr>
              <w:rFonts w:eastAsia="Verdana" w:cs="Verdana"/>
              <w:b/>
              <w:szCs w:val="18"/>
            </w:rPr>
          </w:pPr>
          <w:r w:rsidRPr="00042D38">
            <w:rPr>
              <w:rFonts w:eastAsia="Verdana" w:cs="Verdana"/>
              <w:color w:val="FF0000"/>
              <w:szCs w:val="18"/>
            </w:rPr>
            <w:t>(18</w:t>
          </w:r>
          <w:r w:rsidRPr="00042D38">
            <w:rPr>
              <w:rFonts w:eastAsia="Verdana" w:cs="Verdana"/>
              <w:color w:val="FF0000"/>
              <w:szCs w:val="18"/>
            </w:rPr>
            <w:noBreakHyphen/>
          </w:r>
          <w:r w:rsidR="006F298F">
            <w:rPr>
              <w:rFonts w:eastAsia="Verdana" w:cs="Verdana"/>
              <w:color w:val="FF0000"/>
              <w:szCs w:val="18"/>
            </w:rPr>
            <w:t>6363</w:t>
          </w:r>
          <w:r w:rsidRPr="00042D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2D38" w:rsidRPr="00042D38" w:rsidRDefault="00042D38" w:rsidP="00042D3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42D38">
            <w:rPr>
              <w:rFonts w:eastAsia="Verdana" w:cs="Verdana"/>
              <w:szCs w:val="18"/>
            </w:rPr>
            <w:t>Page:</w:t>
          </w:r>
          <w:proofErr w:type="gramEnd"/>
          <w:r w:rsidRPr="00042D38">
            <w:rPr>
              <w:rFonts w:eastAsia="Verdana" w:cs="Verdana"/>
              <w:szCs w:val="18"/>
            </w:rPr>
            <w:t xml:space="preserve"> </w:t>
          </w:r>
          <w:r w:rsidRPr="00042D38">
            <w:rPr>
              <w:rFonts w:eastAsia="Verdana" w:cs="Verdana"/>
              <w:szCs w:val="18"/>
            </w:rPr>
            <w:fldChar w:fldCharType="begin"/>
          </w:r>
          <w:r w:rsidRPr="00042D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2D38">
            <w:rPr>
              <w:rFonts w:eastAsia="Verdana" w:cs="Verdana"/>
              <w:szCs w:val="18"/>
            </w:rPr>
            <w:fldChar w:fldCharType="separate"/>
          </w:r>
          <w:r w:rsidR="006F298F">
            <w:rPr>
              <w:rFonts w:eastAsia="Verdana" w:cs="Verdana"/>
              <w:noProof/>
              <w:szCs w:val="18"/>
            </w:rPr>
            <w:t>1</w:t>
          </w:r>
          <w:r w:rsidRPr="00042D38">
            <w:rPr>
              <w:rFonts w:eastAsia="Verdana" w:cs="Verdana"/>
              <w:szCs w:val="18"/>
            </w:rPr>
            <w:fldChar w:fldCharType="end"/>
          </w:r>
          <w:r w:rsidRPr="00042D38">
            <w:rPr>
              <w:rFonts w:eastAsia="Verdana" w:cs="Verdana"/>
              <w:szCs w:val="18"/>
            </w:rPr>
            <w:t>/</w:t>
          </w:r>
          <w:r w:rsidRPr="00042D38">
            <w:rPr>
              <w:rFonts w:eastAsia="Verdana" w:cs="Verdana"/>
              <w:szCs w:val="18"/>
            </w:rPr>
            <w:fldChar w:fldCharType="begin"/>
          </w:r>
          <w:r w:rsidRPr="00042D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2D38">
            <w:rPr>
              <w:rFonts w:eastAsia="Verdana" w:cs="Verdana"/>
              <w:szCs w:val="18"/>
            </w:rPr>
            <w:fldChar w:fldCharType="separate"/>
          </w:r>
          <w:r w:rsidR="006F298F">
            <w:rPr>
              <w:rFonts w:eastAsia="Verdana" w:cs="Verdana"/>
              <w:noProof/>
              <w:szCs w:val="18"/>
            </w:rPr>
            <w:t>1</w:t>
          </w:r>
          <w:r w:rsidRPr="00042D38">
            <w:rPr>
              <w:rFonts w:eastAsia="Verdana" w:cs="Verdana"/>
              <w:szCs w:val="18"/>
            </w:rPr>
            <w:fldChar w:fldCharType="end"/>
          </w:r>
        </w:p>
      </w:tc>
    </w:tr>
    <w:tr w:rsidR="00042D38" w:rsidRPr="00042D38" w:rsidTr="00042D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2D38" w:rsidRPr="00042D38" w:rsidRDefault="00042D38" w:rsidP="00042D38">
          <w:pPr>
            <w:jc w:val="left"/>
            <w:rPr>
              <w:rFonts w:eastAsia="Verdana" w:cs="Verdana"/>
              <w:szCs w:val="18"/>
            </w:rPr>
          </w:pPr>
          <w:r w:rsidRPr="00042D3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2D38" w:rsidRPr="00042D38" w:rsidRDefault="00042D38" w:rsidP="00042D3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42D3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42D38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042D38" w:rsidRDefault="006F298F" w:rsidP="00042D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5F0A2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E8E6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48222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C8A09FC"/>
    <w:numStyleLink w:val="LegalHeadings"/>
  </w:abstractNum>
  <w:abstractNum w:abstractNumId="12" w15:restartNumberingAfterBreak="0">
    <w:nsid w:val="57551E12"/>
    <w:multiLevelType w:val="multilevel"/>
    <w:tmpl w:val="2C8A09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E0E4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DCEB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F46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488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5446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76B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A869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468D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CC1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1"/>
    <w:rsid w:val="00042D38"/>
    <w:rsid w:val="000E617E"/>
    <w:rsid w:val="003515C1"/>
    <w:rsid w:val="006F298F"/>
    <w:rsid w:val="007A00E2"/>
    <w:rsid w:val="008B70C3"/>
    <w:rsid w:val="00974ACC"/>
    <w:rsid w:val="009F4C67"/>
    <w:rsid w:val="00BC2B46"/>
    <w:rsid w:val="00BF7154"/>
    <w:rsid w:val="00D67D92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880C5"/>
  <w15:docId w15:val="{5903A32D-AB4C-46FC-9E51-5FD3834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D3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42D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42D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42D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42D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42D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42D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42D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42D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42D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42D3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042D3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042D38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042D38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042D38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042D3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042D3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042D38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042D38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042D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42D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42D3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042D3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042D3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42D38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42D38"/>
    <w:pPr>
      <w:numPr>
        <w:numId w:val="6"/>
      </w:numPr>
    </w:pPr>
  </w:style>
  <w:style w:type="paragraph" w:styleId="Listepuces">
    <w:name w:val="List Bullet"/>
    <w:basedOn w:val="Normal"/>
    <w:uiPriority w:val="1"/>
    <w:rsid w:val="00042D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42D3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42D3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42D3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42D3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42D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2D3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2D3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42D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42D3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042D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42D3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42D38"/>
    <w:rPr>
      <w:szCs w:val="20"/>
    </w:rPr>
  </w:style>
  <w:style w:type="character" w:customStyle="1" w:styleId="NotedefinCar">
    <w:name w:val="Note de fin Car"/>
    <w:link w:val="Notedefin"/>
    <w:uiPriority w:val="49"/>
    <w:rsid w:val="00042D3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2D3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2D3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42D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42D3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42D38"/>
    <w:pPr>
      <w:ind w:left="567" w:right="567" w:firstLine="0"/>
    </w:pPr>
  </w:style>
  <w:style w:type="character" w:styleId="Appelnotedebasdep">
    <w:name w:val="footnote reference"/>
    <w:uiPriority w:val="5"/>
    <w:rsid w:val="00042D3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042D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42D3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42D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2D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2D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2D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2D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42D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42D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42D3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42D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38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42D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42D3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42D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2D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2D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42D3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42D3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42D3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2D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42D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2D3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42D3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42D38"/>
  </w:style>
  <w:style w:type="paragraph" w:styleId="Normalcentr">
    <w:name w:val="Block Text"/>
    <w:basedOn w:val="Normal"/>
    <w:uiPriority w:val="99"/>
    <w:semiHidden/>
    <w:unhideWhenUsed/>
    <w:rsid w:val="00042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D3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D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D3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D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D3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D38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042D3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D3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42D3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042D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2D38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42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42D38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D38"/>
  </w:style>
  <w:style w:type="character" w:customStyle="1" w:styleId="DateCar">
    <w:name w:val="Date Car"/>
    <w:basedOn w:val="Policepardfaut"/>
    <w:link w:val="Dat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D3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D38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D3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042D3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042D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D3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42D3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042D3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D3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D38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042D3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42D3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42D3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42D3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D3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D38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042D3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42D3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42D3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42D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2D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2D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2D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2D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2D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2D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2D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2D3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42D3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42D3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42D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42D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042D3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042D38"/>
    <w:rPr>
      <w:lang w:val="fr-FR"/>
    </w:rPr>
  </w:style>
  <w:style w:type="paragraph" w:styleId="Liste">
    <w:name w:val="List"/>
    <w:basedOn w:val="Normal"/>
    <w:uiPriority w:val="99"/>
    <w:semiHidden/>
    <w:unhideWhenUsed/>
    <w:rsid w:val="00042D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D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D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D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D3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D3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D3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D3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D3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D3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42D3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42D3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42D3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42D3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42D3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42D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D38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D3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042D3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42D3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42D3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42D3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42D3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042D3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D38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042D3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42D3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D38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D3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042D38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042D38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042D3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042D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42D3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C2B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C2B4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C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C2B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C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C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C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C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C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C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C2B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C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C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C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C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C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C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C2B46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C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C2B4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C2B4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C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C2B4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C2B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C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C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C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C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C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C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C2B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C2B4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C2B4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C2B4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C2B4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C2B4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C2B4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C2B46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D38"/>
  </w:style>
  <w:style w:type="table" w:styleId="Tableausimple10">
    <w:name w:val="Plain Table 1"/>
    <w:basedOn w:val="TableauNormal"/>
    <w:uiPriority w:val="41"/>
    <w:rsid w:val="00BC2B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C2B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C2B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C2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C2B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BC2B4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BC2B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C2B46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D38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2018-10-17T07:36:00Z</dcterms:created>
  <dcterms:modified xsi:type="dcterms:W3CDTF">2018-10-17T10:30:00Z</dcterms:modified>
</cp:coreProperties>
</file>