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AEFBB" w14:textId="77777777" w:rsidR="009239F7" w:rsidRPr="0028007E" w:rsidRDefault="006111F5" w:rsidP="002F6A28">
      <w:pPr>
        <w:pStyle w:val="Titre"/>
        <w:rPr>
          <w:caps w:val="0"/>
          <w:kern w:val="0"/>
          <w:lang w:val="fr-FR"/>
        </w:rPr>
      </w:pPr>
      <w:r w:rsidRPr="0028007E">
        <w:rPr>
          <w:caps w:val="0"/>
          <w:kern w:val="0"/>
          <w:lang w:val="fr-FR"/>
        </w:rPr>
        <w:t>NOTIFICATION</w:t>
      </w:r>
    </w:p>
    <w:p w14:paraId="289BC32F" w14:textId="1F6B73CA" w:rsidR="009239F7" w:rsidRPr="0028007E" w:rsidRDefault="00D3696D" w:rsidP="002F6A28">
      <w:pPr>
        <w:jc w:val="center"/>
        <w:rPr>
          <w:lang w:val="fr-FR"/>
        </w:rPr>
      </w:pPr>
      <w:r w:rsidRPr="0028007E">
        <w:rPr>
          <w:lang w:val="fr-FR" w:eastAsia="fr-FR"/>
        </w:rPr>
        <w:t>La notification suivante est communiquée conformément à l'article 10.6.</w:t>
      </w:r>
    </w:p>
    <w:p w14:paraId="7A9BAB6D" w14:textId="77777777" w:rsidR="009239F7" w:rsidRPr="0028007E" w:rsidRDefault="009239F7" w:rsidP="002F6A28">
      <w:pPr>
        <w:rPr>
          <w:lang w:val="fr-FR"/>
        </w:rPr>
      </w:pP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E3F19" w:rsidRPr="006823BC" w14:paraId="6EA79D56" w14:textId="77777777" w:rsidTr="00D3696D">
        <w:tc>
          <w:tcPr>
            <w:tcW w:w="698" w:type="dxa"/>
            <w:tcBorders>
              <w:bottom w:val="single" w:sz="6" w:space="0" w:color="auto"/>
            </w:tcBorders>
            <w:shd w:val="clear" w:color="auto" w:fill="auto"/>
          </w:tcPr>
          <w:p w14:paraId="410C6E22" w14:textId="77777777" w:rsidR="00F85C99" w:rsidRPr="0028007E" w:rsidRDefault="006111F5" w:rsidP="002F6A28">
            <w:pPr>
              <w:spacing w:before="120" w:after="120"/>
              <w:jc w:val="left"/>
              <w:rPr>
                <w:lang w:val="fr-FR"/>
              </w:rPr>
            </w:pPr>
            <w:r w:rsidRPr="0028007E">
              <w:rPr>
                <w:b/>
                <w:lang w:val="fr-FR"/>
              </w:rPr>
              <w:t>1.</w:t>
            </w:r>
          </w:p>
        </w:tc>
        <w:tc>
          <w:tcPr>
            <w:tcW w:w="8282" w:type="dxa"/>
            <w:tcBorders>
              <w:bottom w:val="single" w:sz="6" w:space="0" w:color="auto"/>
            </w:tcBorders>
            <w:shd w:val="clear" w:color="auto" w:fill="auto"/>
          </w:tcPr>
          <w:p w14:paraId="14E9D9CF" w14:textId="454A211B" w:rsidR="00F85C99" w:rsidRPr="0028007E" w:rsidRDefault="00D3696D" w:rsidP="00C805B6">
            <w:pPr>
              <w:spacing w:before="120" w:after="120"/>
              <w:rPr>
                <w:lang w:val="fr-FR"/>
              </w:rPr>
            </w:pPr>
            <w:r w:rsidRPr="0028007E">
              <w:rPr>
                <w:b/>
                <w:lang w:val="fr-FR"/>
              </w:rPr>
              <w:t>Membre notifiant</w:t>
            </w:r>
            <w:r w:rsidR="006111F5" w:rsidRPr="0028007E">
              <w:rPr>
                <w:b/>
                <w:lang w:val="fr-FR"/>
              </w:rPr>
              <w:t>:</w:t>
            </w:r>
            <w:r w:rsidR="00EE3A11" w:rsidRPr="0028007E">
              <w:rPr>
                <w:lang w:val="fr-FR"/>
              </w:rPr>
              <w:t xml:space="preserve"> </w:t>
            </w:r>
            <w:bookmarkStart w:id="0" w:name="sps1a"/>
            <w:r w:rsidR="002F6A28" w:rsidRPr="0028007E">
              <w:rPr>
                <w:caps/>
                <w:u w:val="single"/>
                <w:lang w:val="fr-FR"/>
              </w:rPr>
              <w:t>Grenad</w:t>
            </w:r>
            <w:bookmarkEnd w:id="0"/>
            <w:r w:rsidRPr="0028007E">
              <w:rPr>
                <w:caps/>
                <w:u w:val="single"/>
                <w:lang w:val="fr-FR"/>
              </w:rPr>
              <w:t>e</w:t>
            </w:r>
            <w:r w:rsidR="006111F5" w:rsidRPr="0028007E">
              <w:rPr>
                <w:lang w:val="fr-FR"/>
              </w:rPr>
              <w:t xml:space="preserve"> </w:t>
            </w:r>
          </w:p>
          <w:p w14:paraId="6A558A4D" w14:textId="21A7E5A4" w:rsidR="00F85C99" w:rsidRPr="0028007E" w:rsidRDefault="00D3696D" w:rsidP="002F6A28">
            <w:pPr>
              <w:spacing w:after="120"/>
              <w:rPr>
                <w:lang w:val="fr-FR"/>
              </w:rPr>
            </w:pPr>
            <w:r w:rsidRPr="0028007E">
              <w:rPr>
                <w:b/>
                <w:lang w:val="fr-FR"/>
              </w:rPr>
              <w:t>Le cas échéant, pouvoirs publics locaux concernés (articles 3.2 et 7.2)</w:t>
            </w:r>
            <w:r w:rsidR="006111F5" w:rsidRPr="0028007E">
              <w:rPr>
                <w:b/>
                <w:lang w:val="fr-FR"/>
              </w:rPr>
              <w:t>:</w:t>
            </w:r>
            <w:r w:rsidR="00EE3A11" w:rsidRPr="0028007E">
              <w:rPr>
                <w:lang w:val="fr-FR"/>
              </w:rPr>
              <w:t xml:space="preserve"> </w:t>
            </w:r>
            <w:bookmarkStart w:id="1" w:name="sps1b"/>
            <w:bookmarkEnd w:id="1"/>
          </w:p>
        </w:tc>
      </w:tr>
      <w:tr w:rsidR="00BE3F19" w:rsidRPr="006823BC" w14:paraId="6585A743" w14:textId="77777777" w:rsidTr="00D3696D">
        <w:tc>
          <w:tcPr>
            <w:tcW w:w="698" w:type="dxa"/>
            <w:tcBorders>
              <w:top w:val="single" w:sz="6" w:space="0" w:color="auto"/>
              <w:bottom w:val="single" w:sz="6" w:space="0" w:color="auto"/>
            </w:tcBorders>
            <w:shd w:val="clear" w:color="auto" w:fill="auto"/>
          </w:tcPr>
          <w:p w14:paraId="2F4BE5A1" w14:textId="77777777" w:rsidR="00F85C99" w:rsidRPr="0028007E" w:rsidRDefault="006111F5" w:rsidP="002F6A28">
            <w:pPr>
              <w:spacing w:before="120" w:after="120"/>
              <w:jc w:val="left"/>
              <w:rPr>
                <w:lang w:val="fr-FR"/>
              </w:rPr>
            </w:pPr>
            <w:r w:rsidRPr="0028007E">
              <w:rPr>
                <w:b/>
                <w:lang w:val="fr-FR"/>
              </w:rPr>
              <w:t>2.</w:t>
            </w:r>
          </w:p>
        </w:tc>
        <w:tc>
          <w:tcPr>
            <w:tcW w:w="8282" w:type="dxa"/>
            <w:tcBorders>
              <w:top w:val="single" w:sz="6" w:space="0" w:color="auto"/>
              <w:bottom w:val="single" w:sz="6" w:space="0" w:color="auto"/>
            </w:tcBorders>
            <w:shd w:val="clear" w:color="auto" w:fill="auto"/>
          </w:tcPr>
          <w:p w14:paraId="0DB50EDC" w14:textId="2B8161FA" w:rsidR="00F85C99" w:rsidRPr="0028007E" w:rsidRDefault="00D3696D" w:rsidP="00155128">
            <w:pPr>
              <w:spacing w:before="120" w:after="120"/>
              <w:rPr>
                <w:lang w:val="fr-FR"/>
              </w:rPr>
            </w:pPr>
            <w:r w:rsidRPr="0028007E">
              <w:rPr>
                <w:b/>
                <w:lang w:val="fr-FR"/>
              </w:rPr>
              <w:t>Organisme responsable</w:t>
            </w:r>
            <w:r w:rsidR="006111F5" w:rsidRPr="0028007E">
              <w:rPr>
                <w:b/>
                <w:lang w:val="fr-FR"/>
              </w:rPr>
              <w:t>:</w:t>
            </w:r>
            <w:r w:rsidR="00EE3A11" w:rsidRPr="0028007E">
              <w:rPr>
                <w:lang w:val="fr-FR"/>
              </w:rPr>
              <w:t xml:space="preserve"> </w:t>
            </w:r>
            <w:bookmarkStart w:id="2" w:name="sps2a"/>
          </w:p>
          <w:p w14:paraId="7607B854" w14:textId="3D5EAFD4" w:rsidR="0079631A" w:rsidRPr="0028007E" w:rsidRDefault="006111F5" w:rsidP="00155128">
            <w:pPr>
              <w:spacing w:before="120" w:after="120"/>
              <w:jc w:val="left"/>
              <w:rPr>
                <w:lang w:val="fr-FR"/>
              </w:rPr>
            </w:pPr>
            <w:r w:rsidRPr="00D90DC0">
              <w:rPr>
                <w:i/>
                <w:lang w:val="fr-FR"/>
              </w:rPr>
              <w:t>Grenada Bureau of Standards</w:t>
            </w:r>
            <w:r w:rsidR="0079747D" w:rsidRPr="006823BC">
              <w:rPr>
                <w:lang w:val="fr-FR"/>
              </w:rPr>
              <w:t xml:space="preserve"> </w:t>
            </w:r>
            <w:r w:rsidR="0079747D" w:rsidRPr="0079747D">
              <w:rPr>
                <w:lang w:val="fr-FR"/>
              </w:rPr>
              <w:t>(Bureau des normes de la Grenade)</w:t>
            </w:r>
            <w:r w:rsidRPr="0028007E">
              <w:rPr>
                <w:lang w:val="fr-FR"/>
              </w:rPr>
              <w:br/>
              <w:t>Queens Park</w:t>
            </w:r>
            <w:r w:rsidRPr="0028007E">
              <w:rPr>
                <w:lang w:val="fr-FR"/>
              </w:rPr>
              <w:br/>
              <w:t>P.O. Box 2036</w:t>
            </w:r>
            <w:r w:rsidRPr="0028007E">
              <w:rPr>
                <w:lang w:val="fr-FR"/>
              </w:rPr>
              <w:br/>
              <w:t xml:space="preserve">St. </w:t>
            </w:r>
            <w:proofErr w:type="spellStart"/>
            <w:r w:rsidRPr="0028007E">
              <w:rPr>
                <w:lang w:val="fr-FR"/>
              </w:rPr>
              <w:t>George's</w:t>
            </w:r>
            <w:proofErr w:type="spellEnd"/>
            <w:r w:rsidRPr="0028007E">
              <w:rPr>
                <w:lang w:val="fr-FR"/>
              </w:rPr>
              <w:br/>
            </w:r>
            <w:r w:rsidR="0079747D">
              <w:rPr>
                <w:lang w:val="fr-FR"/>
              </w:rPr>
              <w:t>(</w:t>
            </w:r>
            <w:r w:rsidRPr="0028007E">
              <w:rPr>
                <w:lang w:val="fr-FR"/>
              </w:rPr>
              <w:t>Grenad</w:t>
            </w:r>
            <w:r w:rsidR="0079747D">
              <w:rPr>
                <w:lang w:val="fr-FR"/>
              </w:rPr>
              <w:t>e)</w:t>
            </w:r>
            <w:r w:rsidRPr="0028007E">
              <w:rPr>
                <w:lang w:val="fr-FR"/>
              </w:rPr>
              <w:br/>
              <w:t>T</w:t>
            </w:r>
            <w:r w:rsidR="0079747D">
              <w:rPr>
                <w:lang w:val="fr-FR"/>
              </w:rPr>
              <w:t>éléphone</w:t>
            </w:r>
            <w:r w:rsidRPr="0028007E">
              <w:rPr>
                <w:lang w:val="fr-FR"/>
              </w:rPr>
              <w:t>:(473) 440-5886/6783</w:t>
            </w:r>
            <w:r w:rsidRPr="0028007E">
              <w:rPr>
                <w:lang w:val="fr-FR"/>
              </w:rPr>
              <w:br/>
              <w:t>Fax:(473) 440-5554</w:t>
            </w:r>
            <w:r w:rsidRPr="0028007E">
              <w:rPr>
                <w:lang w:val="fr-FR"/>
              </w:rPr>
              <w:br/>
            </w:r>
            <w:r w:rsidR="0079747D">
              <w:rPr>
                <w:lang w:val="fr-FR"/>
              </w:rPr>
              <w:t>Courrier électronique</w:t>
            </w:r>
            <w:r w:rsidRPr="0028007E">
              <w:rPr>
                <w:lang w:val="fr-FR"/>
              </w:rPr>
              <w:t xml:space="preserve">: </w:t>
            </w:r>
            <w:hyperlink r:id="rId7" w:history="1">
              <w:r w:rsidRPr="0028007E">
                <w:rPr>
                  <w:color w:val="0000FF"/>
                  <w:u w:val="single"/>
                  <w:lang w:val="fr-FR"/>
                </w:rPr>
                <w:t>gdbs@spiceisle.com</w:t>
              </w:r>
            </w:hyperlink>
            <w:bookmarkEnd w:id="2"/>
          </w:p>
          <w:p w14:paraId="21376761" w14:textId="7778D000" w:rsidR="00F85C99" w:rsidRPr="0028007E" w:rsidRDefault="00D3696D" w:rsidP="00AA646C">
            <w:pPr>
              <w:spacing w:after="120"/>
              <w:rPr>
                <w:lang w:val="fr-FR"/>
              </w:rPr>
            </w:pPr>
            <w:r w:rsidRPr="0028007E">
              <w:rPr>
                <w:b/>
                <w:lang w:val="fr-FR"/>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r w:rsidRPr="0028007E">
              <w:rPr>
                <w:lang w:val="fr-FR"/>
              </w:rPr>
              <w:t>:</w:t>
            </w:r>
            <w:r w:rsidR="006111F5" w:rsidRPr="0028007E">
              <w:rPr>
                <w:b/>
                <w:lang w:val="fr-FR"/>
              </w:rPr>
              <w:t>:</w:t>
            </w:r>
            <w:r w:rsidR="00AC6C6E" w:rsidRPr="0028007E">
              <w:rPr>
                <w:lang w:val="fr-FR"/>
              </w:rPr>
              <w:t xml:space="preserve"> </w:t>
            </w:r>
            <w:bookmarkStart w:id="3" w:name="sps4a"/>
            <w:bookmarkEnd w:id="3"/>
          </w:p>
        </w:tc>
      </w:tr>
      <w:tr w:rsidR="00D3696D" w:rsidRPr="006823BC" w14:paraId="78DB98F4" w14:textId="77777777" w:rsidTr="00D3696D">
        <w:tc>
          <w:tcPr>
            <w:tcW w:w="698" w:type="dxa"/>
            <w:tcBorders>
              <w:top w:val="single" w:sz="6" w:space="0" w:color="auto"/>
              <w:bottom w:val="single" w:sz="6" w:space="0" w:color="auto"/>
            </w:tcBorders>
            <w:shd w:val="clear" w:color="auto" w:fill="auto"/>
          </w:tcPr>
          <w:p w14:paraId="536EA9ED" w14:textId="77777777" w:rsidR="00D3696D" w:rsidRPr="0028007E" w:rsidRDefault="00D3696D" w:rsidP="00D3696D">
            <w:pPr>
              <w:spacing w:before="120" w:after="120"/>
              <w:jc w:val="left"/>
              <w:rPr>
                <w:b/>
                <w:lang w:val="fr-FR"/>
              </w:rPr>
            </w:pPr>
            <w:r w:rsidRPr="0028007E">
              <w:rPr>
                <w:b/>
                <w:lang w:val="fr-FR"/>
              </w:rPr>
              <w:t>3.</w:t>
            </w:r>
          </w:p>
        </w:tc>
        <w:tc>
          <w:tcPr>
            <w:tcW w:w="8282" w:type="dxa"/>
            <w:tcBorders>
              <w:top w:val="single" w:sz="6" w:space="0" w:color="auto"/>
              <w:bottom w:val="single" w:sz="6" w:space="0" w:color="auto"/>
            </w:tcBorders>
            <w:shd w:val="clear" w:color="auto" w:fill="auto"/>
          </w:tcPr>
          <w:p w14:paraId="5779DB36" w14:textId="3AA86E9F" w:rsidR="00D3696D" w:rsidRPr="0028007E" w:rsidRDefault="00D3696D" w:rsidP="00D3696D">
            <w:pPr>
              <w:spacing w:before="120" w:after="120"/>
              <w:rPr>
                <w:lang w:val="fr-FR"/>
              </w:rPr>
            </w:pPr>
            <w:r w:rsidRPr="0028007E">
              <w:rPr>
                <w:b/>
                <w:lang w:val="fr-FR"/>
              </w:rPr>
              <w:t xml:space="preserve">Notification au titre de l'article 2.9.2 [X], 2.10.1 [ ], 5.6.2 [ ], 5.7.1 [ ], autres: </w:t>
            </w:r>
            <w:bookmarkStart w:id="4" w:name="tbt3e"/>
            <w:bookmarkEnd w:id="4"/>
          </w:p>
        </w:tc>
      </w:tr>
      <w:tr w:rsidR="00BE3F19" w:rsidRPr="006823BC" w14:paraId="41BE7810" w14:textId="77777777" w:rsidTr="00D3696D">
        <w:tc>
          <w:tcPr>
            <w:tcW w:w="698" w:type="dxa"/>
            <w:tcBorders>
              <w:top w:val="single" w:sz="6" w:space="0" w:color="auto"/>
              <w:bottom w:val="single" w:sz="6" w:space="0" w:color="auto"/>
            </w:tcBorders>
            <w:shd w:val="clear" w:color="auto" w:fill="auto"/>
          </w:tcPr>
          <w:p w14:paraId="1B87CFE4" w14:textId="77777777" w:rsidR="00F85C99" w:rsidRPr="0028007E" w:rsidRDefault="006111F5" w:rsidP="002F6A28">
            <w:pPr>
              <w:spacing w:before="120" w:after="120"/>
              <w:jc w:val="left"/>
              <w:rPr>
                <w:lang w:val="fr-FR"/>
              </w:rPr>
            </w:pPr>
            <w:r w:rsidRPr="0028007E">
              <w:rPr>
                <w:b/>
                <w:lang w:val="fr-FR"/>
              </w:rPr>
              <w:t>4.</w:t>
            </w:r>
          </w:p>
        </w:tc>
        <w:tc>
          <w:tcPr>
            <w:tcW w:w="8282" w:type="dxa"/>
            <w:tcBorders>
              <w:top w:val="single" w:sz="6" w:space="0" w:color="auto"/>
              <w:bottom w:val="single" w:sz="6" w:space="0" w:color="auto"/>
            </w:tcBorders>
            <w:shd w:val="clear" w:color="auto" w:fill="auto"/>
          </w:tcPr>
          <w:p w14:paraId="443F0C0F" w14:textId="108142B9" w:rsidR="00F85C99" w:rsidRPr="0028007E" w:rsidRDefault="0028007E" w:rsidP="0079747D">
            <w:pPr>
              <w:spacing w:before="120" w:after="120"/>
              <w:rPr>
                <w:lang w:val="fr-FR"/>
              </w:rPr>
            </w:pPr>
            <w:bookmarkStart w:id="5" w:name="X_TBT_Reg_4A"/>
            <w:r w:rsidRPr="0028007E">
              <w:rPr>
                <w:b/>
                <w:lang w:val="fr-FR"/>
              </w:rPr>
              <w:t>Produits visés (le cas échéant, position du SH ou de la NCCD, sinon position du tarif douanier national. Les numéros de l'ICS peuvent aussi être indiqués, le cas échéant)</w:t>
            </w:r>
            <w:bookmarkEnd w:id="5"/>
            <w:r w:rsidR="006111F5" w:rsidRPr="0028007E">
              <w:rPr>
                <w:b/>
                <w:lang w:val="fr-FR"/>
              </w:rPr>
              <w:t>:</w:t>
            </w:r>
            <w:r w:rsidR="00EE3A11" w:rsidRPr="0028007E">
              <w:rPr>
                <w:lang w:val="fr-FR"/>
              </w:rPr>
              <w:t xml:space="preserve"> Sp</w:t>
            </w:r>
            <w:r w:rsidR="0079747D">
              <w:rPr>
                <w:lang w:val="fr-FR"/>
              </w:rPr>
              <w:t>é</w:t>
            </w:r>
            <w:r w:rsidR="00EE3A11" w:rsidRPr="0028007E">
              <w:rPr>
                <w:lang w:val="fr-FR"/>
              </w:rPr>
              <w:t>cification</w:t>
            </w:r>
            <w:r w:rsidR="0079747D">
              <w:rPr>
                <w:lang w:val="fr-FR"/>
              </w:rPr>
              <w:t xml:space="preserve"> pour les pneumatiques</w:t>
            </w:r>
            <w:r w:rsidR="00EE3A11" w:rsidRPr="0028007E">
              <w:rPr>
                <w:lang w:val="fr-FR"/>
              </w:rPr>
              <w:t xml:space="preserve"> </w:t>
            </w:r>
            <w:r w:rsidR="0079747D">
              <w:rPr>
                <w:lang w:val="fr-FR"/>
              </w:rPr>
              <w:t>de voitures de tourisme</w:t>
            </w:r>
            <w:r w:rsidR="00EE3A11" w:rsidRPr="0028007E">
              <w:rPr>
                <w:lang w:val="fr-FR"/>
              </w:rPr>
              <w:t xml:space="preserve"> (ICS 83.160.10)</w:t>
            </w:r>
            <w:bookmarkStart w:id="6" w:name="sps3a"/>
            <w:bookmarkEnd w:id="6"/>
          </w:p>
        </w:tc>
      </w:tr>
      <w:tr w:rsidR="00BE3F19" w:rsidRPr="006823BC" w14:paraId="088CED8D" w14:textId="77777777" w:rsidTr="00D3696D">
        <w:tc>
          <w:tcPr>
            <w:tcW w:w="698" w:type="dxa"/>
            <w:tcBorders>
              <w:top w:val="single" w:sz="6" w:space="0" w:color="auto"/>
              <w:bottom w:val="single" w:sz="6" w:space="0" w:color="auto"/>
            </w:tcBorders>
            <w:shd w:val="clear" w:color="auto" w:fill="auto"/>
          </w:tcPr>
          <w:p w14:paraId="4310C4C5" w14:textId="77777777" w:rsidR="00F85C99" w:rsidRPr="0028007E" w:rsidRDefault="006111F5" w:rsidP="002F6A28">
            <w:pPr>
              <w:spacing w:before="120" w:after="120"/>
              <w:jc w:val="left"/>
              <w:rPr>
                <w:lang w:val="fr-FR"/>
              </w:rPr>
            </w:pPr>
            <w:r w:rsidRPr="0028007E">
              <w:rPr>
                <w:b/>
                <w:lang w:val="fr-FR"/>
              </w:rPr>
              <w:t>5.</w:t>
            </w:r>
          </w:p>
        </w:tc>
        <w:tc>
          <w:tcPr>
            <w:tcW w:w="8282" w:type="dxa"/>
            <w:tcBorders>
              <w:top w:val="single" w:sz="6" w:space="0" w:color="auto"/>
              <w:bottom w:val="single" w:sz="6" w:space="0" w:color="auto"/>
            </w:tcBorders>
            <w:shd w:val="clear" w:color="auto" w:fill="auto"/>
          </w:tcPr>
          <w:p w14:paraId="755993ED" w14:textId="1162FE29" w:rsidR="00F85C99" w:rsidRPr="0028007E" w:rsidRDefault="0028007E" w:rsidP="0028007E">
            <w:pPr>
              <w:spacing w:before="120" w:after="120"/>
              <w:rPr>
                <w:lang w:val="fr-FR"/>
              </w:rPr>
            </w:pPr>
            <w:r w:rsidRPr="0028007E">
              <w:rPr>
                <w:b/>
                <w:lang w:val="fr-FR"/>
              </w:rPr>
              <w:t>Intitulé, nombre de pages et langue(s) du texte notifié</w:t>
            </w:r>
            <w:r w:rsidR="006111F5" w:rsidRPr="0028007E">
              <w:rPr>
                <w:b/>
                <w:lang w:val="fr-FR"/>
              </w:rPr>
              <w:t>:</w:t>
            </w:r>
            <w:r w:rsidR="00EE3A11" w:rsidRPr="0028007E">
              <w:rPr>
                <w:lang w:val="fr-FR"/>
              </w:rPr>
              <w:t xml:space="preserve"> </w:t>
            </w:r>
            <w:proofErr w:type="spellStart"/>
            <w:r w:rsidR="00EE3A11" w:rsidRPr="0079747D">
              <w:rPr>
                <w:i/>
                <w:lang w:val="fr-FR"/>
              </w:rPr>
              <w:t>Specification</w:t>
            </w:r>
            <w:proofErr w:type="spellEnd"/>
            <w:r w:rsidR="00EE3A11" w:rsidRPr="0079747D">
              <w:rPr>
                <w:i/>
                <w:lang w:val="fr-FR"/>
              </w:rPr>
              <w:t xml:space="preserve"> for </w:t>
            </w:r>
            <w:proofErr w:type="spellStart"/>
            <w:r w:rsidR="00EE3A11" w:rsidRPr="0079747D">
              <w:rPr>
                <w:i/>
                <w:lang w:val="fr-FR"/>
              </w:rPr>
              <w:t>Pneumatic</w:t>
            </w:r>
            <w:proofErr w:type="spellEnd"/>
            <w:r w:rsidR="00EE3A11" w:rsidRPr="0079747D">
              <w:rPr>
                <w:i/>
                <w:lang w:val="fr-FR"/>
              </w:rPr>
              <w:t xml:space="preserve"> Passenger </w:t>
            </w:r>
            <w:proofErr w:type="spellStart"/>
            <w:r w:rsidR="00EE3A11" w:rsidRPr="0079747D">
              <w:rPr>
                <w:i/>
                <w:lang w:val="fr-FR"/>
              </w:rPr>
              <w:t>Tyres</w:t>
            </w:r>
            <w:proofErr w:type="spellEnd"/>
            <w:r w:rsidR="00EE3A11" w:rsidRPr="0028007E">
              <w:rPr>
                <w:lang w:val="fr-FR"/>
              </w:rPr>
              <w:t xml:space="preserve"> (</w:t>
            </w:r>
            <w:r w:rsidR="0079747D">
              <w:rPr>
                <w:lang w:val="fr-FR"/>
              </w:rPr>
              <w:t>Spécification pour les pneumatiques</w:t>
            </w:r>
            <w:r w:rsidR="0079747D" w:rsidRPr="0028007E">
              <w:rPr>
                <w:lang w:val="fr-FR"/>
              </w:rPr>
              <w:t xml:space="preserve"> </w:t>
            </w:r>
            <w:r w:rsidR="0079747D">
              <w:rPr>
                <w:lang w:val="fr-FR"/>
              </w:rPr>
              <w:t>de voitures de tourisme),</w:t>
            </w:r>
            <w:r w:rsidR="0079747D" w:rsidRPr="0028007E">
              <w:rPr>
                <w:lang w:val="fr-FR"/>
              </w:rPr>
              <w:t xml:space="preserve"> </w:t>
            </w:r>
            <w:r w:rsidR="00EE3A11" w:rsidRPr="0028007E">
              <w:rPr>
                <w:lang w:val="fr-FR"/>
              </w:rPr>
              <w:t>27</w:t>
            </w:r>
            <w:r w:rsidR="006823BC">
              <w:rPr>
                <w:lang w:val="fr-FR"/>
              </w:rPr>
              <w:t> </w:t>
            </w:r>
            <w:bookmarkStart w:id="7" w:name="_GoBack"/>
            <w:bookmarkEnd w:id="7"/>
            <w:r w:rsidR="00EE3A11" w:rsidRPr="0028007E">
              <w:rPr>
                <w:lang w:val="fr-FR"/>
              </w:rPr>
              <w:t xml:space="preserve">page(s), </w:t>
            </w:r>
            <w:bookmarkStart w:id="8" w:name="sps5a"/>
            <w:bookmarkStart w:id="9" w:name="sps5c"/>
            <w:bookmarkStart w:id="10" w:name="sps5b"/>
            <w:bookmarkEnd w:id="8"/>
            <w:bookmarkEnd w:id="9"/>
            <w:bookmarkEnd w:id="10"/>
            <w:r w:rsidRPr="0028007E">
              <w:rPr>
                <w:lang w:val="fr-FR"/>
              </w:rPr>
              <w:t>en anglais.</w:t>
            </w:r>
          </w:p>
        </w:tc>
      </w:tr>
      <w:tr w:rsidR="00BE3F19" w:rsidRPr="006823BC" w14:paraId="6051F0D5" w14:textId="77777777" w:rsidTr="00D3696D">
        <w:tc>
          <w:tcPr>
            <w:tcW w:w="698" w:type="dxa"/>
            <w:tcBorders>
              <w:top w:val="single" w:sz="6" w:space="0" w:color="auto"/>
              <w:bottom w:val="single" w:sz="6" w:space="0" w:color="auto"/>
            </w:tcBorders>
            <w:shd w:val="clear" w:color="auto" w:fill="auto"/>
          </w:tcPr>
          <w:p w14:paraId="2181F6D8" w14:textId="77777777" w:rsidR="00F85C99" w:rsidRPr="0028007E" w:rsidRDefault="006111F5" w:rsidP="002F6A28">
            <w:pPr>
              <w:spacing w:before="120" w:after="120"/>
              <w:jc w:val="left"/>
              <w:rPr>
                <w:b/>
                <w:lang w:val="fr-FR"/>
              </w:rPr>
            </w:pPr>
            <w:r w:rsidRPr="0028007E">
              <w:rPr>
                <w:b/>
                <w:lang w:val="fr-FR"/>
              </w:rPr>
              <w:t>6.</w:t>
            </w:r>
          </w:p>
        </w:tc>
        <w:tc>
          <w:tcPr>
            <w:tcW w:w="8282" w:type="dxa"/>
            <w:tcBorders>
              <w:top w:val="single" w:sz="6" w:space="0" w:color="auto"/>
              <w:bottom w:val="single" w:sz="6" w:space="0" w:color="auto"/>
            </w:tcBorders>
            <w:shd w:val="clear" w:color="auto" w:fill="auto"/>
          </w:tcPr>
          <w:p w14:paraId="11E76DED" w14:textId="0E026DE9" w:rsidR="00F85C99" w:rsidRPr="0028007E" w:rsidRDefault="0028007E" w:rsidP="002F6A28">
            <w:pPr>
              <w:spacing w:before="120" w:after="120"/>
              <w:rPr>
                <w:b/>
                <w:lang w:val="fr-FR"/>
              </w:rPr>
            </w:pPr>
            <w:r w:rsidRPr="0028007E">
              <w:rPr>
                <w:b/>
                <w:lang w:val="fr-FR"/>
              </w:rPr>
              <w:t>Teneur</w:t>
            </w:r>
            <w:r w:rsidR="006111F5" w:rsidRPr="0028007E">
              <w:rPr>
                <w:b/>
                <w:lang w:val="fr-FR"/>
              </w:rPr>
              <w:t>:</w:t>
            </w:r>
            <w:r w:rsidR="00FE448B" w:rsidRPr="0028007E">
              <w:rPr>
                <w:lang w:val="fr-FR"/>
              </w:rPr>
              <w:t xml:space="preserve"> </w:t>
            </w:r>
            <w:r w:rsidR="0079747D">
              <w:rPr>
                <w:lang w:val="fr-FR"/>
              </w:rPr>
              <w:t xml:space="preserve">Le texte notifié est la première révision de la norme </w:t>
            </w:r>
            <w:r w:rsidR="00FE448B" w:rsidRPr="0028007E">
              <w:rPr>
                <w:lang w:val="fr-FR"/>
              </w:rPr>
              <w:t xml:space="preserve">GDS 26: 1997 </w:t>
            </w:r>
            <w:r w:rsidR="0079747D">
              <w:rPr>
                <w:lang w:val="fr-FR"/>
              </w:rPr>
              <w:t>et remplace cette norme</w:t>
            </w:r>
            <w:r w:rsidR="00FE448B" w:rsidRPr="0028007E">
              <w:rPr>
                <w:lang w:val="fr-FR"/>
              </w:rPr>
              <w:t xml:space="preserve">. </w:t>
            </w:r>
            <w:r w:rsidR="0079747D">
              <w:rPr>
                <w:lang w:val="fr-FR"/>
              </w:rPr>
              <w:t>Il s’applique aux pneumatiques</w:t>
            </w:r>
            <w:r w:rsidR="0079747D" w:rsidRPr="0028007E">
              <w:rPr>
                <w:lang w:val="fr-FR"/>
              </w:rPr>
              <w:t xml:space="preserve"> </w:t>
            </w:r>
            <w:r w:rsidR="0079747D">
              <w:rPr>
                <w:lang w:val="fr-FR"/>
              </w:rPr>
              <w:t>de voitures de tourisme</w:t>
            </w:r>
            <w:r w:rsidR="0079747D" w:rsidRPr="0028007E">
              <w:rPr>
                <w:lang w:val="fr-FR"/>
              </w:rPr>
              <w:t xml:space="preserve"> </w:t>
            </w:r>
            <w:r w:rsidR="0079747D">
              <w:rPr>
                <w:lang w:val="fr-FR"/>
              </w:rPr>
              <w:t>neufs et usagés</w:t>
            </w:r>
            <w:r w:rsidR="00FE448B" w:rsidRPr="0028007E">
              <w:rPr>
                <w:lang w:val="fr-FR"/>
              </w:rPr>
              <w:t>.</w:t>
            </w:r>
          </w:p>
          <w:p w14:paraId="7670CC13" w14:textId="63F13AFF" w:rsidR="00FE448B" w:rsidRPr="0028007E" w:rsidRDefault="0079747D" w:rsidP="009243C2">
            <w:pPr>
              <w:spacing w:after="120"/>
              <w:rPr>
                <w:lang w:val="fr-FR"/>
              </w:rPr>
            </w:pPr>
            <w:r>
              <w:rPr>
                <w:lang w:val="fr-FR"/>
              </w:rPr>
              <w:t>Cette norme ne s’applique pas aux</w:t>
            </w:r>
            <w:r w:rsidR="009243C2" w:rsidRPr="006823BC">
              <w:rPr>
                <w:lang w:val="fr-FR"/>
              </w:rPr>
              <w:t xml:space="preserve"> </w:t>
            </w:r>
            <w:r w:rsidR="009243C2" w:rsidRPr="009243C2">
              <w:rPr>
                <w:lang w:val="fr-FR"/>
              </w:rPr>
              <w:t>pneumatiques rechapés ou recreusés, ni aux carcasses usagées utilisées dans le processus de rechapage ou la technique de recreusage</w:t>
            </w:r>
            <w:r w:rsidR="006111F5" w:rsidRPr="0028007E">
              <w:rPr>
                <w:lang w:val="fr-FR"/>
              </w:rPr>
              <w:t>.</w:t>
            </w:r>
          </w:p>
        </w:tc>
      </w:tr>
      <w:tr w:rsidR="00BE3F19" w:rsidRPr="006823BC" w14:paraId="2914155A" w14:textId="77777777" w:rsidTr="00D3696D">
        <w:tc>
          <w:tcPr>
            <w:tcW w:w="698" w:type="dxa"/>
            <w:tcBorders>
              <w:top w:val="single" w:sz="6" w:space="0" w:color="auto"/>
              <w:bottom w:val="single" w:sz="6" w:space="0" w:color="auto"/>
            </w:tcBorders>
            <w:shd w:val="clear" w:color="auto" w:fill="auto"/>
          </w:tcPr>
          <w:p w14:paraId="42910601" w14:textId="77777777" w:rsidR="00F85C99" w:rsidRPr="0028007E" w:rsidRDefault="006111F5" w:rsidP="002F6A28">
            <w:pPr>
              <w:spacing w:before="120" w:after="120"/>
              <w:jc w:val="left"/>
              <w:rPr>
                <w:b/>
                <w:lang w:val="fr-FR"/>
              </w:rPr>
            </w:pPr>
            <w:r w:rsidRPr="0028007E">
              <w:rPr>
                <w:b/>
                <w:lang w:val="fr-FR"/>
              </w:rPr>
              <w:t>7.</w:t>
            </w:r>
          </w:p>
        </w:tc>
        <w:tc>
          <w:tcPr>
            <w:tcW w:w="8282" w:type="dxa"/>
            <w:tcBorders>
              <w:top w:val="single" w:sz="6" w:space="0" w:color="auto"/>
              <w:bottom w:val="single" w:sz="6" w:space="0" w:color="auto"/>
            </w:tcBorders>
            <w:shd w:val="clear" w:color="auto" w:fill="auto"/>
          </w:tcPr>
          <w:p w14:paraId="50A01A0C" w14:textId="50041ECB" w:rsidR="00F85C99" w:rsidRPr="0028007E" w:rsidRDefault="0028007E" w:rsidP="00390023">
            <w:pPr>
              <w:spacing w:before="120" w:after="120"/>
              <w:rPr>
                <w:b/>
                <w:lang w:val="fr-FR"/>
              </w:rPr>
            </w:pPr>
            <w:r w:rsidRPr="0028007E">
              <w:rPr>
                <w:b/>
                <w:lang w:val="fr-FR"/>
              </w:rPr>
              <w:t>Objectif et justification, y compris la nature des problèmes urgents, le cas échéant</w:t>
            </w:r>
            <w:r w:rsidR="006111F5" w:rsidRPr="0028007E">
              <w:rPr>
                <w:b/>
                <w:lang w:val="fr-FR"/>
              </w:rPr>
              <w:t>:</w:t>
            </w:r>
            <w:r w:rsidR="00EE3A11" w:rsidRPr="0028007E">
              <w:rPr>
                <w:lang w:val="fr-FR"/>
              </w:rPr>
              <w:t xml:space="preserve"> </w:t>
            </w:r>
            <w:r w:rsidR="00390023" w:rsidRPr="00390023">
              <w:rPr>
                <w:lang w:val="fr-FR"/>
              </w:rPr>
              <w:t>Il a été recommandé de conférer un caractère obligatoire au texte notifié afin de</w:t>
            </w:r>
            <w:r w:rsidR="00390023">
              <w:rPr>
                <w:lang w:val="fr-FR"/>
              </w:rPr>
              <w:t xml:space="preserve"> protéger la santé et la sécurité des personnes et l’environnement</w:t>
            </w:r>
            <w:bookmarkStart w:id="11" w:name="sps7f"/>
            <w:bookmarkEnd w:id="11"/>
            <w:r w:rsidR="00390023">
              <w:rPr>
                <w:lang w:val="fr-FR"/>
              </w:rPr>
              <w:t>.</w:t>
            </w:r>
          </w:p>
        </w:tc>
      </w:tr>
      <w:tr w:rsidR="00BE3F19" w:rsidRPr="006823BC" w14:paraId="2B78B451" w14:textId="77777777" w:rsidTr="00D3696D">
        <w:tc>
          <w:tcPr>
            <w:tcW w:w="698" w:type="dxa"/>
            <w:tcBorders>
              <w:top w:val="single" w:sz="6" w:space="0" w:color="auto"/>
              <w:bottom w:val="single" w:sz="6" w:space="0" w:color="auto"/>
            </w:tcBorders>
            <w:shd w:val="clear" w:color="auto" w:fill="auto"/>
          </w:tcPr>
          <w:p w14:paraId="0283F31E" w14:textId="77777777" w:rsidR="00F85C99" w:rsidRPr="0028007E" w:rsidRDefault="006111F5" w:rsidP="009E75ED">
            <w:pPr>
              <w:spacing w:before="120" w:after="120"/>
              <w:jc w:val="left"/>
              <w:rPr>
                <w:b/>
                <w:lang w:val="fr-FR"/>
              </w:rPr>
            </w:pPr>
            <w:r w:rsidRPr="0028007E">
              <w:rPr>
                <w:b/>
                <w:lang w:val="fr-FR"/>
              </w:rPr>
              <w:t>8.</w:t>
            </w:r>
          </w:p>
        </w:tc>
        <w:tc>
          <w:tcPr>
            <w:tcW w:w="8282" w:type="dxa"/>
            <w:tcBorders>
              <w:top w:val="single" w:sz="6" w:space="0" w:color="auto"/>
              <w:bottom w:val="single" w:sz="6" w:space="0" w:color="auto"/>
            </w:tcBorders>
            <w:shd w:val="clear" w:color="auto" w:fill="auto"/>
          </w:tcPr>
          <w:p w14:paraId="1B127C13" w14:textId="6CB7085E" w:rsidR="00072B36" w:rsidRPr="0028007E" w:rsidRDefault="0028007E" w:rsidP="009E75ED">
            <w:pPr>
              <w:spacing w:before="120" w:after="120"/>
              <w:rPr>
                <w:lang w:val="fr-FR"/>
              </w:rPr>
            </w:pPr>
            <w:r w:rsidRPr="0028007E">
              <w:rPr>
                <w:b/>
                <w:lang w:val="fr-FR"/>
              </w:rPr>
              <w:t>Documents pertinents</w:t>
            </w:r>
            <w:r w:rsidR="006111F5" w:rsidRPr="0028007E">
              <w:rPr>
                <w:b/>
                <w:lang w:val="fr-FR"/>
              </w:rPr>
              <w:t>:</w:t>
            </w:r>
            <w:r w:rsidR="00EE3A11" w:rsidRPr="0028007E">
              <w:rPr>
                <w:lang w:val="fr-FR"/>
              </w:rPr>
              <w:t xml:space="preserve"> </w:t>
            </w:r>
          </w:p>
          <w:p w14:paraId="2F2EA4E5" w14:textId="7584A3F3" w:rsidR="0079631A" w:rsidRPr="0028007E" w:rsidRDefault="006111F5" w:rsidP="009E75ED">
            <w:pPr>
              <w:numPr>
                <w:ilvl w:val="0"/>
                <w:numId w:val="16"/>
              </w:numPr>
              <w:spacing w:after="120"/>
              <w:jc w:val="left"/>
              <w:rPr>
                <w:bCs/>
                <w:lang w:val="fr-FR"/>
              </w:rPr>
            </w:pPr>
            <w:proofErr w:type="spellStart"/>
            <w:r w:rsidRPr="0028007E">
              <w:rPr>
                <w:bCs/>
                <w:lang w:val="fr-FR"/>
              </w:rPr>
              <w:t>GDS</w:t>
            </w:r>
            <w:proofErr w:type="spellEnd"/>
            <w:r w:rsidRPr="0028007E">
              <w:rPr>
                <w:bCs/>
                <w:lang w:val="fr-FR"/>
              </w:rPr>
              <w:t xml:space="preserve"> 26: 2019 </w:t>
            </w:r>
            <w:proofErr w:type="spellStart"/>
            <w:r w:rsidRPr="0079747D">
              <w:rPr>
                <w:bCs/>
                <w:i/>
                <w:lang w:val="fr-FR"/>
              </w:rPr>
              <w:t>Specification</w:t>
            </w:r>
            <w:proofErr w:type="spellEnd"/>
            <w:r w:rsidRPr="0079747D">
              <w:rPr>
                <w:bCs/>
                <w:i/>
                <w:lang w:val="fr-FR"/>
              </w:rPr>
              <w:t xml:space="preserve"> for </w:t>
            </w:r>
            <w:proofErr w:type="spellStart"/>
            <w:r w:rsidRPr="0079747D">
              <w:rPr>
                <w:bCs/>
                <w:i/>
                <w:lang w:val="fr-FR"/>
              </w:rPr>
              <w:t>Pneumatic</w:t>
            </w:r>
            <w:proofErr w:type="spellEnd"/>
            <w:r w:rsidRPr="0079747D">
              <w:rPr>
                <w:bCs/>
                <w:i/>
                <w:lang w:val="fr-FR"/>
              </w:rPr>
              <w:t xml:space="preserve"> Passenger </w:t>
            </w:r>
            <w:proofErr w:type="spellStart"/>
            <w:r w:rsidRPr="0079747D">
              <w:rPr>
                <w:bCs/>
                <w:i/>
                <w:lang w:val="fr-FR"/>
              </w:rPr>
              <w:t>Tyres</w:t>
            </w:r>
            <w:proofErr w:type="spellEnd"/>
            <w:r w:rsidR="0079747D">
              <w:rPr>
                <w:bCs/>
                <w:lang w:val="fr-FR"/>
              </w:rPr>
              <w:t xml:space="preserve"> (</w:t>
            </w:r>
            <w:r w:rsidR="0079747D" w:rsidRPr="0028007E">
              <w:rPr>
                <w:lang w:val="fr-FR"/>
              </w:rPr>
              <w:t>Sp</w:t>
            </w:r>
            <w:r w:rsidR="0079747D">
              <w:rPr>
                <w:lang w:val="fr-FR"/>
              </w:rPr>
              <w:t>é</w:t>
            </w:r>
            <w:r w:rsidR="0079747D" w:rsidRPr="0028007E">
              <w:rPr>
                <w:lang w:val="fr-FR"/>
              </w:rPr>
              <w:t>cification</w:t>
            </w:r>
            <w:r w:rsidR="0079747D">
              <w:rPr>
                <w:lang w:val="fr-FR"/>
              </w:rPr>
              <w:t xml:space="preserve"> pour les pneumatiques</w:t>
            </w:r>
            <w:r w:rsidR="0079747D" w:rsidRPr="0028007E">
              <w:rPr>
                <w:lang w:val="fr-FR"/>
              </w:rPr>
              <w:t xml:space="preserve"> </w:t>
            </w:r>
            <w:r w:rsidR="0079747D">
              <w:rPr>
                <w:lang w:val="fr-FR"/>
              </w:rPr>
              <w:t>de voitures de tourisme)</w:t>
            </w:r>
          </w:p>
        </w:tc>
      </w:tr>
      <w:tr w:rsidR="00BE3F19" w:rsidRPr="006823BC" w14:paraId="23EC2E77" w14:textId="77777777" w:rsidTr="00D3696D">
        <w:trPr>
          <w:cantSplit/>
        </w:trPr>
        <w:tc>
          <w:tcPr>
            <w:tcW w:w="698" w:type="dxa"/>
            <w:tcBorders>
              <w:top w:val="single" w:sz="6" w:space="0" w:color="auto"/>
              <w:bottom w:val="single" w:sz="6" w:space="0" w:color="auto"/>
            </w:tcBorders>
            <w:shd w:val="clear" w:color="auto" w:fill="auto"/>
          </w:tcPr>
          <w:p w14:paraId="50AA5A12" w14:textId="77777777" w:rsidR="00EE3A11" w:rsidRPr="0028007E" w:rsidRDefault="006111F5" w:rsidP="002F6A28">
            <w:pPr>
              <w:spacing w:before="120" w:after="120"/>
              <w:jc w:val="left"/>
              <w:rPr>
                <w:b/>
                <w:lang w:val="fr-FR"/>
              </w:rPr>
            </w:pPr>
            <w:r w:rsidRPr="0028007E">
              <w:rPr>
                <w:b/>
                <w:lang w:val="fr-FR"/>
              </w:rPr>
              <w:lastRenderedPageBreak/>
              <w:t>9.</w:t>
            </w:r>
          </w:p>
        </w:tc>
        <w:tc>
          <w:tcPr>
            <w:tcW w:w="8282" w:type="dxa"/>
            <w:tcBorders>
              <w:top w:val="single" w:sz="6" w:space="0" w:color="auto"/>
              <w:bottom w:val="single" w:sz="6" w:space="0" w:color="auto"/>
            </w:tcBorders>
            <w:shd w:val="clear" w:color="auto" w:fill="auto"/>
          </w:tcPr>
          <w:p w14:paraId="324E4BCB" w14:textId="605F92DF" w:rsidR="00EE3A11" w:rsidRPr="0028007E" w:rsidRDefault="0028007E" w:rsidP="008953C4">
            <w:pPr>
              <w:spacing w:before="120" w:after="120"/>
              <w:rPr>
                <w:lang w:val="fr-FR"/>
              </w:rPr>
            </w:pPr>
            <w:r w:rsidRPr="0028007E">
              <w:rPr>
                <w:b/>
                <w:lang w:val="fr-FR"/>
              </w:rPr>
              <w:t>Date projetée pour l'adoption</w:t>
            </w:r>
            <w:r w:rsidR="006111F5" w:rsidRPr="0028007E">
              <w:rPr>
                <w:b/>
                <w:lang w:val="fr-FR"/>
              </w:rPr>
              <w:t>:</w:t>
            </w:r>
            <w:r w:rsidR="006111F5" w:rsidRPr="0028007E">
              <w:rPr>
                <w:lang w:val="fr-FR"/>
              </w:rPr>
              <w:t xml:space="preserve"> </w:t>
            </w:r>
            <w:bookmarkStart w:id="12" w:name="sps10a"/>
            <w:bookmarkStart w:id="13" w:name="sps10b"/>
            <w:bookmarkEnd w:id="12"/>
            <w:r w:rsidR="0079747D">
              <w:rPr>
                <w:lang w:val="fr-FR"/>
              </w:rPr>
              <w:t>Mars</w:t>
            </w:r>
            <w:r w:rsidR="006111F5" w:rsidRPr="0028007E">
              <w:rPr>
                <w:lang w:val="fr-FR"/>
              </w:rPr>
              <w:t xml:space="preserve"> 2020</w:t>
            </w:r>
            <w:bookmarkEnd w:id="13"/>
          </w:p>
          <w:p w14:paraId="00BE69C4" w14:textId="49DD14D4" w:rsidR="00EE3A11" w:rsidRPr="0028007E" w:rsidRDefault="0028007E" w:rsidP="0079747D">
            <w:pPr>
              <w:spacing w:after="120"/>
              <w:rPr>
                <w:lang w:val="fr-FR"/>
              </w:rPr>
            </w:pPr>
            <w:r w:rsidRPr="0028007E">
              <w:rPr>
                <w:b/>
                <w:lang w:val="fr-FR"/>
              </w:rPr>
              <w:t>Date projetée pour l'entrée en vigueur</w:t>
            </w:r>
            <w:r w:rsidR="006111F5" w:rsidRPr="0028007E">
              <w:rPr>
                <w:b/>
                <w:lang w:val="fr-FR"/>
              </w:rPr>
              <w:t>:</w:t>
            </w:r>
            <w:r w:rsidR="006111F5" w:rsidRPr="0028007E">
              <w:rPr>
                <w:lang w:val="fr-FR"/>
              </w:rPr>
              <w:t xml:space="preserve"> </w:t>
            </w:r>
            <w:bookmarkStart w:id="14" w:name="sps11a"/>
            <w:bookmarkStart w:id="15" w:name="sps11b"/>
            <w:bookmarkEnd w:id="14"/>
            <w:r w:rsidR="006111F5" w:rsidRPr="0028007E">
              <w:rPr>
                <w:lang w:val="fr-FR"/>
              </w:rPr>
              <w:t>Mar</w:t>
            </w:r>
            <w:r w:rsidR="0079747D">
              <w:rPr>
                <w:lang w:val="fr-FR"/>
              </w:rPr>
              <w:t>s</w:t>
            </w:r>
            <w:r w:rsidR="006111F5" w:rsidRPr="0028007E">
              <w:rPr>
                <w:lang w:val="fr-FR"/>
              </w:rPr>
              <w:t xml:space="preserve"> 2020</w:t>
            </w:r>
            <w:bookmarkEnd w:id="15"/>
          </w:p>
        </w:tc>
      </w:tr>
      <w:tr w:rsidR="00BE3F19" w:rsidRPr="006823BC" w14:paraId="0DC2F52C" w14:textId="77777777" w:rsidTr="00D3696D">
        <w:tc>
          <w:tcPr>
            <w:tcW w:w="698" w:type="dxa"/>
            <w:tcBorders>
              <w:top w:val="single" w:sz="6" w:space="0" w:color="auto"/>
              <w:bottom w:val="single" w:sz="6" w:space="0" w:color="auto"/>
            </w:tcBorders>
            <w:shd w:val="clear" w:color="auto" w:fill="auto"/>
          </w:tcPr>
          <w:p w14:paraId="36BF4FCB" w14:textId="77777777" w:rsidR="00F85C99" w:rsidRPr="0028007E" w:rsidRDefault="006111F5" w:rsidP="002F6A28">
            <w:pPr>
              <w:spacing w:before="120" w:after="120"/>
              <w:jc w:val="left"/>
              <w:rPr>
                <w:b/>
                <w:lang w:val="fr-FR"/>
              </w:rPr>
            </w:pPr>
            <w:r w:rsidRPr="0028007E">
              <w:rPr>
                <w:b/>
                <w:lang w:val="fr-FR"/>
              </w:rPr>
              <w:t>10.</w:t>
            </w:r>
          </w:p>
        </w:tc>
        <w:tc>
          <w:tcPr>
            <w:tcW w:w="8282" w:type="dxa"/>
            <w:tcBorders>
              <w:top w:val="single" w:sz="6" w:space="0" w:color="auto"/>
              <w:bottom w:val="single" w:sz="6" w:space="0" w:color="auto"/>
            </w:tcBorders>
            <w:shd w:val="clear" w:color="auto" w:fill="auto"/>
          </w:tcPr>
          <w:p w14:paraId="6464E570" w14:textId="4F6195A6" w:rsidR="00F85C99" w:rsidRPr="0028007E" w:rsidRDefault="0028007E" w:rsidP="0079747D">
            <w:pPr>
              <w:spacing w:before="120" w:after="120"/>
              <w:rPr>
                <w:lang w:val="fr-FR"/>
              </w:rPr>
            </w:pPr>
            <w:r w:rsidRPr="0028007E">
              <w:rPr>
                <w:b/>
                <w:lang w:val="fr-FR"/>
              </w:rPr>
              <w:t>Date limite pour la présentation des observations</w:t>
            </w:r>
            <w:r w:rsidR="006111F5" w:rsidRPr="0028007E">
              <w:rPr>
                <w:b/>
                <w:lang w:val="fr-FR"/>
              </w:rPr>
              <w:t>:</w:t>
            </w:r>
            <w:r w:rsidR="00EE3A11" w:rsidRPr="0028007E">
              <w:rPr>
                <w:lang w:val="fr-FR"/>
              </w:rPr>
              <w:t xml:space="preserve"> 22 </w:t>
            </w:r>
            <w:r w:rsidR="0079747D">
              <w:rPr>
                <w:lang w:val="fr-FR"/>
              </w:rPr>
              <w:t>décemb</w:t>
            </w:r>
            <w:r w:rsidR="00EE3A11" w:rsidRPr="0028007E">
              <w:rPr>
                <w:lang w:val="fr-FR"/>
              </w:rPr>
              <w:t>r</w:t>
            </w:r>
            <w:r w:rsidR="0079747D">
              <w:rPr>
                <w:lang w:val="fr-FR"/>
              </w:rPr>
              <w:t>e</w:t>
            </w:r>
            <w:r w:rsidR="00EE3A11" w:rsidRPr="0028007E">
              <w:rPr>
                <w:lang w:val="fr-FR"/>
              </w:rPr>
              <w:t xml:space="preserve"> 2019</w:t>
            </w:r>
            <w:bookmarkStart w:id="16" w:name="sps12a"/>
            <w:bookmarkEnd w:id="16"/>
          </w:p>
        </w:tc>
      </w:tr>
      <w:tr w:rsidR="00BE3F19" w:rsidRPr="0028007E" w14:paraId="3BF80D98" w14:textId="77777777" w:rsidTr="00D3696D">
        <w:tc>
          <w:tcPr>
            <w:tcW w:w="698" w:type="dxa"/>
            <w:tcBorders>
              <w:top w:val="single" w:sz="6" w:space="0" w:color="auto"/>
            </w:tcBorders>
            <w:shd w:val="clear" w:color="auto" w:fill="auto"/>
          </w:tcPr>
          <w:p w14:paraId="0B4459A7" w14:textId="77777777" w:rsidR="00F85C99" w:rsidRPr="0028007E" w:rsidRDefault="006111F5" w:rsidP="00E969D2">
            <w:pPr>
              <w:keepNext/>
              <w:keepLines/>
              <w:spacing w:before="120" w:after="120"/>
              <w:jc w:val="left"/>
              <w:rPr>
                <w:b/>
                <w:lang w:val="fr-FR"/>
              </w:rPr>
            </w:pPr>
            <w:r w:rsidRPr="0028007E">
              <w:rPr>
                <w:b/>
                <w:lang w:val="fr-FR"/>
              </w:rPr>
              <w:t>11.</w:t>
            </w:r>
          </w:p>
        </w:tc>
        <w:tc>
          <w:tcPr>
            <w:tcW w:w="8282" w:type="dxa"/>
            <w:tcBorders>
              <w:top w:val="single" w:sz="6" w:space="0" w:color="auto"/>
            </w:tcBorders>
            <w:shd w:val="clear" w:color="auto" w:fill="auto"/>
          </w:tcPr>
          <w:p w14:paraId="583005C7" w14:textId="4AACEBEB" w:rsidR="00F85C99" w:rsidRPr="0028007E" w:rsidRDefault="0028007E" w:rsidP="00B16145">
            <w:pPr>
              <w:keepNext/>
              <w:keepLines/>
              <w:spacing w:before="120" w:after="120"/>
              <w:rPr>
                <w:lang w:val="fr-FR"/>
              </w:rPr>
            </w:pPr>
            <w:r w:rsidRPr="0028007E">
              <w:rPr>
                <w:b/>
                <w:lang w:val="fr-FR"/>
              </w:rPr>
              <w:t>Entité auprès de laquelle les textes peuvent être obtenus: point d'information national [X] ou adresse, numéros de téléphone et de fax et adresses de courrier électronique et de site Web, le cas échéant, d'un autre organisme</w:t>
            </w:r>
            <w:r w:rsidR="006111F5" w:rsidRPr="0028007E">
              <w:rPr>
                <w:b/>
                <w:lang w:val="fr-FR"/>
              </w:rPr>
              <w:t>:</w:t>
            </w:r>
            <w:r w:rsidR="00EE3A11" w:rsidRPr="0028007E">
              <w:rPr>
                <w:b/>
                <w:lang w:val="fr-FR"/>
              </w:rPr>
              <w:t xml:space="preserve"> </w:t>
            </w:r>
            <w:bookmarkStart w:id="17" w:name="sps13c"/>
          </w:p>
          <w:p w14:paraId="455A8047" w14:textId="5F4F3A74" w:rsidR="0079631A" w:rsidRPr="0028007E" w:rsidRDefault="006111F5" w:rsidP="0079747D">
            <w:pPr>
              <w:keepNext/>
              <w:keepLines/>
              <w:spacing w:before="120" w:after="120"/>
              <w:jc w:val="left"/>
              <w:rPr>
                <w:lang w:val="fr-FR"/>
              </w:rPr>
            </w:pPr>
            <w:r w:rsidRPr="0028007E">
              <w:rPr>
                <w:lang w:val="fr-FR"/>
              </w:rPr>
              <w:t>Grenada Bureau of Standards</w:t>
            </w:r>
            <w:r w:rsidRPr="0028007E">
              <w:rPr>
                <w:lang w:val="fr-FR"/>
              </w:rPr>
              <w:br/>
              <w:t>Queens Park</w:t>
            </w:r>
            <w:r w:rsidRPr="0028007E">
              <w:rPr>
                <w:lang w:val="fr-FR"/>
              </w:rPr>
              <w:br/>
              <w:t>P.O. Box 2036</w:t>
            </w:r>
            <w:r w:rsidRPr="0028007E">
              <w:rPr>
                <w:lang w:val="fr-FR"/>
              </w:rPr>
              <w:br/>
              <w:t xml:space="preserve">St. </w:t>
            </w:r>
            <w:proofErr w:type="spellStart"/>
            <w:r w:rsidRPr="0028007E">
              <w:rPr>
                <w:lang w:val="fr-FR"/>
              </w:rPr>
              <w:t>George's</w:t>
            </w:r>
            <w:proofErr w:type="spellEnd"/>
            <w:r w:rsidRPr="0028007E">
              <w:rPr>
                <w:lang w:val="fr-FR"/>
              </w:rPr>
              <w:br/>
            </w:r>
            <w:r w:rsidR="0079747D">
              <w:rPr>
                <w:lang w:val="fr-FR"/>
              </w:rPr>
              <w:t>(</w:t>
            </w:r>
            <w:r w:rsidRPr="0028007E">
              <w:rPr>
                <w:lang w:val="fr-FR"/>
              </w:rPr>
              <w:t>Grenad</w:t>
            </w:r>
            <w:r w:rsidR="0079747D">
              <w:rPr>
                <w:lang w:val="fr-FR"/>
              </w:rPr>
              <w:t>e)</w:t>
            </w:r>
            <w:r w:rsidRPr="0028007E">
              <w:rPr>
                <w:lang w:val="fr-FR"/>
              </w:rPr>
              <w:br/>
              <w:t>T</w:t>
            </w:r>
            <w:r w:rsidR="0079747D">
              <w:rPr>
                <w:lang w:val="fr-FR"/>
              </w:rPr>
              <w:t>éléphone</w:t>
            </w:r>
            <w:r w:rsidRPr="0028007E">
              <w:rPr>
                <w:lang w:val="fr-FR"/>
              </w:rPr>
              <w:t>: (473) 440-5886/6783</w:t>
            </w:r>
            <w:r w:rsidRPr="0028007E">
              <w:rPr>
                <w:lang w:val="fr-FR"/>
              </w:rPr>
              <w:br/>
              <w:t>Fax: (473) 440-5554</w:t>
            </w:r>
            <w:r w:rsidRPr="0028007E">
              <w:rPr>
                <w:lang w:val="fr-FR"/>
              </w:rPr>
              <w:br/>
            </w:r>
            <w:r w:rsidR="0079747D">
              <w:rPr>
                <w:lang w:val="fr-FR"/>
              </w:rPr>
              <w:t>Courrier électronique</w:t>
            </w:r>
            <w:r w:rsidRPr="0028007E">
              <w:rPr>
                <w:lang w:val="fr-FR"/>
              </w:rPr>
              <w:t xml:space="preserve">: </w:t>
            </w:r>
            <w:hyperlink r:id="rId8" w:history="1">
              <w:r w:rsidRPr="0028007E">
                <w:rPr>
                  <w:color w:val="0000FF"/>
                  <w:u w:val="single"/>
                  <w:lang w:val="fr-FR"/>
                </w:rPr>
                <w:t>gdbs@spiceisle.com</w:t>
              </w:r>
            </w:hyperlink>
            <w:bookmarkEnd w:id="17"/>
          </w:p>
        </w:tc>
      </w:tr>
    </w:tbl>
    <w:p w14:paraId="362E45FA" w14:textId="77777777" w:rsidR="00EE3A11" w:rsidRPr="0028007E" w:rsidRDefault="00EE3A11" w:rsidP="002F6A28">
      <w:pPr>
        <w:rPr>
          <w:lang w:val="fr-FR"/>
        </w:rPr>
      </w:pPr>
    </w:p>
    <w:sectPr w:rsidR="00EE3A11" w:rsidRPr="0028007E"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FFC97" w14:textId="77777777" w:rsidR="001158F7" w:rsidRDefault="001158F7">
      <w:r>
        <w:separator/>
      </w:r>
    </w:p>
  </w:endnote>
  <w:endnote w:type="continuationSeparator" w:id="0">
    <w:p w14:paraId="21B4D4BF" w14:textId="77777777" w:rsidR="001158F7" w:rsidRDefault="0011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A247" w14:textId="77777777" w:rsidR="009239F7" w:rsidRPr="002F6A28" w:rsidRDefault="006111F5"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0F4E0" w14:textId="77777777" w:rsidR="009239F7" w:rsidRPr="002F6A28" w:rsidRDefault="006111F5"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4B95" w14:textId="77777777" w:rsidR="00EE3A11" w:rsidRPr="002F6A28" w:rsidRDefault="006111F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A33AB" w14:textId="77777777" w:rsidR="001158F7" w:rsidRDefault="001158F7">
      <w:r>
        <w:separator/>
      </w:r>
    </w:p>
  </w:footnote>
  <w:footnote w:type="continuationSeparator" w:id="0">
    <w:p w14:paraId="785A3D0F" w14:textId="77777777" w:rsidR="001158F7" w:rsidRDefault="00115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6C7C" w14:textId="77777777" w:rsidR="009239F7" w:rsidRPr="002F6A28" w:rsidRDefault="006111F5" w:rsidP="009239F7">
    <w:pPr>
      <w:pStyle w:val="En-tte"/>
      <w:pBdr>
        <w:bottom w:val="single" w:sz="4" w:space="1" w:color="auto"/>
      </w:pBdr>
      <w:tabs>
        <w:tab w:val="clear" w:pos="4513"/>
        <w:tab w:val="clear" w:pos="9027"/>
      </w:tabs>
      <w:jc w:val="center"/>
    </w:pPr>
    <w:r w:rsidRPr="002F6A28">
      <w:t>tbtSymbol</w:t>
    </w:r>
  </w:p>
  <w:p w14:paraId="4EB1B1EE" w14:textId="77777777" w:rsidR="009239F7" w:rsidRPr="002F6A28" w:rsidRDefault="009239F7" w:rsidP="009239F7">
    <w:pPr>
      <w:pStyle w:val="En-tte"/>
      <w:pBdr>
        <w:bottom w:val="single" w:sz="4" w:space="1" w:color="auto"/>
      </w:pBdr>
      <w:tabs>
        <w:tab w:val="clear" w:pos="4513"/>
        <w:tab w:val="clear" w:pos="9027"/>
      </w:tabs>
      <w:jc w:val="center"/>
    </w:pPr>
  </w:p>
  <w:p w14:paraId="1203CBFC" w14:textId="77777777" w:rsidR="009239F7" w:rsidRPr="002F6A28" w:rsidRDefault="006111F5"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6B531D4"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3BB5" w14:textId="77777777" w:rsidR="009239F7" w:rsidRPr="002F6A28" w:rsidRDefault="006111F5" w:rsidP="009239F7">
    <w:pPr>
      <w:pStyle w:val="En-tte"/>
      <w:pBdr>
        <w:bottom w:val="single" w:sz="4" w:space="1" w:color="auto"/>
      </w:pBdr>
      <w:tabs>
        <w:tab w:val="clear" w:pos="4513"/>
        <w:tab w:val="clear" w:pos="9027"/>
      </w:tabs>
      <w:jc w:val="center"/>
    </w:pPr>
    <w:bookmarkStart w:id="18" w:name="spsSymbolHeader"/>
    <w:r w:rsidRPr="002F6A28">
      <w:t>G/TBT/N/GRD/21</w:t>
    </w:r>
    <w:bookmarkEnd w:id="18"/>
  </w:p>
  <w:p w14:paraId="102C6E5E" w14:textId="77777777" w:rsidR="009239F7" w:rsidRPr="002F6A28" w:rsidRDefault="009239F7" w:rsidP="009239F7">
    <w:pPr>
      <w:pStyle w:val="En-tte"/>
      <w:pBdr>
        <w:bottom w:val="single" w:sz="4" w:space="1" w:color="auto"/>
      </w:pBdr>
      <w:tabs>
        <w:tab w:val="clear" w:pos="4513"/>
        <w:tab w:val="clear" w:pos="9027"/>
      </w:tabs>
      <w:jc w:val="center"/>
    </w:pPr>
  </w:p>
  <w:p w14:paraId="1392B6EF" w14:textId="42031881" w:rsidR="009239F7" w:rsidRPr="002F6A28" w:rsidRDefault="006111F5"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D90DC0">
      <w:rPr>
        <w:noProof/>
      </w:rPr>
      <w:t>2</w:t>
    </w:r>
    <w:r w:rsidRPr="002F6A28">
      <w:fldChar w:fldCharType="end"/>
    </w:r>
    <w:r w:rsidRPr="002F6A28">
      <w:t xml:space="preserve"> -</w:t>
    </w:r>
  </w:p>
  <w:p w14:paraId="7E80BDCC"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2" w:type="dxa"/>
      <w:jc w:val="center"/>
      <w:tblLayout w:type="fixed"/>
      <w:tblCellMar>
        <w:left w:w="0" w:type="dxa"/>
        <w:right w:w="0" w:type="dxa"/>
      </w:tblCellMar>
      <w:tblLook w:val="04A0" w:firstRow="1" w:lastRow="0" w:firstColumn="1" w:lastColumn="0" w:noHBand="0" w:noVBand="1"/>
    </w:tblPr>
    <w:tblGrid>
      <w:gridCol w:w="3794"/>
      <w:gridCol w:w="2123"/>
      <w:gridCol w:w="3325"/>
    </w:tblGrid>
    <w:tr w:rsidR="00BE3F19" w14:paraId="2DE8FECF" w14:textId="77777777" w:rsidTr="00D3696D">
      <w:trPr>
        <w:trHeight w:val="240"/>
        <w:jc w:val="center"/>
      </w:trPr>
      <w:tc>
        <w:tcPr>
          <w:tcW w:w="3794" w:type="dxa"/>
          <w:shd w:val="clear" w:color="auto" w:fill="FFFFFF"/>
          <w:tcMar>
            <w:left w:w="108" w:type="dxa"/>
            <w:right w:w="108" w:type="dxa"/>
          </w:tcMar>
          <w:vAlign w:val="center"/>
        </w:tcPr>
        <w:p w14:paraId="31A2C1D2" w14:textId="77777777" w:rsidR="00ED54E0" w:rsidRPr="009239F7" w:rsidRDefault="00ED54E0"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4BF26A68" w14:textId="77777777" w:rsidR="00ED54E0" w:rsidRPr="009239F7" w:rsidRDefault="00ED54E0" w:rsidP="00B801E9">
          <w:pPr>
            <w:jc w:val="right"/>
            <w:rPr>
              <w:b/>
              <w:color w:val="FF0000"/>
              <w:szCs w:val="16"/>
            </w:rPr>
          </w:pPr>
        </w:p>
      </w:tc>
    </w:tr>
    <w:bookmarkEnd w:id="19"/>
    <w:tr w:rsidR="00BE3F19" w14:paraId="17024F65" w14:textId="77777777" w:rsidTr="00D3696D">
      <w:trPr>
        <w:trHeight w:val="213"/>
        <w:jc w:val="center"/>
      </w:trPr>
      <w:tc>
        <w:tcPr>
          <w:tcW w:w="3794" w:type="dxa"/>
          <w:vMerge w:val="restart"/>
          <w:shd w:val="clear" w:color="auto" w:fill="FFFFFF"/>
          <w:tcMar>
            <w:left w:w="0" w:type="dxa"/>
            <w:right w:w="0" w:type="dxa"/>
          </w:tcMar>
        </w:tcPr>
        <w:p w14:paraId="5E841BAC" w14:textId="05303293" w:rsidR="00ED54E0" w:rsidRPr="009239F7" w:rsidRDefault="00D3696D" w:rsidP="00B801E9">
          <w:pPr>
            <w:jc w:val="left"/>
          </w:pPr>
          <w:r w:rsidRPr="003F28E2">
            <w:rPr>
              <w:rFonts w:eastAsia="Verdana" w:cs="Verdana"/>
              <w:noProof/>
              <w:szCs w:val="18"/>
              <w:lang w:val="fr-FR" w:eastAsia="fr-FR"/>
            </w:rPr>
            <w:drawing>
              <wp:inline distT="0" distB="0" distL="0" distR="0" wp14:anchorId="60046B0A" wp14:editId="1580B1C3">
                <wp:extent cx="2376805" cy="719455"/>
                <wp:effectExtent l="0" t="0" r="4445" b="4445"/>
                <wp:docPr id="2" name="Image 2" descr="WTO_COLOR_F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TO_COLOR_F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805" cy="71945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D267279" w14:textId="77777777" w:rsidR="00ED54E0" w:rsidRPr="009239F7" w:rsidRDefault="00ED54E0" w:rsidP="00B801E9">
          <w:pPr>
            <w:jc w:val="right"/>
            <w:rPr>
              <w:b/>
              <w:szCs w:val="16"/>
            </w:rPr>
          </w:pPr>
        </w:p>
      </w:tc>
    </w:tr>
    <w:tr w:rsidR="00BE3F19" w14:paraId="45C2EBF5" w14:textId="77777777" w:rsidTr="00D3696D">
      <w:trPr>
        <w:trHeight w:val="868"/>
        <w:jc w:val="center"/>
      </w:trPr>
      <w:tc>
        <w:tcPr>
          <w:tcW w:w="3794" w:type="dxa"/>
          <w:vMerge/>
          <w:shd w:val="clear" w:color="auto" w:fill="FFFFFF"/>
          <w:tcMar>
            <w:left w:w="108" w:type="dxa"/>
            <w:right w:w="108" w:type="dxa"/>
          </w:tcMar>
        </w:tcPr>
        <w:p w14:paraId="4EAC9B7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ED468BD" w14:textId="77777777" w:rsidR="009239F7" w:rsidRPr="002F6A28" w:rsidRDefault="006111F5" w:rsidP="00B801E9">
          <w:pPr>
            <w:jc w:val="right"/>
            <w:rPr>
              <w:b/>
              <w:szCs w:val="16"/>
            </w:rPr>
          </w:pPr>
          <w:bookmarkStart w:id="20" w:name="bmkSymbols"/>
          <w:r w:rsidRPr="002F6A28">
            <w:rPr>
              <w:b/>
              <w:szCs w:val="16"/>
            </w:rPr>
            <w:t>G/TBT/N/GRD/21</w:t>
          </w:r>
          <w:bookmarkEnd w:id="20"/>
        </w:p>
      </w:tc>
    </w:tr>
    <w:tr w:rsidR="00BE3F19" w14:paraId="0F844AFD" w14:textId="77777777" w:rsidTr="00D3696D">
      <w:trPr>
        <w:trHeight w:val="240"/>
        <w:jc w:val="center"/>
      </w:trPr>
      <w:tc>
        <w:tcPr>
          <w:tcW w:w="3794" w:type="dxa"/>
          <w:vMerge/>
          <w:shd w:val="clear" w:color="auto" w:fill="FFFFFF"/>
          <w:tcMar>
            <w:left w:w="108" w:type="dxa"/>
            <w:right w:w="108" w:type="dxa"/>
          </w:tcMar>
          <w:vAlign w:val="center"/>
        </w:tcPr>
        <w:p w14:paraId="61E2F2EA" w14:textId="77777777" w:rsidR="00ED54E0" w:rsidRPr="009239F7" w:rsidRDefault="00ED54E0" w:rsidP="00B801E9"/>
      </w:tc>
      <w:tc>
        <w:tcPr>
          <w:tcW w:w="5448" w:type="dxa"/>
          <w:gridSpan w:val="2"/>
          <w:shd w:val="clear" w:color="auto" w:fill="FFFFFF"/>
          <w:tcMar>
            <w:left w:w="108" w:type="dxa"/>
            <w:right w:w="108" w:type="dxa"/>
          </w:tcMar>
          <w:vAlign w:val="center"/>
        </w:tcPr>
        <w:p w14:paraId="5A8DDDD6" w14:textId="750AA17C" w:rsidR="00ED54E0" w:rsidRPr="009239F7" w:rsidRDefault="00BE12CC" w:rsidP="00D3696D">
          <w:pPr>
            <w:jc w:val="right"/>
            <w:rPr>
              <w:szCs w:val="16"/>
            </w:rPr>
          </w:pPr>
          <w:bookmarkStart w:id="21" w:name="spsDateDistribution"/>
          <w:bookmarkStart w:id="22" w:name="bmkDate"/>
          <w:bookmarkEnd w:id="21"/>
          <w:bookmarkEnd w:id="22"/>
          <w:r>
            <w:rPr>
              <w:szCs w:val="16"/>
            </w:rPr>
            <w:t xml:space="preserve">20 </w:t>
          </w:r>
          <w:proofErr w:type="spellStart"/>
          <w:r w:rsidR="00D3696D">
            <w:rPr>
              <w:szCs w:val="16"/>
            </w:rPr>
            <w:t>septemb</w:t>
          </w:r>
          <w:r>
            <w:rPr>
              <w:szCs w:val="16"/>
            </w:rPr>
            <w:t>r</w:t>
          </w:r>
          <w:r w:rsidR="00D3696D">
            <w:rPr>
              <w:szCs w:val="16"/>
            </w:rPr>
            <w:t>e</w:t>
          </w:r>
          <w:proofErr w:type="spellEnd"/>
          <w:r>
            <w:rPr>
              <w:szCs w:val="16"/>
            </w:rPr>
            <w:t xml:space="preserve"> 2019</w:t>
          </w:r>
        </w:p>
      </w:tc>
    </w:tr>
    <w:tr w:rsidR="00BE3F19" w14:paraId="19C75724" w14:textId="77777777" w:rsidTr="00D369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13D8321" w14:textId="2F346EF2" w:rsidR="00ED54E0" w:rsidRPr="009239F7" w:rsidRDefault="006111F5" w:rsidP="0097650D">
          <w:pPr>
            <w:jc w:val="left"/>
            <w:rPr>
              <w:b/>
            </w:rPr>
          </w:pPr>
          <w:bookmarkStart w:id="23" w:name="bmkSerial"/>
          <w:r w:rsidRPr="002F6A28">
            <w:rPr>
              <w:color w:val="FF0000"/>
              <w:szCs w:val="16"/>
            </w:rPr>
            <w:t>(</w:t>
          </w:r>
          <w:bookmarkStart w:id="24" w:name="spsSerialNumber"/>
          <w:bookmarkEnd w:id="24"/>
          <w:r w:rsidR="00BE12CC">
            <w:rPr>
              <w:color w:val="FF0000"/>
              <w:szCs w:val="16"/>
            </w:rPr>
            <w:t>19-</w:t>
          </w:r>
          <w:r w:rsidR="006823BC">
            <w:rPr>
              <w:color w:val="FF0000"/>
              <w:szCs w:val="16"/>
            </w:rPr>
            <w:t>6084</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0FDC842C" w14:textId="50A2ECDA" w:rsidR="00ED54E0" w:rsidRPr="009239F7" w:rsidRDefault="006111F5"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90DC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90DC0">
            <w:rPr>
              <w:bCs/>
              <w:noProof/>
              <w:szCs w:val="16"/>
            </w:rPr>
            <w:t>2</w:t>
          </w:r>
          <w:r w:rsidRPr="002F6A28">
            <w:rPr>
              <w:bCs/>
              <w:szCs w:val="16"/>
            </w:rPr>
            <w:fldChar w:fldCharType="end"/>
          </w:r>
          <w:bookmarkEnd w:id="25"/>
        </w:p>
      </w:tc>
    </w:tr>
    <w:tr w:rsidR="00D3696D" w14:paraId="691AA8FA" w14:textId="77777777" w:rsidTr="00D369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66BAAD" w14:textId="1C2C6570" w:rsidR="00D3696D" w:rsidRPr="006823BC" w:rsidRDefault="00D3696D" w:rsidP="00D3696D">
          <w:pPr>
            <w:jc w:val="left"/>
            <w:rPr>
              <w:sz w:val="14"/>
              <w:szCs w:val="16"/>
              <w:lang w:val="fr-FR"/>
            </w:rPr>
          </w:pPr>
          <w:r w:rsidRPr="006823BC">
            <w:rPr>
              <w:rFonts w:eastAsia="Verdana"/>
              <w:b/>
              <w:szCs w:val="18"/>
              <w:lang w:val="fr-FR"/>
            </w:rPr>
            <w:t>Comité des obstacles techniques au commerce</w:t>
          </w:r>
        </w:p>
      </w:tc>
      <w:tc>
        <w:tcPr>
          <w:tcW w:w="3325" w:type="dxa"/>
          <w:tcBorders>
            <w:top w:val="single" w:sz="4" w:space="0" w:color="auto"/>
          </w:tcBorders>
          <w:tcMar>
            <w:top w:w="113" w:type="dxa"/>
            <w:left w:w="108" w:type="dxa"/>
            <w:bottom w:w="57" w:type="dxa"/>
            <w:right w:w="108" w:type="dxa"/>
          </w:tcMar>
        </w:tcPr>
        <w:p w14:paraId="731433F8" w14:textId="1A717E52" w:rsidR="00D3696D" w:rsidRPr="002F6A28" w:rsidRDefault="00D3696D" w:rsidP="00D3696D">
          <w:pPr>
            <w:jc w:val="right"/>
            <w:rPr>
              <w:bCs/>
              <w:szCs w:val="18"/>
            </w:rPr>
          </w:pPr>
          <w:r w:rsidRPr="003F28E2">
            <w:rPr>
              <w:rFonts w:eastAsia="Verdana" w:cs="Verdana"/>
              <w:bCs/>
              <w:szCs w:val="18"/>
            </w:rPr>
            <w:t>Original: </w:t>
          </w:r>
          <w:proofErr w:type="spellStart"/>
          <w:r w:rsidRPr="003F28E2">
            <w:rPr>
              <w:rFonts w:eastAsia="Verdana" w:cs="Verdana"/>
              <w:bCs/>
              <w:szCs w:val="18"/>
            </w:rPr>
            <w:t>anglais</w:t>
          </w:r>
          <w:proofErr w:type="spellEnd"/>
        </w:p>
      </w:tc>
    </w:tr>
  </w:tbl>
  <w:p w14:paraId="3ED170A3"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794B41C">
      <w:start w:val="1"/>
      <w:numFmt w:val="decimal"/>
      <w:pStyle w:val="SummaryText"/>
      <w:lvlText w:val="%1."/>
      <w:lvlJc w:val="left"/>
      <w:pPr>
        <w:ind w:left="360" w:hanging="360"/>
      </w:pPr>
    </w:lvl>
    <w:lvl w:ilvl="1" w:tplc="15C0EF2E" w:tentative="1">
      <w:start w:val="1"/>
      <w:numFmt w:val="lowerLetter"/>
      <w:lvlText w:val="%2."/>
      <w:lvlJc w:val="left"/>
      <w:pPr>
        <w:ind w:left="1080" w:hanging="360"/>
      </w:pPr>
    </w:lvl>
    <w:lvl w:ilvl="2" w:tplc="3C6ED8A2" w:tentative="1">
      <w:start w:val="1"/>
      <w:numFmt w:val="lowerRoman"/>
      <w:lvlText w:val="%3."/>
      <w:lvlJc w:val="right"/>
      <w:pPr>
        <w:ind w:left="1800" w:hanging="180"/>
      </w:pPr>
    </w:lvl>
    <w:lvl w:ilvl="3" w:tplc="38D4A934" w:tentative="1">
      <w:start w:val="1"/>
      <w:numFmt w:val="decimal"/>
      <w:lvlText w:val="%4."/>
      <w:lvlJc w:val="left"/>
      <w:pPr>
        <w:ind w:left="2520" w:hanging="360"/>
      </w:pPr>
    </w:lvl>
    <w:lvl w:ilvl="4" w:tplc="CDE69C42" w:tentative="1">
      <w:start w:val="1"/>
      <w:numFmt w:val="lowerLetter"/>
      <w:lvlText w:val="%5."/>
      <w:lvlJc w:val="left"/>
      <w:pPr>
        <w:ind w:left="3240" w:hanging="360"/>
      </w:pPr>
    </w:lvl>
    <w:lvl w:ilvl="5" w:tplc="07A4798A" w:tentative="1">
      <w:start w:val="1"/>
      <w:numFmt w:val="lowerRoman"/>
      <w:lvlText w:val="%6."/>
      <w:lvlJc w:val="right"/>
      <w:pPr>
        <w:ind w:left="3960" w:hanging="180"/>
      </w:pPr>
    </w:lvl>
    <w:lvl w:ilvl="6" w:tplc="07B892F2" w:tentative="1">
      <w:start w:val="1"/>
      <w:numFmt w:val="decimal"/>
      <w:lvlText w:val="%7."/>
      <w:lvlJc w:val="left"/>
      <w:pPr>
        <w:ind w:left="4680" w:hanging="360"/>
      </w:pPr>
    </w:lvl>
    <w:lvl w:ilvl="7" w:tplc="B5C26EA8" w:tentative="1">
      <w:start w:val="1"/>
      <w:numFmt w:val="lowerLetter"/>
      <w:lvlText w:val="%8."/>
      <w:lvlJc w:val="left"/>
      <w:pPr>
        <w:ind w:left="5400" w:hanging="360"/>
      </w:pPr>
    </w:lvl>
    <w:lvl w:ilvl="8" w:tplc="96A4AB8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59A304A">
      <w:start w:val="1"/>
      <w:numFmt w:val="bullet"/>
      <w:lvlText w:val=""/>
      <w:lvlJc w:val="left"/>
      <w:pPr>
        <w:ind w:left="720" w:hanging="360"/>
      </w:pPr>
      <w:rPr>
        <w:rFonts w:ascii="Symbol" w:hAnsi="Symbol"/>
      </w:rPr>
    </w:lvl>
    <w:lvl w:ilvl="1" w:tplc="D69A84F8">
      <w:start w:val="1"/>
      <w:numFmt w:val="bullet"/>
      <w:lvlText w:val="o"/>
      <w:lvlJc w:val="left"/>
      <w:pPr>
        <w:tabs>
          <w:tab w:val="num" w:pos="1440"/>
        </w:tabs>
        <w:ind w:left="1440" w:hanging="360"/>
      </w:pPr>
      <w:rPr>
        <w:rFonts w:ascii="Courier New" w:hAnsi="Courier New"/>
      </w:rPr>
    </w:lvl>
    <w:lvl w:ilvl="2" w:tplc="AB928182">
      <w:start w:val="1"/>
      <w:numFmt w:val="bullet"/>
      <w:lvlText w:val=""/>
      <w:lvlJc w:val="left"/>
      <w:pPr>
        <w:tabs>
          <w:tab w:val="num" w:pos="2160"/>
        </w:tabs>
        <w:ind w:left="2160" w:hanging="360"/>
      </w:pPr>
      <w:rPr>
        <w:rFonts w:ascii="Wingdings" w:hAnsi="Wingdings"/>
      </w:rPr>
    </w:lvl>
    <w:lvl w:ilvl="3" w:tplc="D2467318">
      <w:start w:val="1"/>
      <w:numFmt w:val="bullet"/>
      <w:lvlText w:val=""/>
      <w:lvlJc w:val="left"/>
      <w:pPr>
        <w:tabs>
          <w:tab w:val="num" w:pos="2880"/>
        </w:tabs>
        <w:ind w:left="2880" w:hanging="360"/>
      </w:pPr>
      <w:rPr>
        <w:rFonts w:ascii="Symbol" w:hAnsi="Symbol"/>
      </w:rPr>
    </w:lvl>
    <w:lvl w:ilvl="4" w:tplc="F4B44C62">
      <w:start w:val="1"/>
      <w:numFmt w:val="bullet"/>
      <w:lvlText w:val="o"/>
      <w:lvlJc w:val="left"/>
      <w:pPr>
        <w:tabs>
          <w:tab w:val="num" w:pos="3600"/>
        </w:tabs>
        <w:ind w:left="3600" w:hanging="360"/>
      </w:pPr>
      <w:rPr>
        <w:rFonts w:ascii="Courier New" w:hAnsi="Courier New"/>
      </w:rPr>
    </w:lvl>
    <w:lvl w:ilvl="5" w:tplc="B5E222EC">
      <w:start w:val="1"/>
      <w:numFmt w:val="bullet"/>
      <w:lvlText w:val=""/>
      <w:lvlJc w:val="left"/>
      <w:pPr>
        <w:tabs>
          <w:tab w:val="num" w:pos="4320"/>
        </w:tabs>
        <w:ind w:left="4320" w:hanging="360"/>
      </w:pPr>
      <w:rPr>
        <w:rFonts w:ascii="Wingdings" w:hAnsi="Wingdings"/>
      </w:rPr>
    </w:lvl>
    <w:lvl w:ilvl="6" w:tplc="0FBAC40C">
      <w:start w:val="1"/>
      <w:numFmt w:val="bullet"/>
      <w:lvlText w:val=""/>
      <w:lvlJc w:val="left"/>
      <w:pPr>
        <w:tabs>
          <w:tab w:val="num" w:pos="5040"/>
        </w:tabs>
        <w:ind w:left="5040" w:hanging="360"/>
      </w:pPr>
      <w:rPr>
        <w:rFonts w:ascii="Symbol" w:hAnsi="Symbol"/>
      </w:rPr>
    </w:lvl>
    <w:lvl w:ilvl="7" w:tplc="8F6805A8">
      <w:start w:val="1"/>
      <w:numFmt w:val="bullet"/>
      <w:lvlText w:val="o"/>
      <w:lvlJc w:val="left"/>
      <w:pPr>
        <w:tabs>
          <w:tab w:val="num" w:pos="5760"/>
        </w:tabs>
        <w:ind w:left="5760" w:hanging="360"/>
      </w:pPr>
      <w:rPr>
        <w:rFonts w:ascii="Courier New" w:hAnsi="Courier New"/>
      </w:rPr>
    </w:lvl>
    <w:lvl w:ilvl="8" w:tplc="5F68732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158F7"/>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8007E"/>
    <w:rsid w:val="002D21E3"/>
    <w:rsid w:val="002E174F"/>
    <w:rsid w:val="002F6A28"/>
    <w:rsid w:val="00303D9D"/>
    <w:rsid w:val="00304AAE"/>
    <w:rsid w:val="003124EC"/>
    <w:rsid w:val="003531C5"/>
    <w:rsid w:val="003572B4"/>
    <w:rsid w:val="003723A9"/>
    <w:rsid w:val="00381B96"/>
    <w:rsid w:val="00383F7A"/>
    <w:rsid w:val="00390023"/>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11F5"/>
    <w:rsid w:val="00612644"/>
    <w:rsid w:val="00623F9F"/>
    <w:rsid w:val="00643C1F"/>
    <w:rsid w:val="00655881"/>
    <w:rsid w:val="0066043C"/>
    <w:rsid w:val="006607BC"/>
    <w:rsid w:val="00674CCD"/>
    <w:rsid w:val="006823BC"/>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119F"/>
    <w:rsid w:val="00756BA6"/>
    <w:rsid w:val="007577E3"/>
    <w:rsid w:val="00760DB3"/>
    <w:rsid w:val="007624E8"/>
    <w:rsid w:val="0079631A"/>
    <w:rsid w:val="0079747D"/>
    <w:rsid w:val="007B4DE8"/>
    <w:rsid w:val="007D20BB"/>
    <w:rsid w:val="007E1308"/>
    <w:rsid w:val="007E6507"/>
    <w:rsid w:val="007F2B8E"/>
    <w:rsid w:val="008055FB"/>
    <w:rsid w:val="00807247"/>
    <w:rsid w:val="00812D1D"/>
    <w:rsid w:val="008159AC"/>
    <w:rsid w:val="00832EE1"/>
    <w:rsid w:val="0083325E"/>
    <w:rsid w:val="008378EF"/>
    <w:rsid w:val="00840C2B"/>
    <w:rsid w:val="00860955"/>
    <w:rsid w:val="008612A9"/>
    <w:rsid w:val="00863177"/>
    <w:rsid w:val="008710A0"/>
    <w:rsid w:val="008739FD"/>
    <w:rsid w:val="008848E9"/>
    <w:rsid w:val="008935B1"/>
    <w:rsid w:val="00893E85"/>
    <w:rsid w:val="008953C4"/>
    <w:rsid w:val="008B223A"/>
    <w:rsid w:val="008B4A10"/>
    <w:rsid w:val="008B4FB8"/>
    <w:rsid w:val="008C1339"/>
    <w:rsid w:val="008E372C"/>
    <w:rsid w:val="008E67DC"/>
    <w:rsid w:val="009239F7"/>
    <w:rsid w:val="009243C2"/>
    <w:rsid w:val="00955D8A"/>
    <w:rsid w:val="00964F4F"/>
    <w:rsid w:val="0097650D"/>
    <w:rsid w:val="009811DD"/>
    <w:rsid w:val="00984DF3"/>
    <w:rsid w:val="00990E7D"/>
    <w:rsid w:val="009A6F54"/>
    <w:rsid w:val="009A72C6"/>
    <w:rsid w:val="009B6669"/>
    <w:rsid w:val="009D1FF8"/>
    <w:rsid w:val="009E75ED"/>
    <w:rsid w:val="009F1F2F"/>
    <w:rsid w:val="009F21A8"/>
    <w:rsid w:val="00A129AC"/>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12CC"/>
    <w:rsid w:val="00BE3F19"/>
    <w:rsid w:val="00BE5468"/>
    <w:rsid w:val="00BF59EC"/>
    <w:rsid w:val="00C11EAC"/>
    <w:rsid w:val="00C12F46"/>
    <w:rsid w:val="00C16D5D"/>
    <w:rsid w:val="00C268F4"/>
    <w:rsid w:val="00C305D7"/>
    <w:rsid w:val="00C30F2A"/>
    <w:rsid w:val="00C3241C"/>
    <w:rsid w:val="00C379C8"/>
    <w:rsid w:val="00C40E47"/>
    <w:rsid w:val="00C43456"/>
    <w:rsid w:val="00C46583"/>
    <w:rsid w:val="00C46DA8"/>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696D"/>
    <w:rsid w:val="00D3759A"/>
    <w:rsid w:val="00D52A9D"/>
    <w:rsid w:val="00D55AAD"/>
    <w:rsid w:val="00D70F5B"/>
    <w:rsid w:val="00D7119E"/>
    <w:rsid w:val="00D747AE"/>
    <w:rsid w:val="00D90DC0"/>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dbs@spiceisl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dbs@spiceisl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2019-09-29T07:13:00Z</dcterms:created>
  <dcterms:modified xsi:type="dcterms:W3CDTF">2019-10-01T12:31:00Z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