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E6258F" w:rsidRDefault="000E67AE" w:rsidP="002F6A28">
      <w:pPr>
        <w:pStyle w:val="Title"/>
        <w:rPr>
          <w:caps w:val="0"/>
          <w:kern w:val="0"/>
          <w:lang w:val="fr-FR"/>
        </w:rPr>
      </w:pPr>
      <w:r w:rsidRPr="00E6258F">
        <w:rPr>
          <w:caps w:val="0"/>
          <w:kern w:val="0"/>
          <w:lang w:val="fr-FR"/>
        </w:rPr>
        <w:t>NOTIFICATION</w:t>
      </w:r>
    </w:p>
    <w:p w:rsidR="009239F7" w:rsidRPr="00E6258F" w:rsidRDefault="00FF3A91" w:rsidP="002F6A28">
      <w:pPr>
        <w:jc w:val="center"/>
        <w:rPr>
          <w:lang w:val="fr-FR"/>
        </w:rPr>
      </w:pPr>
      <w:r w:rsidRPr="00E6258F">
        <w:rPr>
          <w:lang w:val="fr-FR" w:eastAsia="fr-FR"/>
        </w:rPr>
        <w:t>La notification suivante est communiquée conformément à l'article 10.6.</w:t>
      </w:r>
    </w:p>
    <w:p w:rsidR="009239F7" w:rsidRPr="00E6258F" w:rsidRDefault="009239F7" w:rsidP="002F6A28">
      <w:pPr>
        <w:rPr>
          <w:lang w:val="fr-FR"/>
        </w:rPr>
      </w:pP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F3A91" w:rsidRPr="00B021F6" w:rsidTr="00FF3A91">
        <w:tc>
          <w:tcPr>
            <w:tcW w:w="698" w:type="dxa"/>
            <w:tcBorders>
              <w:bottom w:val="single" w:sz="6" w:space="0" w:color="auto"/>
            </w:tcBorders>
            <w:shd w:val="clear" w:color="auto" w:fill="auto"/>
          </w:tcPr>
          <w:p w:rsidR="00FF3A91" w:rsidRPr="00E6258F" w:rsidRDefault="00FF3A91" w:rsidP="00FF3A91">
            <w:pPr>
              <w:spacing w:before="120" w:after="120"/>
              <w:jc w:val="left"/>
              <w:rPr>
                <w:lang w:val="fr-FR"/>
              </w:rPr>
            </w:pPr>
            <w:r w:rsidRPr="00E6258F">
              <w:rPr>
                <w:b/>
                <w:lang w:val="fr-FR"/>
              </w:rPr>
              <w:t>1.</w:t>
            </w:r>
          </w:p>
        </w:tc>
        <w:tc>
          <w:tcPr>
            <w:tcW w:w="8282" w:type="dxa"/>
            <w:tcBorders>
              <w:bottom w:val="single" w:sz="6" w:space="0" w:color="auto"/>
            </w:tcBorders>
            <w:shd w:val="clear" w:color="auto" w:fill="auto"/>
          </w:tcPr>
          <w:p w:rsidR="00FF3A91" w:rsidRPr="00E6258F" w:rsidRDefault="00FF3A91" w:rsidP="00FF3A91">
            <w:pPr>
              <w:spacing w:before="120" w:after="120"/>
              <w:rPr>
                <w:lang w:val="fr-FR"/>
              </w:rPr>
            </w:pPr>
            <w:r w:rsidRPr="00E6258F">
              <w:rPr>
                <w:b/>
                <w:lang w:val="fr-FR"/>
              </w:rPr>
              <w:t xml:space="preserve">Membre </w:t>
            </w:r>
            <w:proofErr w:type="gramStart"/>
            <w:r w:rsidRPr="00E6258F">
              <w:rPr>
                <w:b/>
                <w:lang w:val="fr-FR"/>
              </w:rPr>
              <w:t>notifiant:</w:t>
            </w:r>
            <w:proofErr w:type="gramEnd"/>
            <w:r w:rsidRPr="00E6258F">
              <w:rPr>
                <w:lang w:val="fr-FR"/>
              </w:rPr>
              <w:t xml:space="preserve"> </w:t>
            </w:r>
            <w:r w:rsidRPr="00E6258F">
              <w:rPr>
                <w:caps/>
                <w:u w:val="single"/>
                <w:lang w:val="fr-FR"/>
              </w:rPr>
              <w:t>royaume d’arabie saoudite</w:t>
            </w:r>
            <w:r w:rsidRPr="00E6258F">
              <w:rPr>
                <w:lang w:val="fr-FR"/>
              </w:rPr>
              <w:t xml:space="preserve"> </w:t>
            </w:r>
          </w:p>
          <w:p w:rsidR="00FF3A91" w:rsidRPr="00E6258F" w:rsidRDefault="00FF3A91" w:rsidP="00FF3A91">
            <w:pPr>
              <w:spacing w:after="120"/>
              <w:rPr>
                <w:lang w:val="fr-FR"/>
              </w:rPr>
            </w:pPr>
            <w:r w:rsidRPr="00E6258F">
              <w:rPr>
                <w:b/>
                <w:lang w:val="fr-FR"/>
              </w:rPr>
              <w:t>Le cas échéant, pouvoirs publics locaux concernés (articles 3.2 et 7.2):</w:t>
            </w:r>
            <w:r w:rsidRPr="00E6258F">
              <w:rPr>
                <w:lang w:val="fr-FR"/>
              </w:rPr>
              <w:t xml:space="preserve"> </w:t>
            </w:r>
            <w:bookmarkStart w:id="0" w:name="sps1b"/>
            <w:bookmarkEnd w:id="0"/>
          </w:p>
        </w:tc>
      </w:tr>
      <w:tr w:rsidR="009F6B79" w:rsidRPr="00B021F6" w:rsidTr="00FF3A91">
        <w:tc>
          <w:tcPr>
            <w:tcW w:w="698" w:type="dxa"/>
            <w:tcBorders>
              <w:top w:val="single" w:sz="6" w:space="0" w:color="auto"/>
              <w:bottom w:val="single" w:sz="6" w:space="0" w:color="auto"/>
            </w:tcBorders>
            <w:shd w:val="clear" w:color="auto" w:fill="auto"/>
          </w:tcPr>
          <w:p w:rsidR="00F85C99" w:rsidRPr="00E6258F" w:rsidRDefault="000E67AE" w:rsidP="002F6A28">
            <w:pPr>
              <w:spacing w:before="120" w:after="120"/>
              <w:jc w:val="left"/>
              <w:rPr>
                <w:lang w:val="fr-FR"/>
              </w:rPr>
            </w:pPr>
            <w:r w:rsidRPr="00E6258F">
              <w:rPr>
                <w:b/>
                <w:lang w:val="fr-FR"/>
              </w:rPr>
              <w:t>2.</w:t>
            </w:r>
          </w:p>
        </w:tc>
        <w:tc>
          <w:tcPr>
            <w:tcW w:w="8282" w:type="dxa"/>
            <w:tcBorders>
              <w:top w:val="single" w:sz="6" w:space="0" w:color="auto"/>
              <w:bottom w:val="single" w:sz="6" w:space="0" w:color="auto"/>
            </w:tcBorders>
            <w:shd w:val="clear" w:color="auto" w:fill="auto"/>
          </w:tcPr>
          <w:p w:rsidR="00FF3A91" w:rsidRPr="00E6258F" w:rsidRDefault="00FF3A91" w:rsidP="00FF3A91">
            <w:pPr>
              <w:spacing w:before="120" w:after="120"/>
              <w:rPr>
                <w:lang w:val="fr-FR"/>
              </w:rPr>
            </w:pPr>
            <w:r w:rsidRPr="00E6258F">
              <w:rPr>
                <w:b/>
                <w:lang w:val="fr-FR"/>
              </w:rPr>
              <w:t xml:space="preserve">Organisme </w:t>
            </w:r>
            <w:proofErr w:type="gramStart"/>
            <w:r w:rsidRPr="00E6258F">
              <w:rPr>
                <w:b/>
                <w:lang w:val="fr-FR"/>
              </w:rPr>
              <w:t>responsable:</w:t>
            </w:r>
            <w:proofErr w:type="gramEnd"/>
            <w:r w:rsidRPr="00E6258F">
              <w:rPr>
                <w:lang w:val="fr-FR"/>
              </w:rPr>
              <w:t xml:space="preserve"> </w:t>
            </w:r>
            <w:bookmarkStart w:id="1" w:name="sps2a"/>
            <w:proofErr w:type="spellStart"/>
            <w:r w:rsidRPr="00E6258F">
              <w:rPr>
                <w:i/>
                <w:lang w:val="fr-FR"/>
              </w:rPr>
              <w:t>Saudi</w:t>
            </w:r>
            <w:proofErr w:type="spellEnd"/>
            <w:r w:rsidRPr="00E6258F">
              <w:rPr>
                <w:i/>
                <w:lang w:val="fr-FR"/>
              </w:rPr>
              <w:t xml:space="preserve"> Standards, </w:t>
            </w:r>
            <w:proofErr w:type="spellStart"/>
            <w:r w:rsidRPr="00E6258F">
              <w:rPr>
                <w:i/>
                <w:lang w:val="fr-FR"/>
              </w:rPr>
              <w:t>Metrology</w:t>
            </w:r>
            <w:proofErr w:type="spellEnd"/>
            <w:r w:rsidRPr="00E6258F">
              <w:rPr>
                <w:i/>
                <w:lang w:val="fr-FR"/>
              </w:rPr>
              <w:t xml:space="preserve"> and </w:t>
            </w:r>
            <w:proofErr w:type="spellStart"/>
            <w:r w:rsidRPr="00E6258F">
              <w:rPr>
                <w:i/>
                <w:lang w:val="fr-FR"/>
              </w:rPr>
              <w:t>Quality</w:t>
            </w:r>
            <w:proofErr w:type="spellEnd"/>
            <w:r w:rsidRPr="00E6258F">
              <w:rPr>
                <w:i/>
                <w:lang w:val="fr-FR"/>
              </w:rPr>
              <w:t xml:space="preserve"> </w:t>
            </w:r>
            <w:proofErr w:type="spellStart"/>
            <w:r w:rsidRPr="00E6258F">
              <w:rPr>
                <w:i/>
                <w:lang w:val="fr-FR"/>
              </w:rPr>
              <w:t>Organization</w:t>
            </w:r>
            <w:proofErr w:type="spellEnd"/>
            <w:r w:rsidRPr="00E6258F">
              <w:rPr>
                <w:lang w:val="fr-FR"/>
              </w:rPr>
              <w:t xml:space="preserve"> - </w:t>
            </w:r>
            <w:proofErr w:type="spellStart"/>
            <w:r w:rsidRPr="00E6258F">
              <w:rPr>
                <w:lang w:val="fr-FR"/>
              </w:rPr>
              <w:t>SASO</w:t>
            </w:r>
            <w:proofErr w:type="spellEnd"/>
            <w:r w:rsidRPr="00E6258F">
              <w:rPr>
                <w:lang w:val="fr-FR"/>
              </w:rPr>
              <w:t xml:space="preserve"> (Organisation saoudienne de la normalisation, de la métrologie et de la qualité)</w:t>
            </w:r>
            <w:bookmarkEnd w:id="1"/>
          </w:p>
          <w:p w:rsidR="00FF3A91" w:rsidRPr="00E6258F" w:rsidRDefault="00FF3A91" w:rsidP="00FF3A91">
            <w:pPr>
              <w:spacing w:after="120"/>
              <w:rPr>
                <w:lang w:val="fr-FR"/>
              </w:rPr>
            </w:pPr>
            <w:r w:rsidRPr="00E6258F">
              <w:rPr>
                <w:b/>
                <w:lang w:val="fr-FR"/>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E6258F">
              <w:rPr>
                <w:b/>
                <w:lang w:val="fr-FR"/>
              </w:rPr>
              <w:t>susmentionné:</w:t>
            </w:r>
            <w:proofErr w:type="gramEnd"/>
            <w:r w:rsidRPr="00E6258F">
              <w:rPr>
                <w:lang w:val="fr-FR"/>
              </w:rPr>
              <w:t xml:space="preserve"> </w:t>
            </w:r>
          </w:p>
          <w:p w:rsidR="00FF3A91" w:rsidRPr="00E6258F" w:rsidRDefault="00FF3A91" w:rsidP="00FF3A91">
            <w:pPr>
              <w:rPr>
                <w:lang w:val="fr-FR"/>
              </w:rPr>
            </w:pPr>
            <w:proofErr w:type="spellStart"/>
            <w:r w:rsidRPr="00E6258F">
              <w:rPr>
                <w:i/>
                <w:lang w:val="fr-FR"/>
              </w:rPr>
              <w:t>Saudi</w:t>
            </w:r>
            <w:proofErr w:type="spellEnd"/>
            <w:r w:rsidRPr="00E6258F">
              <w:rPr>
                <w:i/>
                <w:lang w:val="fr-FR"/>
              </w:rPr>
              <w:t xml:space="preserve"> Standards, </w:t>
            </w:r>
            <w:proofErr w:type="spellStart"/>
            <w:r w:rsidRPr="00E6258F">
              <w:rPr>
                <w:i/>
                <w:lang w:val="fr-FR"/>
              </w:rPr>
              <w:t>Metrology</w:t>
            </w:r>
            <w:proofErr w:type="spellEnd"/>
            <w:r w:rsidRPr="00E6258F">
              <w:rPr>
                <w:i/>
                <w:lang w:val="fr-FR"/>
              </w:rPr>
              <w:t xml:space="preserve"> and </w:t>
            </w:r>
            <w:proofErr w:type="spellStart"/>
            <w:r w:rsidRPr="00E6258F">
              <w:rPr>
                <w:i/>
                <w:lang w:val="fr-FR"/>
              </w:rPr>
              <w:t>Quality</w:t>
            </w:r>
            <w:proofErr w:type="spellEnd"/>
            <w:r w:rsidRPr="00E6258F">
              <w:rPr>
                <w:i/>
                <w:lang w:val="fr-FR"/>
              </w:rPr>
              <w:t xml:space="preserve"> </w:t>
            </w:r>
            <w:proofErr w:type="spellStart"/>
            <w:r w:rsidRPr="00E6258F">
              <w:rPr>
                <w:i/>
                <w:lang w:val="fr-FR"/>
              </w:rPr>
              <w:t>Organization</w:t>
            </w:r>
            <w:proofErr w:type="spellEnd"/>
            <w:r w:rsidRPr="00E6258F">
              <w:rPr>
                <w:lang w:val="fr-FR"/>
              </w:rPr>
              <w:t xml:space="preserve"> - </w:t>
            </w:r>
            <w:proofErr w:type="spellStart"/>
            <w:r w:rsidRPr="00E6258F">
              <w:rPr>
                <w:lang w:val="fr-FR"/>
              </w:rPr>
              <w:t>SASO</w:t>
            </w:r>
            <w:proofErr w:type="spellEnd"/>
            <w:r w:rsidRPr="00E6258F">
              <w:rPr>
                <w:lang w:val="fr-FR"/>
              </w:rPr>
              <w:t xml:space="preserve"> (Organisation saoudienne de la normalisation, de la métrologie et de la qualité)</w:t>
            </w:r>
          </w:p>
          <w:p w:rsidR="00FF3A91" w:rsidRPr="00E6258F" w:rsidRDefault="00FF3A91" w:rsidP="00FF3A91">
            <w:pPr>
              <w:rPr>
                <w:lang w:val="fr-FR"/>
              </w:rPr>
            </w:pPr>
            <w:r w:rsidRPr="00E6258F">
              <w:rPr>
                <w:lang w:val="fr-FR"/>
              </w:rPr>
              <w:t xml:space="preserve">P.O. </w:t>
            </w:r>
            <w:proofErr w:type="gramStart"/>
            <w:r w:rsidRPr="00E6258F">
              <w:rPr>
                <w:lang w:val="fr-FR"/>
              </w:rPr>
              <w:t>BOX:</w:t>
            </w:r>
            <w:proofErr w:type="gramEnd"/>
            <w:r w:rsidRPr="00E6258F">
              <w:rPr>
                <w:lang w:val="fr-FR"/>
              </w:rPr>
              <w:t xml:space="preserve"> 3437 Riyadh 11471</w:t>
            </w:r>
          </w:p>
          <w:p w:rsidR="009F6B79" w:rsidRPr="00E6258F" w:rsidRDefault="00FF3A91" w:rsidP="00FF3A91">
            <w:pPr>
              <w:rPr>
                <w:lang w:val="fr-FR"/>
              </w:rPr>
            </w:pPr>
            <w:proofErr w:type="gramStart"/>
            <w:r w:rsidRPr="00E6258F">
              <w:rPr>
                <w:lang w:val="fr-FR"/>
              </w:rPr>
              <w:t>Téléphone</w:t>
            </w:r>
            <w:bookmarkStart w:id="2" w:name="sps4a"/>
            <w:r w:rsidR="000E67AE" w:rsidRPr="00E6258F">
              <w:rPr>
                <w:lang w:val="fr-FR"/>
              </w:rPr>
              <w:t>:</w:t>
            </w:r>
            <w:proofErr w:type="gramEnd"/>
            <w:r w:rsidR="000E67AE" w:rsidRPr="00E6258F">
              <w:rPr>
                <w:lang w:val="fr-FR"/>
              </w:rPr>
              <w:t xml:space="preserve"> +966(11)2529999 </w:t>
            </w:r>
            <w:proofErr w:type="spellStart"/>
            <w:r w:rsidRPr="00E6258F">
              <w:rPr>
                <w:lang w:val="fr-FR"/>
              </w:rPr>
              <w:t>in</w:t>
            </w:r>
            <w:r w:rsidR="000E67AE" w:rsidRPr="00E6258F">
              <w:rPr>
                <w:lang w:val="fr-FR"/>
              </w:rPr>
              <w:t>t</w:t>
            </w:r>
            <w:proofErr w:type="spellEnd"/>
            <w:r w:rsidRPr="00E6258F">
              <w:rPr>
                <w:lang w:val="fr-FR"/>
              </w:rPr>
              <w:t>.</w:t>
            </w:r>
            <w:r w:rsidR="000E67AE" w:rsidRPr="00E6258F">
              <w:rPr>
                <w:lang w:val="fr-FR"/>
              </w:rPr>
              <w:t>: (9070-9061)</w:t>
            </w:r>
          </w:p>
          <w:p w:rsidR="009F6B79" w:rsidRPr="00E6258F" w:rsidRDefault="000E67AE" w:rsidP="00AA646C">
            <w:pPr>
              <w:rPr>
                <w:lang w:val="fr-FR"/>
              </w:rPr>
            </w:pPr>
            <w:r w:rsidRPr="00E6258F">
              <w:rPr>
                <w:lang w:val="fr-FR"/>
              </w:rPr>
              <w:t>Fax +966(11)4520193</w:t>
            </w:r>
          </w:p>
          <w:p w:rsidR="009F6B79" w:rsidRPr="00E6258F" w:rsidRDefault="00FF3A91" w:rsidP="00AA646C">
            <w:pPr>
              <w:rPr>
                <w:lang w:val="fr-FR"/>
              </w:rPr>
            </w:pPr>
            <w:r w:rsidRPr="00E6258F">
              <w:rPr>
                <w:lang w:val="fr-FR"/>
              </w:rPr>
              <w:t>Courrier électronique</w:t>
            </w:r>
            <w:r w:rsidR="000E67AE" w:rsidRPr="00E6258F">
              <w:rPr>
                <w:lang w:val="fr-FR"/>
              </w:rPr>
              <w:t xml:space="preserve">: </w:t>
            </w:r>
            <w:hyperlink r:id="rId7" w:history="1">
              <w:r w:rsidR="000E67AE" w:rsidRPr="00E6258F">
                <w:rPr>
                  <w:rStyle w:val="Hyperlink"/>
                  <w:lang w:val="fr-FR"/>
                </w:rPr>
                <w:t>enquirypoint@saso.gov.sa</w:t>
              </w:r>
            </w:hyperlink>
            <w:r w:rsidR="000E67AE" w:rsidRPr="00E6258F">
              <w:rPr>
                <w:lang w:val="fr-FR"/>
              </w:rPr>
              <w:t xml:space="preserve"> </w:t>
            </w:r>
          </w:p>
          <w:p w:rsidR="009F6B79" w:rsidRPr="00E6258F" w:rsidRDefault="00B021F6" w:rsidP="00AA646C">
            <w:pPr>
              <w:spacing w:after="120"/>
              <w:rPr>
                <w:lang w:val="fr-FR"/>
              </w:rPr>
            </w:pPr>
            <w:hyperlink r:id="rId8" w:history="1">
              <w:r w:rsidR="000E67AE" w:rsidRPr="00E6258F">
                <w:rPr>
                  <w:color w:val="0000FF"/>
                  <w:u w:val="single"/>
                  <w:lang w:val="fr-FR"/>
                </w:rPr>
                <w:t>http://www.saso.gov.sa</w:t>
              </w:r>
            </w:hyperlink>
            <w:bookmarkEnd w:id="2"/>
          </w:p>
        </w:tc>
      </w:tr>
      <w:tr w:rsidR="00E6258F" w:rsidRPr="00B021F6" w:rsidTr="00FF3A91">
        <w:tc>
          <w:tcPr>
            <w:tcW w:w="698" w:type="dxa"/>
            <w:tcBorders>
              <w:top w:val="single" w:sz="6" w:space="0" w:color="auto"/>
              <w:bottom w:val="single" w:sz="6" w:space="0" w:color="auto"/>
            </w:tcBorders>
            <w:shd w:val="clear" w:color="auto" w:fill="auto"/>
          </w:tcPr>
          <w:p w:rsidR="00E6258F" w:rsidRPr="00E6258F" w:rsidRDefault="00E6258F" w:rsidP="00E6258F">
            <w:pPr>
              <w:spacing w:before="120" w:after="120"/>
              <w:jc w:val="left"/>
              <w:rPr>
                <w:b/>
                <w:lang w:val="fr-FR"/>
              </w:rPr>
            </w:pPr>
            <w:r w:rsidRPr="00E6258F">
              <w:rPr>
                <w:b/>
                <w:lang w:val="fr-FR"/>
              </w:rPr>
              <w:t>3.</w:t>
            </w:r>
          </w:p>
        </w:tc>
        <w:tc>
          <w:tcPr>
            <w:tcW w:w="8282" w:type="dxa"/>
            <w:tcBorders>
              <w:top w:val="single" w:sz="6" w:space="0" w:color="auto"/>
              <w:bottom w:val="single" w:sz="6" w:space="0" w:color="auto"/>
            </w:tcBorders>
            <w:shd w:val="clear" w:color="auto" w:fill="auto"/>
          </w:tcPr>
          <w:p w:rsidR="00E6258F" w:rsidRPr="00E6258F" w:rsidRDefault="00E6258F" w:rsidP="00E6258F">
            <w:pPr>
              <w:spacing w:before="120" w:after="120"/>
              <w:rPr>
                <w:b/>
                <w:lang w:val="fr-FR"/>
              </w:rPr>
            </w:pPr>
            <w:r w:rsidRPr="00E6258F">
              <w:rPr>
                <w:b/>
                <w:lang w:val="fr-FR"/>
              </w:rPr>
              <w:t xml:space="preserve">Notification au titre de l'article 2.9.2 [X], 2.10.1 [ ], 5.6.2 [ ], 5.7.1 [ ], autres: </w:t>
            </w:r>
          </w:p>
        </w:tc>
      </w:tr>
      <w:tr w:rsidR="009F6B79" w:rsidRPr="00B021F6" w:rsidTr="00FF3A91">
        <w:tc>
          <w:tcPr>
            <w:tcW w:w="698" w:type="dxa"/>
            <w:tcBorders>
              <w:top w:val="single" w:sz="6" w:space="0" w:color="auto"/>
              <w:bottom w:val="single" w:sz="6" w:space="0" w:color="auto"/>
            </w:tcBorders>
            <w:shd w:val="clear" w:color="auto" w:fill="auto"/>
          </w:tcPr>
          <w:p w:rsidR="00F85C99" w:rsidRPr="00E6258F" w:rsidRDefault="000E67AE" w:rsidP="002F6A28">
            <w:pPr>
              <w:spacing w:before="120" w:after="120"/>
              <w:jc w:val="left"/>
              <w:rPr>
                <w:lang w:val="fr-FR"/>
              </w:rPr>
            </w:pPr>
            <w:r w:rsidRPr="00E6258F">
              <w:rPr>
                <w:b/>
                <w:lang w:val="fr-FR"/>
              </w:rPr>
              <w:t>4.</w:t>
            </w:r>
          </w:p>
        </w:tc>
        <w:tc>
          <w:tcPr>
            <w:tcW w:w="8282" w:type="dxa"/>
            <w:tcBorders>
              <w:top w:val="single" w:sz="6" w:space="0" w:color="auto"/>
              <w:bottom w:val="single" w:sz="6" w:space="0" w:color="auto"/>
            </w:tcBorders>
            <w:shd w:val="clear" w:color="auto" w:fill="auto"/>
          </w:tcPr>
          <w:p w:rsidR="00F85C99" w:rsidRPr="00E6258F" w:rsidRDefault="00E6258F" w:rsidP="002F6A28">
            <w:pPr>
              <w:spacing w:before="120" w:after="120"/>
              <w:rPr>
                <w:lang w:val="fr-FR"/>
              </w:rPr>
            </w:pPr>
            <w:r w:rsidRPr="00E6258F">
              <w:rPr>
                <w:b/>
                <w:lang w:val="fr-FR"/>
              </w:rPr>
              <w:t>Produits visés (le cas échéant, position du SH ou de la NCCD, sinon position du tarif douanier national. Les numéros de l'ICS peuvent aussi être indiqués, le cas échéant)</w:t>
            </w:r>
            <w:r w:rsidR="000E67AE" w:rsidRPr="00E6258F">
              <w:rPr>
                <w:b/>
                <w:lang w:val="fr-FR"/>
              </w:rPr>
              <w:t>:</w:t>
            </w:r>
            <w:r w:rsidR="00EE3A11" w:rsidRPr="00E6258F">
              <w:rPr>
                <w:lang w:val="fr-FR"/>
              </w:rPr>
              <w:t xml:space="preserve"> </w:t>
            </w:r>
            <w:bookmarkStart w:id="3" w:name="sps3a"/>
            <w:r w:rsidR="00805672" w:rsidRPr="00805672">
              <w:rPr>
                <w:bCs/>
                <w:lang w:val="fr-FR"/>
              </w:rPr>
              <w:t>P</w:t>
            </w:r>
            <w:r w:rsidR="00805672">
              <w:rPr>
                <w:bCs/>
                <w:lang w:val="fr-FR"/>
              </w:rPr>
              <w:t>roduits alimentaires en général</w:t>
            </w:r>
            <w:r w:rsidR="000E67AE" w:rsidRPr="00E6258F">
              <w:rPr>
                <w:bCs/>
                <w:lang w:val="fr-FR"/>
              </w:rPr>
              <w:t xml:space="preserve"> (ICS 67.040)</w:t>
            </w:r>
            <w:bookmarkEnd w:id="3"/>
          </w:p>
        </w:tc>
      </w:tr>
      <w:tr w:rsidR="009F6B79" w:rsidRPr="00B021F6" w:rsidTr="00FF3A91">
        <w:tc>
          <w:tcPr>
            <w:tcW w:w="698" w:type="dxa"/>
            <w:tcBorders>
              <w:top w:val="single" w:sz="6" w:space="0" w:color="auto"/>
              <w:bottom w:val="single" w:sz="6" w:space="0" w:color="auto"/>
            </w:tcBorders>
            <w:shd w:val="clear" w:color="auto" w:fill="auto"/>
          </w:tcPr>
          <w:p w:rsidR="00F85C99" w:rsidRPr="00E6258F" w:rsidRDefault="000E67AE" w:rsidP="002F6A28">
            <w:pPr>
              <w:spacing w:before="120" w:after="120"/>
              <w:jc w:val="left"/>
              <w:rPr>
                <w:lang w:val="fr-FR"/>
              </w:rPr>
            </w:pPr>
            <w:r w:rsidRPr="00E6258F">
              <w:rPr>
                <w:b/>
                <w:lang w:val="fr-FR"/>
              </w:rPr>
              <w:t>5.</w:t>
            </w:r>
          </w:p>
        </w:tc>
        <w:tc>
          <w:tcPr>
            <w:tcW w:w="8282" w:type="dxa"/>
            <w:tcBorders>
              <w:top w:val="single" w:sz="6" w:space="0" w:color="auto"/>
              <w:bottom w:val="single" w:sz="6" w:space="0" w:color="auto"/>
            </w:tcBorders>
            <w:shd w:val="clear" w:color="auto" w:fill="auto"/>
          </w:tcPr>
          <w:p w:rsidR="00F85C99" w:rsidRPr="00E6258F" w:rsidRDefault="00E6258F" w:rsidP="002F6A28">
            <w:pPr>
              <w:spacing w:before="120" w:after="120"/>
              <w:rPr>
                <w:lang w:val="fr-FR"/>
              </w:rPr>
            </w:pPr>
            <w:bookmarkStart w:id="4" w:name="X_TBT_Reg_5A"/>
            <w:r w:rsidRPr="00E6258F">
              <w:rPr>
                <w:b/>
                <w:lang w:val="fr-FR"/>
              </w:rPr>
              <w:t>Intitulé, nombre de pages et langue(s) du texte notifié</w:t>
            </w:r>
            <w:bookmarkEnd w:id="4"/>
            <w:r w:rsidRPr="00E6258F">
              <w:rPr>
                <w:b/>
                <w:lang w:val="fr-FR"/>
              </w:rPr>
              <w:t> :</w:t>
            </w:r>
            <w:r w:rsidR="00EE3A11" w:rsidRPr="00E6258F">
              <w:rPr>
                <w:lang w:val="fr-FR"/>
              </w:rPr>
              <w:t xml:space="preserve"> </w:t>
            </w:r>
            <w:bookmarkStart w:id="5" w:name="sps5a"/>
            <w:r w:rsidR="000E67AE" w:rsidRPr="0033599C">
              <w:rPr>
                <w:i/>
                <w:lang w:val="fr-FR"/>
              </w:rPr>
              <w:t xml:space="preserve">Traffic light </w:t>
            </w:r>
            <w:proofErr w:type="spellStart"/>
            <w:r w:rsidR="000E67AE" w:rsidRPr="0033599C">
              <w:rPr>
                <w:i/>
                <w:lang w:val="fr-FR"/>
              </w:rPr>
              <w:t>labeling</w:t>
            </w:r>
            <w:bookmarkStart w:id="6" w:name="sps5c"/>
            <w:bookmarkStart w:id="7" w:name="sps5b"/>
            <w:bookmarkEnd w:id="5"/>
            <w:bookmarkEnd w:id="6"/>
            <w:bookmarkEnd w:id="7"/>
            <w:proofErr w:type="spellEnd"/>
            <w:r w:rsidR="00805672">
              <w:rPr>
                <w:lang w:val="fr-FR"/>
              </w:rPr>
              <w:t xml:space="preserve"> (Étiquetage sous forme de feux tricolores)</w:t>
            </w:r>
          </w:p>
        </w:tc>
      </w:tr>
      <w:tr w:rsidR="009F6B79" w:rsidRPr="00B021F6" w:rsidTr="00FF3A91">
        <w:tc>
          <w:tcPr>
            <w:tcW w:w="698" w:type="dxa"/>
            <w:tcBorders>
              <w:top w:val="single" w:sz="6" w:space="0" w:color="auto"/>
              <w:bottom w:val="single" w:sz="6" w:space="0" w:color="auto"/>
            </w:tcBorders>
            <w:shd w:val="clear" w:color="auto" w:fill="auto"/>
          </w:tcPr>
          <w:p w:rsidR="00F85C99" w:rsidRPr="00E6258F" w:rsidRDefault="000E67AE" w:rsidP="002F6A28">
            <w:pPr>
              <w:spacing w:before="120" w:after="120"/>
              <w:jc w:val="left"/>
              <w:rPr>
                <w:b/>
                <w:lang w:val="fr-FR"/>
              </w:rPr>
            </w:pPr>
            <w:r w:rsidRPr="00E6258F">
              <w:rPr>
                <w:b/>
                <w:lang w:val="fr-FR"/>
              </w:rPr>
              <w:t>6.</w:t>
            </w:r>
          </w:p>
        </w:tc>
        <w:tc>
          <w:tcPr>
            <w:tcW w:w="8282" w:type="dxa"/>
            <w:tcBorders>
              <w:top w:val="single" w:sz="6" w:space="0" w:color="auto"/>
              <w:bottom w:val="single" w:sz="6" w:space="0" w:color="auto"/>
            </w:tcBorders>
            <w:shd w:val="clear" w:color="auto" w:fill="auto"/>
          </w:tcPr>
          <w:p w:rsidR="00F85C99" w:rsidRPr="00E6258F" w:rsidRDefault="00E6258F" w:rsidP="00805672">
            <w:pPr>
              <w:spacing w:before="120" w:after="120"/>
              <w:rPr>
                <w:b/>
                <w:lang w:val="fr-FR"/>
              </w:rPr>
            </w:pPr>
            <w:proofErr w:type="gramStart"/>
            <w:r w:rsidRPr="00E6258F">
              <w:rPr>
                <w:b/>
                <w:lang w:val="fr-FR"/>
              </w:rPr>
              <w:t>Teneur</w:t>
            </w:r>
            <w:r w:rsidR="000E67AE" w:rsidRPr="00E6258F">
              <w:rPr>
                <w:b/>
                <w:lang w:val="fr-FR"/>
              </w:rPr>
              <w:t>:</w:t>
            </w:r>
            <w:proofErr w:type="gramEnd"/>
            <w:r w:rsidR="00FE448B" w:rsidRPr="00E6258F">
              <w:rPr>
                <w:lang w:val="fr-FR"/>
              </w:rPr>
              <w:t xml:space="preserve"> </w:t>
            </w:r>
            <w:r w:rsidR="00805672">
              <w:rPr>
                <w:lang w:val="fr-FR"/>
              </w:rPr>
              <w:t>Le règlement technique notifié porte sur les procédures d’étiquetage nutritionnel sous forme de feux tricolores des pro</w:t>
            </w:r>
            <w:r w:rsidR="0033599C">
              <w:rPr>
                <w:lang w:val="fr-FR"/>
              </w:rPr>
              <w:t>duits alimentaires conditionnés. Il s’applique à tous les produits alimentaires conditionnés,</w:t>
            </w:r>
            <w:r w:rsidR="00805672">
              <w:rPr>
                <w:lang w:val="fr-FR"/>
              </w:rPr>
              <w:t xml:space="preserve"> à l’exception des aliments exclus des prescriptions en matière d’étiquetage nutritionnel figurant à l’article 8</w:t>
            </w:r>
            <w:r w:rsidR="000E67AE" w:rsidRPr="00E6258F">
              <w:rPr>
                <w:lang w:val="fr-FR" w:eastAsia="en-GB"/>
              </w:rPr>
              <w:t>.</w:t>
            </w:r>
          </w:p>
        </w:tc>
      </w:tr>
      <w:tr w:rsidR="009F6B79" w:rsidRPr="00B021F6" w:rsidTr="00FF3A91">
        <w:tc>
          <w:tcPr>
            <w:tcW w:w="698" w:type="dxa"/>
            <w:tcBorders>
              <w:top w:val="single" w:sz="6" w:space="0" w:color="auto"/>
              <w:bottom w:val="single" w:sz="6" w:space="0" w:color="auto"/>
            </w:tcBorders>
            <w:shd w:val="clear" w:color="auto" w:fill="auto"/>
          </w:tcPr>
          <w:p w:rsidR="00F85C99" w:rsidRPr="00E6258F" w:rsidRDefault="000E67AE" w:rsidP="002F6A28">
            <w:pPr>
              <w:spacing w:before="120" w:after="120"/>
              <w:jc w:val="left"/>
              <w:rPr>
                <w:b/>
                <w:lang w:val="fr-FR"/>
              </w:rPr>
            </w:pPr>
            <w:r w:rsidRPr="00E6258F">
              <w:rPr>
                <w:b/>
                <w:lang w:val="fr-FR"/>
              </w:rPr>
              <w:t>7.</w:t>
            </w:r>
          </w:p>
        </w:tc>
        <w:tc>
          <w:tcPr>
            <w:tcW w:w="8282" w:type="dxa"/>
            <w:tcBorders>
              <w:top w:val="single" w:sz="6" w:space="0" w:color="auto"/>
              <w:bottom w:val="single" w:sz="6" w:space="0" w:color="auto"/>
            </w:tcBorders>
            <w:shd w:val="clear" w:color="auto" w:fill="auto"/>
          </w:tcPr>
          <w:p w:rsidR="00F85C99" w:rsidRPr="00E6258F" w:rsidRDefault="00E6258F" w:rsidP="001E0571">
            <w:pPr>
              <w:spacing w:before="120" w:after="120"/>
              <w:rPr>
                <w:b/>
                <w:lang w:val="fr-FR"/>
              </w:rPr>
            </w:pPr>
            <w:r w:rsidRPr="00E6258F">
              <w:rPr>
                <w:b/>
                <w:lang w:val="fr-FR"/>
              </w:rPr>
              <w:t>Objectif et justification, y compris la nature des problèmes urgents, le cas échéant</w:t>
            </w:r>
            <w:r w:rsidR="000E67AE" w:rsidRPr="00E6258F">
              <w:rPr>
                <w:b/>
                <w:lang w:val="fr-FR"/>
              </w:rPr>
              <w:t>:</w:t>
            </w:r>
            <w:r w:rsidR="00EE3A11" w:rsidRPr="00E6258F">
              <w:rPr>
                <w:lang w:val="fr-FR"/>
              </w:rPr>
              <w:t xml:space="preserve"> </w:t>
            </w:r>
            <w:bookmarkStart w:id="8" w:name="sps7f"/>
            <w:r w:rsidR="00805672">
              <w:rPr>
                <w:lang w:val="fr-FR" w:eastAsia="en-GB"/>
              </w:rPr>
              <w:t>Santé publique</w:t>
            </w:r>
            <w:r w:rsidR="000E67AE" w:rsidRPr="00E6258F">
              <w:rPr>
                <w:lang w:val="fr-FR"/>
              </w:rPr>
              <w:t xml:space="preserve">; </w:t>
            </w:r>
            <w:r w:rsidR="001E0571">
              <w:rPr>
                <w:lang w:val="fr-FR"/>
              </w:rPr>
              <w:t>i</w:t>
            </w:r>
            <w:r w:rsidR="000E67AE" w:rsidRPr="00E6258F">
              <w:rPr>
                <w:lang w:val="fr-FR"/>
              </w:rPr>
              <w:t>nformation</w:t>
            </w:r>
            <w:r w:rsidR="00805672">
              <w:rPr>
                <w:lang w:val="fr-FR"/>
              </w:rPr>
              <w:t xml:space="preserve"> des consommateurs</w:t>
            </w:r>
            <w:bookmarkEnd w:id="8"/>
            <w:r w:rsidR="00805672">
              <w:rPr>
                <w:lang w:val="fr-FR"/>
              </w:rPr>
              <w:t> ; étiquetage</w:t>
            </w:r>
          </w:p>
        </w:tc>
      </w:tr>
      <w:tr w:rsidR="009F6B79" w:rsidRPr="00E6258F" w:rsidTr="00FF3A91">
        <w:tc>
          <w:tcPr>
            <w:tcW w:w="698" w:type="dxa"/>
            <w:tcBorders>
              <w:top w:val="single" w:sz="6" w:space="0" w:color="auto"/>
              <w:bottom w:val="single" w:sz="6" w:space="0" w:color="auto"/>
            </w:tcBorders>
            <w:shd w:val="clear" w:color="auto" w:fill="auto"/>
          </w:tcPr>
          <w:p w:rsidR="00F85C99" w:rsidRPr="00E6258F" w:rsidRDefault="000E67AE" w:rsidP="002F6A28">
            <w:pPr>
              <w:spacing w:before="120" w:after="120"/>
              <w:jc w:val="left"/>
              <w:rPr>
                <w:b/>
                <w:lang w:val="fr-FR"/>
              </w:rPr>
            </w:pPr>
            <w:r w:rsidRPr="00E6258F">
              <w:rPr>
                <w:b/>
                <w:lang w:val="fr-FR"/>
              </w:rPr>
              <w:t>8.</w:t>
            </w:r>
          </w:p>
        </w:tc>
        <w:tc>
          <w:tcPr>
            <w:tcW w:w="8282" w:type="dxa"/>
            <w:tcBorders>
              <w:top w:val="single" w:sz="6" w:space="0" w:color="auto"/>
              <w:bottom w:val="single" w:sz="6" w:space="0" w:color="auto"/>
            </w:tcBorders>
            <w:shd w:val="clear" w:color="auto" w:fill="auto"/>
          </w:tcPr>
          <w:p w:rsidR="00072B36" w:rsidRPr="00E6258F" w:rsidRDefault="00E6258F" w:rsidP="008953C4">
            <w:pPr>
              <w:spacing w:before="120" w:after="120"/>
              <w:rPr>
                <w:lang w:val="fr-FR"/>
              </w:rPr>
            </w:pPr>
            <w:r w:rsidRPr="00E6258F">
              <w:rPr>
                <w:b/>
                <w:lang w:val="fr-FR"/>
              </w:rPr>
              <w:t xml:space="preserve">Documents </w:t>
            </w:r>
            <w:proofErr w:type="gramStart"/>
            <w:r w:rsidRPr="00E6258F">
              <w:rPr>
                <w:b/>
                <w:lang w:val="fr-FR"/>
              </w:rPr>
              <w:t>pertinents</w:t>
            </w:r>
            <w:r w:rsidR="000E67AE" w:rsidRPr="00E6258F">
              <w:rPr>
                <w:b/>
                <w:lang w:val="fr-FR"/>
              </w:rPr>
              <w:t>:</w:t>
            </w:r>
            <w:proofErr w:type="gramEnd"/>
            <w:r w:rsidR="00EE3A11" w:rsidRPr="00E6258F">
              <w:rPr>
                <w:lang w:val="fr-FR"/>
              </w:rPr>
              <w:t xml:space="preserve"> </w:t>
            </w:r>
          </w:p>
          <w:p w:rsidR="009F6B79" w:rsidRPr="00B021F6" w:rsidRDefault="000E67AE" w:rsidP="008953C4">
            <w:pPr>
              <w:numPr>
                <w:ilvl w:val="0"/>
                <w:numId w:val="16"/>
              </w:numPr>
              <w:spacing w:before="120" w:after="120"/>
              <w:jc w:val="left"/>
              <w:rPr>
                <w:bCs/>
                <w:lang w:val="en-US"/>
              </w:rPr>
            </w:pPr>
            <w:r w:rsidRPr="00B021F6">
              <w:rPr>
                <w:bCs/>
                <w:lang w:val="en-US" w:eastAsia="en-GB"/>
              </w:rPr>
              <w:t>Guide to creating a front of pack (FoP) nutrition label for pre-packed products sold through retail outlets, UK Health Ministers, 2016.</w:t>
            </w:r>
          </w:p>
        </w:tc>
      </w:tr>
      <w:tr w:rsidR="009F6B79" w:rsidRPr="00B021F6" w:rsidTr="00FF3A91">
        <w:trPr>
          <w:cantSplit/>
        </w:trPr>
        <w:tc>
          <w:tcPr>
            <w:tcW w:w="698" w:type="dxa"/>
            <w:tcBorders>
              <w:top w:val="single" w:sz="6" w:space="0" w:color="auto"/>
              <w:bottom w:val="single" w:sz="6" w:space="0" w:color="auto"/>
            </w:tcBorders>
            <w:shd w:val="clear" w:color="auto" w:fill="auto"/>
          </w:tcPr>
          <w:p w:rsidR="00EE3A11" w:rsidRPr="00E6258F" w:rsidRDefault="000E67AE" w:rsidP="002F6A28">
            <w:pPr>
              <w:spacing w:before="120" w:after="120"/>
              <w:jc w:val="left"/>
              <w:rPr>
                <w:b/>
                <w:lang w:val="fr-FR"/>
              </w:rPr>
            </w:pPr>
            <w:r w:rsidRPr="00E6258F">
              <w:rPr>
                <w:b/>
                <w:lang w:val="fr-FR"/>
              </w:rPr>
              <w:t>9.</w:t>
            </w:r>
          </w:p>
        </w:tc>
        <w:tc>
          <w:tcPr>
            <w:tcW w:w="8282" w:type="dxa"/>
            <w:tcBorders>
              <w:top w:val="single" w:sz="6" w:space="0" w:color="auto"/>
              <w:bottom w:val="single" w:sz="6" w:space="0" w:color="auto"/>
            </w:tcBorders>
            <w:shd w:val="clear" w:color="auto" w:fill="auto"/>
          </w:tcPr>
          <w:p w:rsidR="00EE3A11" w:rsidRPr="00E6258F" w:rsidRDefault="00E6258F" w:rsidP="008953C4">
            <w:pPr>
              <w:spacing w:before="120" w:after="120"/>
              <w:rPr>
                <w:lang w:val="fr-FR"/>
              </w:rPr>
            </w:pPr>
            <w:r w:rsidRPr="00E6258F">
              <w:rPr>
                <w:b/>
                <w:lang w:val="fr-FR"/>
              </w:rPr>
              <w:t xml:space="preserve">Date projetée pour </w:t>
            </w:r>
            <w:proofErr w:type="gramStart"/>
            <w:r w:rsidRPr="00E6258F">
              <w:rPr>
                <w:b/>
                <w:lang w:val="fr-FR"/>
              </w:rPr>
              <w:t>l'adoption:</w:t>
            </w:r>
            <w:proofErr w:type="gramEnd"/>
            <w:r w:rsidRPr="00E6258F">
              <w:rPr>
                <w:lang w:val="fr-FR"/>
              </w:rPr>
              <w:t xml:space="preserve"> </w:t>
            </w:r>
            <w:bookmarkStart w:id="9" w:name="sps10a"/>
            <w:bookmarkEnd w:id="9"/>
            <w:r w:rsidRPr="00E6258F">
              <w:rPr>
                <w:lang w:val="fr-FR"/>
              </w:rPr>
              <w:t>à déterminer</w:t>
            </w:r>
          </w:p>
          <w:p w:rsidR="00EE3A11" w:rsidRPr="00E6258F" w:rsidRDefault="00E6258F" w:rsidP="008953C4">
            <w:pPr>
              <w:spacing w:after="120"/>
              <w:rPr>
                <w:lang w:val="fr-FR"/>
              </w:rPr>
            </w:pPr>
            <w:r w:rsidRPr="00E6258F">
              <w:rPr>
                <w:b/>
                <w:lang w:val="fr-FR"/>
              </w:rPr>
              <w:t>Date projetée pour l'entrée en vigueur</w:t>
            </w:r>
            <w:r w:rsidR="000E67AE" w:rsidRPr="00E6258F">
              <w:rPr>
                <w:b/>
                <w:lang w:val="fr-FR"/>
              </w:rPr>
              <w:t>:</w:t>
            </w:r>
            <w:r w:rsidR="000E67AE" w:rsidRPr="00E6258F">
              <w:rPr>
                <w:lang w:val="fr-FR"/>
              </w:rPr>
              <w:t xml:space="preserve"> </w:t>
            </w:r>
            <w:bookmarkStart w:id="10" w:name="sps11a"/>
            <w:bookmarkEnd w:id="10"/>
            <w:r w:rsidR="00805672" w:rsidRPr="00805672">
              <w:rPr>
                <w:lang w:val="fr-FR"/>
              </w:rPr>
              <w:t>Six mois après publication au Journal officiel</w:t>
            </w:r>
          </w:p>
        </w:tc>
      </w:tr>
      <w:tr w:rsidR="00E6258F" w:rsidRPr="00B021F6" w:rsidTr="00FF3A91">
        <w:tc>
          <w:tcPr>
            <w:tcW w:w="698" w:type="dxa"/>
            <w:tcBorders>
              <w:top w:val="single" w:sz="6" w:space="0" w:color="auto"/>
              <w:bottom w:val="single" w:sz="6" w:space="0" w:color="auto"/>
            </w:tcBorders>
            <w:shd w:val="clear" w:color="auto" w:fill="auto"/>
          </w:tcPr>
          <w:p w:rsidR="00E6258F" w:rsidRPr="00E6258F" w:rsidRDefault="00E6258F" w:rsidP="00E6258F">
            <w:pPr>
              <w:spacing w:before="120" w:after="120"/>
              <w:jc w:val="left"/>
              <w:rPr>
                <w:b/>
                <w:lang w:val="fr-FR"/>
              </w:rPr>
            </w:pPr>
            <w:r w:rsidRPr="00E6258F">
              <w:rPr>
                <w:b/>
                <w:lang w:val="fr-FR"/>
              </w:rPr>
              <w:lastRenderedPageBreak/>
              <w:t>10.</w:t>
            </w:r>
          </w:p>
        </w:tc>
        <w:tc>
          <w:tcPr>
            <w:tcW w:w="8282" w:type="dxa"/>
            <w:tcBorders>
              <w:top w:val="single" w:sz="6" w:space="0" w:color="auto"/>
              <w:bottom w:val="single" w:sz="6" w:space="0" w:color="auto"/>
            </w:tcBorders>
            <w:shd w:val="clear" w:color="auto" w:fill="auto"/>
          </w:tcPr>
          <w:p w:rsidR="00E6258F" w:rsidRPr="00E6258F" w:rsidRDefault="00E6258F" w:rsidP="00E6258F">
            <w:pPr>
              <w:spacing w:before="120" w:after="120"/>
              <w:rPr>
                <w:lang w:val="fr-FR"/>
              </w:rPr>
            </w:pPr>
            <w:r w:rsidRPr="00E6258F">
              <w:rPr>
                <w:b/>
                <w:lang w:val="fr-FR"/>
              </w:rPr>
              <w:t>Date limite pour la présentation des observations:</w:t>
            </w:r>
            <w:r w:rsidRPr="00E6258F">
              <w:rPr>
                <w:lang w:val="fr-FR"/>
              </w:rPr>
              <w:t xml:space="preserve"> </w:t>
            </w:r>
            <w:bookmarkStart w:id="11" w:name="sps12a"/>
            <w:r w:rsidRPr="00E6258F">
              <w:rPr>
                <w:bCs/>
                <w:lang w:val="fr-FR"/>
              </w:rPr>
              <w:t>60 jours à compter de la notification</w:t>
            </w:r>
            <w:bookmarkEnd w:id="11"/>
          </w:p>
        </w:tc>
      </w:tr>
      <w:tr w:rsidR="009F6B79" w:rsidRPr="00B021F6" w:rsidTr="00FF3A91">
        <w:tc>
          <w:tcPr>
            <w:tcW w:w="698" w:type="dxa"/>
            <w:tcBorders>
              <w:top w:val="single" w:sz="6" w:space="0" w:color="auto"/>
            </w:tcBorders>
            <w:shd w:val="clear" w:color="auto" w:fill="auto"/>
          </w:tcPr>
          <w:p w:rsidR="00F85C99" w:rsidRPr="00E6258F" w:rsidRDefault="000E67AE" w:rsidP="00E969D2">
            <w:pPr>
              <w:keepNext/>
              <w:keepLines/>
              <w:spacing w:before="120" w:after="120"/>
              <w:jc w:val="left"/>
              <w:rPr>
                <w:b/>
                <w:lang w:val="fr-FR"/>
              </w:rPr>
            </w:pPr>
            <w:r w:rsidRPr="00E6258F">
              <w:rPr>
                <w:b/>
                <w:lang w:val="fr-FR"/>
              </w:rPr>
              <w:t>11.</w:t>
            </w:r>
          </w:p>
        </w:tc>
        <w:tc>
          <w:tcPr>
            <w:tcW w:w="8282" w:type="dxa"/>
            <w:tcBorders>
              <w:top w:val="single" w:sz="6" w:space="0" w:color="auto"/>
            </w:tcBorders>
            <w:shd w:val="clear" w:color="auto" w:fill="auto"/>
          </w:tcPr>
          <w:p w:rsidR="00F85C99" w:rsidRPr="00E6258F" w:rsidRDefault="00E6258F" w:rsidP="00B16145">
            <w:pPr>
              <w:keepNext/>
              <w:keepLines/>
              <w:spacing w:before="120" w:after="120"/>
              <w:rPr>
                <w:lang w:val="fr-FR"/>
              </w:rPr>
            </w:pPr>
            <w:r w:rsidRPr="00E6258F">
              <w:rPr>
                <w:b/>
                <w:lang w:val="fr-FR"/>
              </w:rPr>
              <w:t xml:space="preserve">Entité auprès de laquelle les textes peuvent être </w:t>
            </w:r>
            <w:proofErr w:type="gramStart"/>
            <w:r w:rsidRPr="00E6258F">
              <w:rPr>
                <w:b/>
                <w:lang w:val="fr-FR"/>
              </w:rPr>
              <w:t>obtenus:</w:t>
            </w:r>
            <w:proofErr w:type="gramEnd"/>
            <w:r w:rsidRPr="00E6258F">
              <w:rPr>
                <w:b/>
                <w:lang w:val="fr-FR"/>
              </w:rPr>
              <w:t xml:space="preserve"> point d'information national [X] ou adresse, numéros de téléphone et de fax et adresses de courrier électronique et de site Web, le cas échéant, d'un autre organisme</w:t>
            </w:r>
            <w:r w:rsidR="000E67AE" w:rsidRPr="00E6258F">
              <w:rPr>
                <w:b/>
                <w:lang w:val="fr-FR"/>
              </w:rPr>
              <w:t>:</w:t>
            </w:r>
            <w:r w:rsidR="00EE3A11" w:rsidRPr="00E6258F">
              <w:rPr>
                <w:b/>
                <w:lang w:val="fr-FR"/>
              </w:rPr>
              <w:t xml:space="preserve"> </w:t>
            </w:r>
            <w:bookmarkStart w:id="12" w:name="sps13c"/>
          </w:p>
          <w:p w:rsidR="009F6B79" w:rsidRPr="00B021F6" w:rsidRDefault="000E67AE" w:rsidP="00B16145">
            <w:pPr>
              <w:keepNext/>
              <w:keepLines/>
              <w:rPr>
                <w:lang w:val="en-US"/>
              </w:rPr>
            </w:pPr>
            <w:r w:rsidRPr="00B021F6">
              <w:rPr>
                <w:lang w:val="en-US"/>
              </w:rPr>
              <w:t>Saudi Standards, Metrology and Quality Organization</w:t>
            </w:r>
          </w:p>
          <w:p w:rsidR="009F6B79" w:rsidRPr="00E6258F" w:rsidRDefault="000E67AE" w:rsidP="00B16145">
            <w:pPr>
              <w:keepNext/>
              <w:keepLines/>
              <w:rPr>
                <w:lang w:val="fr-FR"/>
              </w:rPr>
            </w:pPr>
            <w:r w:rsidRPr="00E6258F">
              <w:rPr>
                <w:lang w:val="fr-FR"/>
              </w:rPr>
              <w:t xml:space="preserve">P. O. </w:t>
            </w:r>
            <w:proofErr w:type="gramStart"/>
            <w:r w:rsidRPr="00E6258F">
              <w:rPr>
                <w:lang w:val="fr-FR"/>
              </w:rPr>
              <w:t>BOX:</w:t>
            </w:r>
            <w:proofErr w:type="gramEnd"/>
            <w:r w:rsidRPr="00E6258F">
              <w:rPr>
                <w:lang w:val="fr-FR"/>
              </w:rPr>
              <w:t xml:space="preserve"> 3437 Riyadh 11471</w:t>
            </w:r>
          </w:p>
          <w:p w:rsidR="009F6B79" w:rsidRPr="00E6258F" w:rsidRDefault="000E67AE" w:rsidP="00B16145">
            <w:pPr>
              <w:keepNext/>
              <w:keepLines/>
              <w:rPr>
                <w:lang w:val="fr-FR"/>
              </w:rPr>
            </w:pPr>
            <w:proofErr w:type="gramStart"/>
            <w:r w:rsidRPr="00E6258F">
              <w:rPr>
                <w:lang w:val="fr-FR"/>
              </w:rPr>
              <w:t>T</w:t>
            </w:r>
            <w:r w:rsidR="00E6258F" w:rsidRPr="00E6258F">
              <w:rPr>
                <w:lang w:val="fr-FR"/>
              </w:rPr>
              <w:t>éléphone</w:t>
            </w:r>
            <w:r w:rsidRPr="00E6258F">
              <w:rPr>
                <w:lang w:val="fr-FR"/>
              </w:rPr>
              <w:t>:</w:t>
            </w:r>
            <w:proofErr w:type="gramEnd"/>
            <w:r w:rsidRPr="00E6258F">
              <w:rPr>
                <w:lang w:val="fr-FR"/>
              </w:rPr>
              <w:t xml:space="preserve"> +966(11)2529999  </w:t>
            </w:r>
            <w:proofErr w:type="spellStart"/>
            <w:r w:rsidR="00E6258F" w:rsidRPr="00E6258F">
              <w:rPr>
                <w:lang w:val="fr-FR"/>
              </w:rPr>
              <w:t>in</w:t>
            </w:r>
            <w:r w:rsidRPr="00E6258F">
              <w:rPr>
                <w:lang w:val="fr-FR"/>
              </w:rPr>
              <w:t>t</w:t>
            </w:r>
            <w:proofErr w:type="spellEnd"/>
            <w:r w:rsidR="00E6258F" w:rsidRPr="00E6258F">
              <w:rPr>
                <w:lang w:val="fr-FR"/>
              </w:rPr>
              <w:t>.</w:t>
            </w:r>
            <w:r w:rsidRPr="00E6258F">
              <w:rPr>
                <w:lang w:val="fr-FR"/>
              </w:rPr>
              <w:t>: (9070-9061)</w:t>
            </w:r>
          </w:p>
          <w:p w:rsidR="009F6B79" w:rsidRPr="00E6258F" w:rsidRDefault="000E67AE" w:rsidP="00B16145">
            <w:pPr>
              <w:keepNext/>
              <w:keepLines/>
              <w:rPr>
                <w:lang w:val="fr-FR"/>
              </w:rPr>
            </w:pPr>
            <w:r w:rsidRPr="00E6258F">
              <w:rPr>
                <w:lang w:val="fr-FR"/>
              </w:rPr>
              <w:t>Fax +966(11)4520193</w:t>
            </w:r>
          </w:p>
          <w:p w:rsidR="009F6B79" w:rsidRPr="00E6258F" w:rsidRDefault="00E6258F" w:rsidP="00B16145">
            <w:pPr>
              <w:keepNext/>
              <w:keepLines/>
              <w:rPr>
                <w:lang w:val="fr-FR"/>
              </w:rPr>
            </w:pPr>
            <w:r w:rsidRPr="00E6258F">
              <w:rPr>
                <w:lang w:val="fr-FR"/>
              </w:rPr>
              <w:t>Courrier électronique</w:t>
            </w:r>
            <w:r w:rsidR="000E67AE" w:rsidRPr="00E6258F">
              <w:rPr>
                <w:lang w:val="fr-FR"/>
              </w:rPr>
              <w:t xml:space="preserve">: </w:t>
            </w:r>
            <w:hyperlink r:id="rId9" w:history="1">
              <w:r w:rsidR="000E67AE" w:rsidRPr="00E6258F">
                <w:rPr>
                  <w:rStyle w:val="Hyperlink"/>
                  <w:lang w:val="fr-FR"/>
                </w:rPr>
                <w:t>enquirypoint@saso.gov.sa</w:t>
              </w:r>
            </w:hyperlink>
            <w:r w:rsidR="000E67AE" w:rsidRPr="00E6258F">
              <w:rPr>
                <w:lang w:val="fr-FR"/>
              </w:rPr>
              <w:t xml:space="preserve"> </w:t>
            </w:r>
          </w:p>
          <w:p w:rsidR="009F6B79" w:rsidRPr="00E6258F" w:rsidRDefault="009F6B79" w:rsidP="00B16145">
            <w:pPr>
              <w:keepNext/>
              <w:keepLines/>
              <w:spacing w:after="120"/>
              <w:rPr>
                <w:lang w:val="fr-FR"/>
              </w:rPr>
            </w:pPr>
          </w:p>
          <w:p w:rsidR="009F6B79" w:rsidRPr="00E6258F" w:rsidRDefault="00B021F6" w:rsidP="00B16145">
            <w:pPr>
              <w:keepNext/>
              <w:keepLines/>
              <w:spacing w:before="120" w:after="120"/>
              <w:rPr>
                <w:lang w:val="fr-FR"/>
              </w:rPr>
            </w:pPr>
            <w:hyperlink r:id="rId10" w:history="1">
              <w:r w:rsidR="000E67AE" w:rsidRPr="00E6258F">
                <w:rPr>
                  <w:color w:val="0000FF"/>
                  <w:u w:val="single"/>
                  <w:lang w:val="fr-FR"/>
                </w:rPr>
                <w:t>https://members.wto.org/crnattachments/2019/TBT/SAU/19_1261_00_x.pdf</w:t>
              </w:r>
            </w:hyperlink>
            <w:bookmarkEnd w:id="12"/>
          </w:p>
        </w:tc>
      </w:tr>
    </w:tbl>
    <w:p w:rsidR="00EE3A11" w:rsidRPr="00E6258F" w:rsidRDefault="00EE3A11" w:rsidP="002F6A28">
      <w:pPr>
        <w:rPr>
          <w:lang w:val="fr-FR"/>
        </w:rPr>
      </w:pPr>
    </w:p>
    <w:sectPr w:rsidR="00EE3A11" w:rsidRPr="00E6258F" w:rsidSect="000E67A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442" w:rsidRDefault="00053442">
      <w:r>
        <w:separator/>
      </w:r>
    </w:p>
  </w:endnote>
  <w:endnote w:type="continuationSeparator" w:id="0">
    <w:p w:rsidR="00053442" w:rsidRDefault="0005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E67AE" w:rsidRDefault="000E67AE" w:rsidP="000E67A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E67AE" w:rsidRDefault="000E67AE" w:rsidP="000E67A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E67A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442" w:rsidRDefault="00053442">
      <w:r>
        <w:separator/>
      </w:r>
    </w:p>
  </w:footnote>
  <w:footnote w:type="continuationSeparator" w:id="0">
    <w:p w:rsidR="00053442" w:rsidRDefault="0005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AE" w:rsidRPr="000E67AE" w:rsidRDefault="000E67AE" w:rsidP="000E67AE">
    <w:pPr>
      <w:pStyle w:val="Header"/>
      <w:pBdr>
        <w:bottom w:val="single" w:sz="4" w:space="1" w:color="auto"/>
      </w:pBdr>
      <w:tabs>
        <w:tab w:val="clear" w:pos="4513"/>
        <w:tab w:val="clear" w:pos="9027"/>
      </w:tabs>
      <w:jc w:val="center"/>
    </w:pPr>
    <w:r w:rsidRPr="000E67AE">
      <w:t>G/TBT/N/SAU/1105</w:t>
    </w:r>
  </w:p>
  <w:p w:rsidR="000E67AE" w:rsidRPr="000E67AE" w:rsidRDefault="000E67AE" w:rsidP="000E67AE">
    <w:pPr>
      <w:pStyle w:val="Header"/>
      <w:pBdr>
        <w:bottom w:val="single" w:sz="4" w:space="1" w:color="auto"/>
      </w:pBdr>
      <w:tabs>
        <w:tab w:val="clear" w:pos="4513"/>
        <w:tab w:val="clear" w:pos="9027"/>
      </w:tabs>
      <w:jc w:val="center"/>
    </w:pPr>
  </w:p>
  <w:p w:rsidR="000E67AE" w:rsidRPr="000E67AE" w:rsidRDefault="000E67AE" w:rsidP="000E67AE">
    <w:pPr>
      <w:pStyle w:val="Header"/>
      <w:pBdr>
        <w:bottom w:val="single" w:sz="4" w:space="1" w:color="auto"/>
      </w:pBdr>
      <w:tabs>
        <w:tab w:val="clear" w:pos="4513"/>
        <w:tab w:val="clear" w:pos="9027"/>
      </w:tabs>
      <w:jc w:val="center"/>
    </w:pPr>
    <w:r w:rsidRPr="000E67AE">
      <w:t xml:space="preserve">- </w:t>
    </w:r>
    <w:r w:rsidRPr="000E67AE">
      <w:fldChar w:fldCharType="begin"/>
    </w:r>
    <w:r w:rsidRPr="000E67AE">
      <w:instrText xml:space="preserve"> PAGE </w:instrText>
    </w:r>
    <w:r w:rsidRPr="000E67AE">
      <w:fldChar w:fldCharType="separate"/>
    </w:r>
    <w:r w:rsidR="0033599C">
      <w:rPr>
        <w:noProof/>
      </w:rPr>
      <w:t>2</w:t>
    </w:r>
    <w:r w:rsidRPr="000E67AE">
      <w:fldChar w:fldCharType="end"/>
    </w:r>
    <w:r w:rsidRPr="000E67AE">
      <w:t xml:space="preserve"> -</w:t>
    </w:r>
  </w:p>
  <w:p w:rsidR="009239F7" w:rsidRPr="000E67AE" w:rsidRDefault="009239F7" w:rsidP="000E67A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AE" w:rsidRPr="000E67AE" w:rsidRDefault="000E67AE" w:rsidP="000E67AE">
    <w:pPr>
      <w:pStyle w:val="Header"/>
      <w:pBdr>
        <w:bottom w:val="single" w:sz="4" w:space="1" w:color="auto"/>
      </w:pBdr>
      <w:tabs>
        <w:tab w:val="clear" w:pos="4513"/>
        <w:tab w:val="clear" w:pos="9027"/>
      </w:tabs>
      <w:jc w:val="center"/>
    </w:pPr>
    <w:r w:rsidRPr="000E67AE">
      <w:t>G/TBT/N/SAU/1105</w:t>
    </w:r>
  </w:p>
  <w:p w:rsidR="000E67AE" w:rsidRPr="000E67AE" w:rsidRDefault="000E67AE" w:rsidP="000E67AE">
    <w:pPr>
      <w:pStyle w:val="Header"/>
      <w:pBdr>
        <w:bottom w:val="single" w:sz="4" w:space="1" w:color="auto"/>
      </w:pBdr>
      <w:tabs>
        <w:tab w:val="clear" w:pos="4513"/>
        <w:tab w:val="clear" w:pos="9027"/>
      </w:tabs>
      <w:jc w:val="center"/>
    </w:pPr>
  </w:p>
  <w:p w:rsidR="000E67AE" w:rsidRPr="000E67AE" w:rsidRDefault="000E67AE" w:rsidP="000E67AE">
    <w:pPr>
      <w:pStyle w:val="Header"/>
      <w:pBdr>
        <w:bottom w:val="single" w:sz="4" w:space="1" w:color="auto"/>
      </w:pBdr>
      <w:tabs>
        <w:tab w:val="clear" w:pos="4513"/>
        <w:tab w:val="clear" w:pos="9027"/>
      </w:tabs>
      <w:jc w:val="center"/>
    </w:pPr>
    <w:r w:rsidRPr="000E67AE">
      <w:t xml:space="preserve">- </w:t>
    </w:r>
    <w:r w:rsidRPr="000E67AE">
      <w:fldChar w:fldCharType="begin"/>
    </w:r>
    <w:r w:rsidRPr="000E67AE">
      <w:instrText xml:space="preserve"> PAGE </w:instrText>
    </w:r>
    <w:r w:rsidRPr="000E67AE">
      <w:fldChar w:fldCharType="separate"/>
    </w:r>
    <w:r w:rsidRPr="000E67AE">
      <w:rPr>
        <w:noProof/>
      </w:rPr>
      <w:t>2</w:t>
    </w:r>
    <w:r w:rsidRPr="000E67AE">
      <w:fldChar w:fldCharType="end"/>
    </w:r>
    <w:r w:rsidRPr="000E67AE">
      <w:t xml:space="preserve"> -</w:t>
    </w:r>
  </w:p>
  <w:p w:rsidR="009239F7" w:rsidRPr="000E67AE" w:rsidRDefault="009239F7" w:rsidP="000E67A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4A0" w:firstRow="1" w:lastRow="0" w:firstColumn="1" w:lastColumn="0" w:noHBand="0" w:noVBand="1"/>
    </w:tblPr>
    <w:tblGrid>
      <w:gridCol w:w="3794"/>
      <w:gridCol w:w="2123"/>
      <w:gridCol w:w="3325"/>
    </w:tblGrid>
    <w:tr w:rsidR="009F6B79" w:rsidTr="00FF3A91">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13" w:name="bmkRestricted" w:colFirst="1" w:colLast="1"/>
        </w:p>
      </w:tc>
      <w:tc>
        <w:tcPr>
          <w:tcW w:w="5448" w:type="dxa"/>
          <w:gridSpan w:val="2"/>
          <w:shd w:val="clear" w:color="auto" w:fill="FFFFFF"/>
          <w:tcMar>
            <w:left w:w="108" w:type="dxa"/>
            <w:right w:w="108" w:type="dxa"/>
          </w:tcMar>
          <w:vAlign w:val="center"/>
        </w:tcPr>
        <w:p w:rsidR="00ED54E0" w:rsidRPr="009239F7" w:rsidRDefault="000E67AE" w:rsidP="00B801E9">
          <w:pPr>
            <w:jc w:val="right"/>
            <w:rPr>
              <w:b/>
              <w:color w:val="FF0000"/>
              <w:szCs w:val="16"/>
            </w:rPr>
          </w:pPr>
          <w:r>
            <w:rPr>
              <w:b/>
              <w:color w:val="FF0000"/>
              <w:szCs w:val="16"/>
            </w:rPr>
            <w:t xml:space="preserve"> </w:t>
          </w:r>
        </w:p>
      </w:tc>
    </w:tr>
    <w:bookmarkEnd w:id="13"/>
    <w:tr w:rsidR="009F6B79" w:rsidTr="00FF3A91">
      <w:trPr>
        <w:trHeight w:val="213"/>
        <w:jc w:val="center"/>
      </w:trPr>
      <w:tc>
        <w:tcPr>
          <w:tcW w:w="3794" w:type="dxa"/>
          <w:vMerge w:val="restart"/>
          <w:shd w:val="clear" w:color="auto" w:fill="FFFFFF"/>
          <w:tcMar>
            <w:left w:w="0" w:type="dxa"/>
            <w:right w:w="0" w:type="dxa"/>
          </w:tcMar>
        </w:tcPr>
        <w:p w:rsidR="00ED54E0" w:rsidRPr="009239F7" w:rsidRDefault="00FF3A91" w:rsidP="00B801E9">
          <w:pPr>
            <w:jc w:val="left"/>
          </w:pPr>
          <w:r w:rsidRPr="003F28E2">
            <w:rPr>
              <w:rFonts w:eastAsia="Verdana" w:cs="Verdana"/>
              <w:noProof/>
              <w:szCs w:val="18"/>
              <w:lang w:val="fr-FR" w:eastAsia="fr-FR"/>
            </w:rPr>
            <w:drawing>
              <wp:inline distT="0" distB="0" distL="0" distR="0" wp14:anchorId="75CD1ACF" wp14:editId="588A61F9">
                <wp:extent cx="2376805" cy="719455"/>
                <wp:effectExtent l="0" t="0" r="4445" b="4445"/>
                <wp:docPr id="2" name="Image 2" descr="WTO_COLOR_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TO_COLOR_F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805" cy="71945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F6B79" w:rsidTr="00FF3A91">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0E67AE" w:rsidRDefault="000E67AE" w:rsidP="00B801E9">
          <w:pPr>
            <w:jc w:val="right"/>
            <w:rPr>
              <w:b/>
              <w:szCs w:val="16"/>
            </w:rPr>
          </w:pPr>
          <w:bookmarkStart w:id="14" w:name="bmkSymbols"/>
          <w:r>
            <w:rPr>
              <w:b/>
              <w:szCs w:val="16"/>
            </w:rPr>
            <w:t>G/TBT/N/SAU/1105</w:t>
          </w:r>
        </w:p>
        <w:bookmarkEnd w:id="14"/>
        <w:p w:rsidR="009239F7" w:rsidRPr="002F6A28" w:rsidRDefault="009239F7" w:rsidP="00B801E9">
          <w:pPr>
            <w:jc w:val="right"/>
            <w:rPr>
              <w:b/>
              <w:szCs w:val="16"/>
            </w:rPr>
          </w:pPr>
        </w:p>
      </w:tc>
    </w:tr>
    <w:tr w:rsidR="009F6B79" w:rsidTr="00FF3A91">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021F6" w:rsidP="00B801E9">
          <w:pPr>
            <w:jc w:val="right"/>
            <w:rPr>
              <w:szCs w:val="16"/>
            </w:rPr>
          </w:pPr>
          <w:bookmarkStart w:id="15" w:name="spsDateDistribution"/>
          <w:bookmarkStart w:id="16" w:name="bmkDate"/>
          <w:bookmarkEnd w:id="15"/>
          <w:bookmarkEnd w:id="16"/>
          <w:r>
            <w:rPr>
              <w:szCs w:val="16"/>
            </w:rPr>
            <w:t xml:space="preserve">5 mars </w:t>
          </w:r>
          <w:r>
            <w:rPr>
              <w:szCs w:val="16"/>
            </w:rPr>
            <w:t>2019</w:t>
          </w:r>
          <w:bookmarkStart w:id="17" w:name="_GoBack"/>
          <w:bookmarkEnd w:id="17"/>
        </w:p>
      </w:tc>
    </w:tr>
    <w:tr w:rsidR="009F6B79" w:rsidTr="00FF3A9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E67AE" w:rsidP="0097650D">
          <w:pPr>
            <w:jc w:val="left"/>
            <w:rPr>
              <w:b/>
            </w:rPr>
          </w:pPr>
          <w:bookmarkStart w:id="18" w:name="bmkSerial"/>
          <w:r w:rsidRPr="002F6A28">
            <w:rPr>
              <w:color w:val="FF0000"/>
              <w:szCs w:val="16"/>
            </w:rPr>
            <w:t>(</w:t>
          </w:r>
          <w:bookmarkStart w:id="19" w:name="spsSerialNumber"/>
          <w:bookmarkEnd w:id="19"/>
          <w:r w:rsidR="00B021F6">
            <w:rPr>
              <w:color w:val="FF0000"/>
              <w:szCs w:val="16"/>
            </w:rPr>
            <w:t>19-1268</w:t>
          </w:r>
          <w:r w:rsidRPr="002F6A28">
            <w:rPr>
              <w:color w:val="FF0000"/>
              <w:szCs w:val="16"/>
            </w:rPr>
            <w:t>)</w:t>
          </w:r>
          <w:bookmarkEnd w:id="18"/>
        </w:p>
      </w:tc>
      <w:tc>
        <w:tcPr>
          <w:tcW w:w="3325" w:type="dxa"/>
          <w:tcBorders>
            <w:bottom w:val="single" w:sz="4" w:space="0" w:color="auto"/>
          </w:tcBorders>
          <w:tcMar>
            <w:top w:w="0" w:type="dxa"/>
            <w:left w:w="108" w:type="dxa"/>
            <w:bottom w:w="57" w:type="dxa"/>
            <w:right w:w="108" w:type="dxa"/>
          </w:tcMar>
          <w:vAlign w:val="bottom"/>
        </w:tcPr>
        <w:p w:rsidR="00ED54E0" w:rsidRPr="009239F7" w:rsidRDefault="000E67AE" w:rsidP="00B801E9">
          <w:pPr>
            <w:jc w:val="right"/>
            <w:rPr>
              <w:szCs w:val="16"/>
            </w:rPr>
          </w:pPr>
          <w:bookmarkStart w:id="2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3599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3599C">
            <w:rPr>
              <w:bCs/>
              <w:noProof/>
              <w:szCs w:val="16"/>
            </w:rPr>
            <w:t>2</w:t>
          </w:r>
          <w:r w:rsidRPr="002F6A28">
            <w:rPr>
              <w:bCs/>
              <w:szCs w:val="16"/>
            </w:rPr>
            <w:fldChar w:fldCharType="end"/>
          </w:r>
          <w:bookmarkEnd w:id="20"/>
        </w:p>
      </w:tc>
    </w:tr>
    <w:tr w:rsidR="00FF3A91" w:rsidTr="00FF3A9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FF3A91" w:rsidRPr="00B021F6" w:rsidRDefault="00FF3A91" w:rsidP="00FF3A91">
          <w:pPr>
            <w:jc w:val="left"/>
            <w:rPr>
              <w:rFonts w:eastAsia="Verdana" w:cs="Verdana"/>
              <w:szCs w:val="18"/>
              <w:lang w:val="fr-CH"/>
            </w:rPr>
          </w:pPr>
          <w:r w:rsidRPr="00B021F6">
            <w:rPr>
              <w:rFonts w:eastAsia="Verdana"/>
              <w:b/>
              <w:szCs w:val="18"/>
              <w:lang w:val="fr-CH"/>
            </w:rPr>
            <w:t>Comité des obstacles techniques au commerce</w:t>
          </w:r>
        </w:p>
      </w:tc>
      <w:tc>
        <w:tcPr>
          <w:tcW w:w="3325" w:type="dxa"/>
          <w:tcBorders>
            <w:top w:val="single" w:sz="4" w:space="0" w:color="auto"/>
          </w:tcBorders>
          <w:tcMar>
            <w:top w:w="113" w:type="dxa"/>
            <w:left w:w="108" w:type="dxa"/>
            <w:bottom w:w="57" w:type="dxa"/>
            <w:right w:w="108" w:type="dxa"/>
          </w:tcMar>
        </w:tcPr>
        <w:p w:rsidR="00FF3A91" w:rsidRPr="003F28E2" w:rsidRDefault="00FF3A91" w:rsidP="00FF3A91">
          <w:pPr>
            <w:jc w:val="right"/>
            <w:rPr>
              <w:rFonts w:eastAsia="Verdana" w:cs="Verdana"/>
              <w:bCs/>
              <w:szCs w:val="18"/>
            </w:rPr>
          </w:pPr>
          <w:r w:rsidRPr="003F28E2">
            <w:rPr>
              <w:rFonts w:eastAsia="Verdana" w:cs="Verdana"/>
              <w:bCs/>
              <w:szCs w:val="18"/>
            </w:rPr>
            <w:t>Original: </w:t>
          </w:r>
          <w:proofErr w:type="spellStart"/>
          <w:r w:rsidRPr="003F28E2">
            <w:rPr>
              <w:rFonts w:eastAsia="Verdana" w:cs="Verdana"/>
              <w:bCs/>
              <w:szCs w:val="18"/>
            </w:rPr>
            <w:t>anglais</w:t>
          </w:r>
          <w:proofErr w:type="spellEnd"/>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CC24ACE">
      <w:start w:val="1"/>
      <w:numFmt w:val="decimal"/>
      <w:pStyle w:val="SummaryText"/>
      <w:lvlText w:val="%1."/>
      <w:lvlJc w:val="left"/>
      <w:pPr>
        <w:ind w:left="360" w:hanging="360"/>
      </w:pPr>
    </w:lvl>
    <w:lvl w:ilvl="1" w:tplc="44A6F7DE" w:tentative="1">
      <w:start w:val="1"/>
      <w:numFmt w:val="lowerLetter"/>
      <w:lvlText w:val="%2."/>
      <w:lvlJc w:val="left"/>
      <w:pPr>
        <w:ind w:left="1080" w:hanging="360"/>
      </w:pPr>
    </w:lvl>
    <w:lvl w:ilvl="2" w:tplc="C4CC5882" w:tentative="1">
      <w:start w:val="1"/>
      <w:numFmt w:val="lowerRoman"/>
      <w:lvlText w:val="%3."/>
      <w:lvlJc w:val="right"/>
      <w:pPr>
        <w:ind w:left="1800" w:hanging="180"/>
      </w:pPr>
    </w:lvl>
    <w:lvl w:ilvl="3" w:tplc="FAD6A958" w:tentative="1">
      <w:start w:val="1"/>
      <w:numFmt w:val="decimal"/>
      <w:lvlText w:val="%4."/>
      <w:lvlJc w:val="left"/>
      <w:pPr>
        <w:ind w:left="2520" w:hanging="360"/>
      </w:pPr>
    </w:lvl>
    <w:lvl w:ilvl="4" w:tplc="00D2B3EA" w:tentative="1">
      <w:start w:val="1"/>
      <w:numFmt w:val="lowerLetter"/>
      <w:lvlText w:val="%5."/>
      <w:lvlJc w:val="left"/>
      <w:pPr>
        <w:ind w:left="3240" w:hanging="360"/>
      </w:pPr>
    </w:lvl>
    <w:lvl w:ilvl="5" w:tplc="9272890E" w:tentative="1">
      <w:start w:val="1"/>
      <w:numFmt w:val="lowerRoman"/>
      <w:lvlText w:val="%6."/>
      <w:lvlJc w:val="right"/>
      <w:pPr>
        <w:ind w:left="3960" w:hanging="180"/>
      </w:pPr>
    </w:lvl>
    <w:lvl w:ilvl="6" w:tplc="7270A086" w:tentative="1">
      <w:start w:val="1"/>
      <w:numFmt w:val="decimal"/>
      <w:lvlText w:val="%7."/>
      <w:lvlJc w:val="left"/>
      <w:pPr>
        <w:ind w:left="4680" w:hanging="360"/>
      </w:pPr>
    </w:lvl>
    <w:lvl w:ilvl="7" w:tplc="A0989270" w:tentative="1">
      <w:start w:val="1"/>
      <w:numFmt w:val="lowerLetter"/>
      <w:lvlText w:val="%8."/>
      <w:lvlJc w:val="left"/>
      <w:pPr>
        <w:ind w:left="5400" w:hanging="360"/>
      </w:pPr>
    </w:lvl>
    <w:lvl w:ilvl="8" w:tplc="47E225F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F824CF6">
      <w:start w:val="1"/>
      <w:numFmt w:val="bullet"/>
      <w:lvlText w:val=""/>
      <w:lvlJc w:val="left"/>
      <w:pPr>
        <w:ind w:left="720" w:hanging="360"/>
      </w:pPr>
      <w:rPr>
        <w:rFonts w:ascii="Symbol" w:hAnsi="Symbol"/>
      </w:rPr>
    </w:lvl>
    <w:lvl w:ilvl="1" w:tplc="E38AD2FE">
      <w:start w:val="1"/>
      <w:numFmt w:val="bullet"/>
      <w:lvlText w:val="o"/>
      <w:lvlJc w:val="left"/>
      <w:pPr>
        <w:tabs>
          <w:tab w:val="num" w:pos="1440"/>
        </w:tabs>
        <w:ind w:left="1440" w:hanging="360"/>
      </w:pPr>
      <w:rPr>
        <w:rFonts w:ascii="Courier New" w:hAnsi="Courier New"/>
      </w:rPr>
    </w:lvl>
    <w:lvl w:ilvl="2" w:tplc="0FBA8FAE">
      <w:start w:val="1"/>
      <w:numFmt w:val="bullet"/>
      <w:lvlText w:val=""/>
      <w:lvlJc w:val="left"/>
      <w:pPr>
        <w:tabs>
          <w:tab w:val="num" w:pos="2160"/>
        </w:tabs>
        <w:ind w:left="2160" w:hanging="360"/>
      </w:pPr>
      <w:rPr>
        <w:rFonts w:ascii="Wingdings" w:hAnsi="Wingdings"/>
      </w:rPr>
    </w:lvl>
    <w:lvl w:ilvl="3" w:tplc="89727314">
      <w:start w:val="1"/>
      <w:numFmt w:val="bullet"/>
      <w:lvlText w:val=""/>
      <w:lvlJc w:val="left"/>
      <w:pPr>
        <w:tabs>
          <w:tab w:val="num" w:pos="2880"/>
        </w:tabs>
        <w:ind w:left="2880" w:hanging="360"/>
      </w:pPr>
      <w:rPr>
        <w:rFonts w:ascii="Symbol" w:hAnsi="Symbol"/>
      </w:rPr>
    </w:lvl>
    <w:lvl w:ilvl="4" w:tplc="674C255A">
      <w:start w:val="1"/>
      <w:numFmt w:val="bullet"/>
      <w:lvlText w:val="o"/>
      <w:lvlJc w:val="left"/>
      <w:pPr>
        <w:tabs>
          <w:tab w:val="num" w:pos="3600"/>
        </w:tabs>
        <w:ind w:left="3600" w:hanging="360"/>
      </w:pPr>
      <w:rPr>
        <w:rFonts w:ascii="Courier New" w:hAnsi="Courier New"/>
      </w:rPr>
    </w:lvl>
    <w:lvl w:ilvl="5" w:tplc="5804E2C2">
      <w:start w:val="1"/>
      <w:numFmt w:val="bullet"/>
      <w:lvlText w:val=""/>
      <w:lvlJc w:val="left"/>
      <w:pPr>
        <w:tabs>
          <w:tab w:val="num" w:pos="4320"/>
        </w:tabs>
        <w:ind w:left="4320" w:hanging="360"/>
      </w:pPr>
      <w:rPr>
        <w:rFonts w:ascii="Wingdings" w:hAnsi="Wingdings"/>
      </w:rPr>
    </w:lvl>
    <w:lvl w:ilvl="6" w:tplc="E4D8E682">
      <w:start w:val="1"/>
      <w:numFmt w:val="bullet"/>
      <w:lvlText w:val=""/>
      <w:lvlJc w:val="left"/>
      <w:pPr>
        <w:tabs>
          <w:tab w:val="num" w:pos="5040"/>
        </w:tabs>
        <w:ind w:left="5040" w:hanging="360"/>
      </w:pPr>
      <w:rPr>
        <w:rFonts w:ascii="Symbol" w:hAnsi="Symbol"/>
      </w:rPr>
    </w:lvl>
    <w:lvl w:ilvl="7" w:tplc="B504FD92">
      <w:start w:val="1"/>
      <w:numFmt w:val="bullet"/>
      <w:lvlText w:val="o"/>
      <w:lvlJc w:val="left"/>
      <w:pPr>
        <w:tabs>
          <w:tab w:val="num" w:pos="5760"/>
        </w:tabs>
        <w:ind w:left="5760" w:hanging="360"/>
      </w:pPr>
      <w:rPr>
        <w:rFonts w:ascii="Courier New" w:hAnsi="Courier New"/>
      </w:rPr>
    </w:lvl>
    <w:lvl w:ilvl="8" w:tplc="87B6FC2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F7"/>
    <w:rsid w:val="000129DD"/>
    <w:rsid w:val="000272F6"/>
    <w:rsid w:val="00037AC4"/>
    <w:rsid w:val="000423BF"/>
    <w:rsid w:val="00053442"/>
    <w:rsid w:val="00071825"/>
    <w:rsid w:val="00072B36"/>
    <w:rsid w:val="00074E62"/>
    <w:rsid w:val="00077F76"/>
    <w:rsid w:val="0009487E"/>
    <w:rsid w:val="000A4945"/>
    <w:rsid w:val="000A50C1"/>
    <w:rsid w:val="000A6875"/>
    <w:rsid w:val="000B31E1"/>
    <w:rsid w:val="000E1CF4"/>
    <w:rsid w:val="000E67AE"/>
    <w:rsid w:val="0011356B"/>
    <w:rsid w:val="001157E9"/>
    <w:rsid w:val="001206E6"/>
    <w:rsid w:val="00125032"/>
    <w:rsid w:val="0013337F"/>
    <w:rsid w:val="00155128"/>
    <w:rsid w:val="001621F4"/>
    <w:rsid w:val="00182B84"/>
    <w:rsid w:val="0018646B"/>
    <w:rsid w:val="00186B9C"/>
    <w:rsid w:val="001E0571"/>
    <w:rsid w:val="001E291F"/>
    <w:rsid w:val="00204CC3"/>
    <w:rsid w:val="00233408"/>
    <w:rsid w:val="00267723"/>
    <w:rsid w:val="00270637"/>
    <w:rsid w:val="0027067B"/>
    <w:rsid w:val="002D21E3"/>
    <w:rsid w:val="002E174F"/>
    <w:rsid w:val="002F6A28"/>
    <w:rsid w:val="00303D9D"/>
    <w:rsid w:val="00304AAE"/>
    <w:rsid w:val="003124EC"/>
    <w:rsid w:val="0033599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6F5C"/>
    <w:rsid w:val="007A03FF"/>
    <w:rsid w:val="007B4DE8"/>
    <w:rsid w:val="007D20BB"/>
    <w:rsid w:val="007E1308"/>
    <w:rsid w:val="007E6507"/>
    <w:rsid w:val="007F2B8E"/>
    <w:rsid w:val="008055FB"/>
    <w:rsid w:val="00805672"/>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6605E"/>
    <w:rsid w:val="0097650D"/>
    <w:rsid w:val="009811DD"/>
    <w:rsid w:val="00984DF3"/>
    <w:rsid w:val="00990E7D"/>
    <w:rsid w:val="009A6F54"/>
    <w:rsid w:val="009A72C6"/>
    <w:rsid w:val="009D1FF8"/>
    <w:rsid w:val="009F1F2F"/>
    <w:rsid w:val="009F6B79"/>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021F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46FD5"/>
    <w:rsid w:val="00E544BB"/>
    <w:rsid w:val="00E56545"/>
    <w:rsid w:val="00E6258F"/>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3A91"/>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6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0E67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SAU/19_1261_00_x.pdf" TargetMode="External"/><Relationship Id="rId4" Type="http://schemas.openxmlformats.org/officeDocument/2006/relationships/webSettings" Target="webSettings.xml"/><Relationship Id="rId9" Type="http://schemas.openxmlformats.org/officeDocument/2006/relationships/hyperlink" Target="mailto:enquirypoint@saso.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395</Words>
  <Characters>2423</Characters>
  <Application>Microsoft Office Word</Application>
  <DocSecurity>0</DocSecurity>
  <Lines>59</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2019-03-12T09:58:00Z</dcterms:created>
  <dcterms:modified xsi:type="dcterms:W3CDTF">2019-03-14T14:57:00Z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G/TBT/N/SAU/1105</vt:lpwstr>
  </property>
</Properties>
</file>