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0E11" w14:textId="77777777" w:rsidR="002A15F6" w:rsidRPr="00DC417E" w:rsidRDefault="00DB6270" w:rsidP="002A15F6">
      <w:pPr>
        <w:pStyle w:val="Title"/>
        <w:rPr>
          <w:caps w:val="0"/>
          <w:kern w:val="0"/>
        </w:rPr>
      </w:pPr>
      <w:r w:rsidRPr="00DC417E">
        <w:rPr>
          <w:caps w:val="0"/>
          <w:kern w:val="0"/>
        </w:rPr>
        <w:t>NOTIFICATION</w:t>
      </w:r>
    </w:p>
    <w:p w14:paraId="12F87A85" w14:textId="77777777" w:rsidR="002A15F6" w:rsidRPr="00DC417E" w:rsidRDefault="00DB6270" w:rsidP="002A15F6">
      <w:pPr>
        <w:pStyle w:val="Title3"/>
      </w:pPr>
      <w:r w:rsidRPr="00DC417E">
        <w:t>Addendum</w:t>
      </w:r>
    </w:p>
    <w:p w14:paraId="6180F9B6" w14:textId="77777777" w:rsidR="002A15F6" w:rsidRDefault="00DB6270" w:rsidP="00864FDD">
      <w:r w:rsidRPr="00DC417E">
        <w:t>La communication ci</w:t>
      </w:r>
      <w:r w:rsidRPr="00DC417E">
        <w:noBreakHyphen/>
        <w:t xml:space="preserve">après, </w:t>
      </w:r>
      <w:r w:rsidR="00B4791C">
        <w:t>datée du</w:t>
      </w:r>
      <w:r w:rsidRPr="00DC417E">
        <w:t xml:space="preserve"> </w:t>
      </w:r>
      <w:bookmarkStart w:id="4" w:name="bmkCrnReceptionDate"/>
      <w:r w:rsidR="00852695">
        <w:t>13 août 2021</w:t>
      </w:r>
      <w:bookmarkEnd w:id="4"/>
      <w:r w:rsidRPr="00DC417E">
        <w:t>, est distribuée à la demande de la délégation</w:t>
      </w:r>
      <w:r w:rsidR="00BA2412">
        <w:t xml:space="preserve"> du </w:t>
      </w:r>
      <w:r w:rsidR="00BA2412">
        <w:rPr>
          <w:u w:val="single"/>
        </w:rPr>
        <w:t>Canada</w:t>
      </w:r>
      <w:bookmarkStart w:id="5" w:name="bmkMemberName"/>
      <w:bookmarkEnd w:id="5"/>
      <w:r w:rsidRPr="00DC417E">
        <w:t>.</w:t>
      </w:r>
    </w:p>
    <w:p w14:paraId="2BF89A34" w14:textId="77777777" w:rsidR="00864FDD" w:rsidRPr="00DC417E" w:rsidRDefault="00864FDD" w:rsidP="00864FDD"/>
    <w:p w14:paraId="7B40839F" w14:textId="77777777" w:rsidR="002A15F6" w:rsidRDefault="00DB6270" w:rsidP="002A15F6">
      <w:pPr>
        <w:jc w:val="center"/>
        <w:rPr>
          <w:b/>
        </w:rPr>
      </w:pPr>
      <w:r w:rsidRPr="00DC417E">
        <w:rPr>
          <w:b/>
        </w:rPr>
        <w:t>_______________</w:t>
      </w:r>
    </w:p>
    <w:p w14:paraId="75065695" w14:textId="77777777" w:rsidR="002A15F6" w:rsidRPr="00DC417E" w:rsidRDefault="002A15F6" w:rsidP="002A15F6">
      <w:pPr>
        <w:rPr>
          <w:b/>
        </w:rPr>
      </w:pPr>
    </w:p>
    <w:p w14:paraId="0F347AA8" w14:textId="77777777" w:rsidR="002A15F6" w:rsidRPr="00DC417E" w:rsidRDefault="002A15F6" w:rsidP="002A15F6"/>
    <w:p w14:paraId="6B52417E" w14:textId="77777777" w:rsidR="002A15F6" w:rsidRPr="00DC417E" w:rsidRDefault="00DB6270" w:rsidP="002A15F6">
      <w:pPr>
        <w:rPr>
          <w:b/>
          <w:szCs w:val="18"/>
        </w:rPr>
      </w:pPr>
      <w:r w:rsidRPr="00DC417E">
        <w:rPr>
          <w:b/>
          <w:bCs/>
        </w:rPr>
        <w:t xml:space="preserve">Titre: </w:t>
      </w:r>
      <w:bookmarkStart w:id="6" w:name="bmkTitle"/>
      <w:r w:rsidR="00403AC5">
        <w:rPr>
          <w:szCs w:val="18"/>
        </w:rPr>
        <w:t xml:space="preserve">Règlement modifiant le Règlement sur les aliments et drogues (aliments supplémentés) </w:t>
      </w:r>
      <w:bookmarkEnd w:id="6"/>
    </w:p>
    <w:p w14:paraId="4DA75D08" w14:textId="77777777" w:rsidR="002A15F6" w:rsidRDefault="002A15F6" w:rsidP="002A15F6"/>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D09E3" w14:paraId="7308306E" w14:textId="77777777" w:rsidTr="00D5254C">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8A8E93A" w14:textId="77777777" w:rsidR="00B664D8" w:rsidRPr="002F663C" w:rsidRDefault="00DB6270" w:rsidP="00B664D8">
            <w:pPr>
              <w:spacing w:before="60" w:after="60"/>
              <w:ind w:left="567" w:hanging="567"/>
              <w:rPr>
                <w:b/>
              </w:rPr>
            </w:pPr>
            <w:r w:rsidRPr="0020277D">
              <w:rPr>
                <w:b/>
                <w:szCs w:val="18"/>
              </w:rPr>
              <w:t>Motif de l'addendum:</w:t>
            </w:r>
          </w:p>
        </w:tc>
      </w:tr>
      <w:tr w:rsidR="004D09E3" w14:paraId="7AE84470" w14:textId="77777777" w:rsidTr="00D5254C">
        <w:tc>
          <w:tcPr>
            <w:tcW w:w="851" w:type="dxa"/>
            <w:shd w:val="clear" w:color="auto" w:fill="auto"/>
          </w:tcPr>
          <w:p w14:paraId="1C36EE6A" w14:textId="77777777" w:rsidR="00B664D8" w:rsidRPr="0096642E" w:rsidRDefault="00DB6270" w:rsidP="00B664D8">
            <w:pPr>
              <w:spacing w:before="60" w:after="60"/>
              <w:ind w:left="567" w:hanging="567"/>
              <w:jc w:val="center"/>
              <w:rPr>
                <w:szCs w:val="18"/>
              </w:rPr>
            </w:pPr>
            <w:r w:rsidRPr="0096642E">
              <w:rPr>
                <w:szCs w:val="18"/>
              </w:rPr>
              <w:t>[</w:t>
            </w:r>
            <w:bookmarkStart w:id="7" w:name="bmkRsnModificationOfFinalDateForComments"/>
            <w:r w:rsidRPr="0096642E">
              <w:rPr>
                <w:szCs w:val="18"/>
              </w:rPr>
              <w:t>X</w:t>
            </w:r>
            <w:bookmarkEnd w:id="7"/>
            <w:r w:rsidRPr="0096642E">
              <w:rPr>
                <w:szCs w:val="18"/>
              </w:rPr>
              <w:t>]</w:t>
            </w:r>
          </w:p>
        </w:tc>
        <w:tc>
          <w:tcPr>
            <w:tcW w:w="8198" w:type="dxa"/>
            <w:shd w:val="clear" w:color="auto" w:fill="auto"/>
          </w:tcPr>
          <w:p w14:paraId="02651521" w14:textId="77777777" w:rsidR="00B664D8" w:rsidRPr="002F663C" w:rsidRDefault="00DB6270" w:rsidP="00E05D8A">
            <w:pPr>
              <w:spacing w:before="60" w:after="60"/>
            </w:pPr>
            <w:r w:rsidRPr="0020277D">
              <w:rPr>
                <w:szCs w:val="18"/>
              </w:rPr>
              <w:t xml:space="preserve">Modification du délai pour la présentation des observations </w:t>
            </w:r>
            <w:r>
              <w:rPr>
                <w:szCs w:val="18"/>
              </w:rPr>
              <w:t>–</w:t>
            </w:r>
            <w:r w:rsidRPr="0020277D">
              <w:rPr>
                <w:szCs w:val="18"/>
              </w:rPr>
              <w:t xml:space="preserve"> date:</w:t>
            </w:r>
            <w:r w:rsidR="00403AC5">
              <w:rPr>
                <w:szCs w:val="18"/>
              </w:rPr>
              <w:t xml:space="preserve"> </w:t>
            </w:r>
            <w:bookmarkStart w:id="8" w:name="bmkFinalCommentsDate"/>
            <w:r w:rsidR="00403AC5">
              <w:t>24 septembre 2021</w:t>
            </w:r>
            <w:bookmarkEnd w:id="8"/>
          </w:p>
        </w:tc>
      </w:tr>
      <w:tr w:rsidR="004D09E3" w14:paraId="063E96C0" w14:textId="77777777" w:rsidTr="00D5254C">
        <w:tc>
          <w:tcPr>
            <w:tcW w:w="851" w:type="dxa"/>
            <w:shd w:val="clear" w:color="auto" w:fill="auto"/>
          </w:tcPr>
          <w:p w14:paraId="3B967866" w14:textId="77777777" w:rsidR="00B664D8" w:rsidRPr="0096642E" w:rsidRDefault="00DB6270" w:rsidP="00B664D8">
            <w:pPr>
              <w:spacing w:before="60" w:after="60"/>
              <w:jc w:val="center"/>
              <w:rPr>
                <w:szCs w:val="18"/>
              </w:rPr>
            </w:pPr>
            <w:r w:rsidRPr="0096642E">
              <w:rPr>
                <w:szCs w:val="18"/>
              </w:rPr>
              <w:t>[</w:t>
            </w:r>
            <w:bookmarkStart w:id="9" w:name="bmkRsnNotifiedMeasureAdopted"/>
            <w:r w:rsidRPr="0096642E">
              <w:rPr>
                <w:szCs w:val="18"/>
              </w:rPr>
              <w:t>  </w:t>
            </w:r>
            <w:bookmarkEnd w:id="9"/>
            <w:r w:rsidRPr="0096642E">
              <w:rPr>
                <w:szCs w:val="18"/>
              </w:rPr>
              <w:t>]</w:t>
            </w:r>
          </w:p>
        </w:tc>
        <w:tc>
          <w:tcPr>
            <w:tcW w:w="8198" w:type="dxa"/>
            <w:shd w:val="clear" w:color="auto" w:fill="auto"/>
          </w:tcPr>
          <w:p w14:paraId="1695A744" w14:textId="77777777" w:rsidR="00B664D8" w:rsidRPr="002F663C" w:rsidRDefault="00DB6270" w:rsidP="00B664D8">
            <w:pPr>
              <w:spacing w:before="60" w:after="60"/>
            </w:pPr>
            <w:r w:rsidRPr="0020277D">
              <w:rPr>
                <w:szCs w:val="18"/>
              </w:rPr>
              <w:t xml:space="preserve">Adoption de la mesure notifiée </w:t>
            </w:r>
            <w:r>
              <w:rPr>
                <w:szCs w:val="18"/>
              </w:rPr>
              <w:t>–</w:t>
            </w:r>
            <w:r w:rsidRPr="0020277D">
              <w:rPr>
                <w:szCs w:val="18"/>
              </w:rPr>
              <w:t xml:space="preserve"> date:</w:t>
            </w:r>
            <w:r w:rsidR="00403AC5">
              <w:rPr>
                <w:szCs w:val="18"/>
              </w:rPr>
              <w:t xml:space="preserve"> </w:t>
            </w:r>
            <w:bookmarkStart w:id="10" w:name="bmkProposedAdoptionDate"/>
            <w:bookmarkEnd w:id="10"/>
          </w:p>
        </w:tc>
      </w:tr>
      <w:tr w:rsidR="004D09E3" w14:paraId="4D479BFA" w14:textId="77777777" w:rsidTr="00D5254C">
        <w:tc>
          <w:tcPr>
            <w:tcW w:w="851" w:type="dxa"/>
            <w:shd w:val="clear" w:color="auto" w:fill="auto"/>
          </w:tcPr>
          <w:p w14:paraId="2A29FC53" w14:textId="77777777" w:rsidR="00B664D8" w:rsidRPr="0096642E" w:rsidRDefault="00DB6270" w:rsidP="00B664D8">
            <w:pPr>
              <w:spacing w:before="60" w:after="60"/>
              <w:jc w:val="center"/>
              <w:rPr>
                <w:szCs w:val="18"/>
              </w:rPr>
            </w:pPr>
            <w:r w:rsidRPr="0096642E">
              <w:rPr>
                <w:szCs w:val="18"/>
              </w:rPr>
              <w:t>[</w:t>
            </w:r>
            <w:bookmarkStart w:id="11" w:name="bmkRsnNotifiedMeasurePublished"/>
            <w:r w:rsidRPr="0096642E">
              <w:rPr>
                <w:szCs w:val="18"/>
              </w:rPr>
              <w:t>  </w:t>
            </w:r>
            <w:bookmarkEnd w:id="11"/>
            <w:r w:rsidRPr="0096642E">
              <w:rPr>
                <w:szCs w:val="18"/>
              </w:rPr>
              <w:t>]</w:t>
            </w:r>
          </w:p>
        </w:tc>
        <w:tc>
          <w:tcPr>
            <w:tcW w:w="8198" w:type="dxa"/>
            <w:shd w:val="clear" w:color="auto" w:fill="auto"/>
          </w:tcPr>
          <w:p w14:paraId="27C1B4F3" w14:textId="77777777" w:rsidR="00B664D8" w:rsidRPr="002F663C" w:rsidRDefault="00DB6270" w:rsidP="00B664D8">
            <w:pPr>
              <w:spacing w:before="60" w:after="60"/>
            </w:pPr>
            <w:r w:rsidRPr="0020277D">
              <w:rPr>
                <w:szCs w:val="18"/>
              </w:rPr>
              <w:t xml:space="preserve">Publication de la mesure notifiée </w:t>
            </w:r>
            <w:r>
              <w:rPr>
                <w:szCs w:val="18"/>
              </w:rPr>
              <w:t>–</w:t>
            </w:r>
            <w:r w:rsidRPr="0020277D">
              <w:rPr>
                <w:szCs w:val="18"/>
              </w:rPr>
              <w:t xml:space="preserve"> date:</w:t>
            </w:r>
            <w:r w:rsidR="00403AC5">
              <w:rPr>
                <w:szCs w:val="18"/>
              </w:rPr>
              <w:t xml:space="preserve"> </w:t>
            </w:r>
            <w:bookmarkStart w:id="12" w:name="bmkProposedNotificationDate"/>
            <w:bookmarkEnd w:id="12"/>
          </w:p>
        </w:tc>
      </w:tr>
      <w:tr w:rsidR="004D09E3" w14:paraId="365A3357" w14:textId="77777777" w:rsidTr="00D5254C">
        <w:tc>
          <w:tcPr>
            <w:tcW w:w="851" w:type="dxa"/>
            <w:shd w:val="clear" w:color="auto" w:fill="auto"/>
          </w:tcPr>
          <w:p w14:paraId="4F37AD85" w14:textId="77777777" w:rsidR="00B664D8" w:rsidRPr="0096642E" w:rsidRDefault="00DB6270" w:rsidP="00B664D8">
            <w:pPr>
              <w:spacing w:before="60" w:after="60"/>
              <w:jc w:val="center"/>
              <w:rPr>
                <w:szCs w:val="18"/>
              </w:rPr>
            </w:pPr>
            <w:r w:rsidRPr="0096642E">
              <w:rPr>
                <w:szCs w:val="18"/>
              </w:rPr>
              <w:t>[</w:t>
            </w:r>
            <w:bookmarkStart w:id="13" w:name="bmkRsnNotifiedMeasureEntersIntoForce"/>
            <w:r w:rsidRPr="0096642E">
              <w:rPr>
                <w:szCs w:val="18"/>
              </w:rPr>
              <w:t>  </w:t>
            </w:r>
            <w:bookmarkEnd w:id="13"/>
            <w:r w:rsidRPr="0096642E">
              <w:rPr>
                <w:szCs w:val="18"/>
              </w:rPr>
              <w:t>]</w:t>
            </w:r>
          </w:p>
        </w:tc>
        <w:tc>
          <w:tcPr>
            <w:tcW w:w="8198" w:type="dxa"/>
            <w:shd w:val="clear" w:color="auto" w:fill="auto"/>
          </w:tcPr>
          <w:p w14:paraId="2608B025" w14:textId="77777777" w:rsidR="00B664D8" w:rsidRPr="00B664D8" w:rsidRDefault="00DB6270" w:rsidP="00B664D8">
            <w:pPr>
              <w:spacing w:before="60" w:after="60"/>
              <w:rPr>
                <w:lang w:val="fr-CH"/>
              </w:rPr>
            </w:pPr>
            <w:r w:rsidRPr="0020277D">
              <w:rPr>
                <w:szCs w:val="18"/>
              </w:rPr>
              <w:t xml:space="preserve">Entrée en vigueur de la mesure notifiée </w:t>
            </w:r>
            <w:r>
              <w:rPr>
                <w:szCs w:val="18"/>
              </w:rPr>
              <w:t>–</w:t>
            </w:r>
            <w:r w:rsidRPr="0020277D">
              <w:rPr>
                <w:szCs w:val="18"/>
              </w:rPr>
              <w:t xml:space="preserve"> date: </w:t>
            </w:r>
            <w:bookmarkStart w:id="14" w:name="bmkProposedEntryIntoForceDate"/>
            <w:bookmarkEnd w:id="14"/>
          </w:p>
        </w:tc>
      </w:tr>
      <w:tr w:rsidR="004D09E3" w14:paraId="4CDF3A27" w14:textId="77777777" w:rsidTr="00D5254C">
        <w:tc>
          <w:tcPr>
            <w:tcW w:w="851" w:type="dxa"/>
            <w:shd w:val="clear" w:color="auto" w:fill="auto"/>
          </w:tcPr>
          <w:p w14:paraId="3D70576A" w14:textId="77777777" w:rsidR="00B664D8" w:rsidRPr="0096642E" w:rsidRDefault="00DB6270" w:rsidP="00B664D8">
            <w:pPr>
              <w:spacing w:before="60" w:after="60"/>
              <w:jc w:val="center"/>
              <w:rPr>
                <w:szCs w:val="18"/>
              </w:rPr>
            </w:pPr>
            <w:r w:rsidRPr="0096642E">
              <w:rPr>
                <w:szCs w:val="18"/>
              </w:rPr>
              <w:t>[</w:t>
            </w:r>
            <w:bookmarkStart w:id="15" w:name="bmkRsnTextOfFinalMeasureAvailable"/>
            <w:r w:rsidRPr="0096642E">
              <w:rPr>
                <w:szCs w:val="18"/>
              </w:rPr>
              <w:t>  </w:t>
            </w:r>
            <w:bookmarkEnd w:id="15"/>
            <w:r w:rsidRPr="0096642E">
              <w:rPr>
                <w:szCs w:val="18"/>
              </w:rPr>
              <w:t>]</w:t>
            </w:r>
          </w:p>
        </w:tc>
        <w:tc>
          <w:tcPr>
            <w:tcW w:w="8198" w:type="dxa"/>
            <w:shd w:val="clear" w:color="auto" w:fill="auto"/>
          </w:tcPr>
          <w:p w14:paraId="19D649F0" w14:textId="77777777" w:rsidR="00B664D8" w:rsidRPr="00B664D8" w:rsidRDefault="00DB6270" w:rsidP="00545014">
            <w:pPr>
              <w:spacing w:before="60" w:after="60"/>
              <w:rPr>
                <w:lang w:val="fr-CH"/>
              </w:rPr>
            </w:pPr>
            <w:r>
              <w:rPr>
                <w:szCs w:val="18"/>
              </w:rPr>
              <w:t>Accès au</w:t>
            </w:r>
            <w:r w:rsidRPr="0020277D">
              <w:rPr>
                <w:szCs w:val="18"/>
              </w:rPr>
              <w:t xml:space="preserve"> texte final de la mesure</w:t>
            </w:r>
            <w:bookmarkStart w:id="16" w:name="_Ref40866948"/>
            <w:r>
              <w:rPr>
                <w:rStyle w:val="FootnoteReference"/>
                <w:szCs w:val="18"/>
              </w:rPr>
              <w:footnoteReference w:customMarkFollows="1" w:id="1"/>
              <w:t>1</w:t>
            </w:r>
            <w:bookmarkEnd w:id="16"/>
            <w:r w:rsidRPr="0020277D">
              <w:rPr>
                <w:szCs w:val="18"/>
              </w:rPr>
              <w:t>:</w:t>
            </w:r>
            <w:r w:rsidR="00403AC5">
              <w:rPr>
                <w:szCs w:val="18"/>
              </w:rPr>
              <w:t xml:space="preserve"> </w:t>
            </w:r>
            <w:bookmarkStart w:id="17" w:name="bmkFinalMeasure"/>
            <w:bookmarkEnd w:id="17"/>
          </w:p>
        </w:tc>
      </w:tr>
      <w:tr w:rsidR="004D09E3" w14:paraId="08ED6626" w14:textId="77777777" w:rsidTr="00D5254C">
        <w:tc>
          <w:tcPr>
            <w:tcW w:w="851" w:type="dxa"/>
            <w:shd w:val="clear" w:color="auto" w:fill="auto"/>
          </w:tcPr>
          <w:p w14:paraId="2AC6CC53" w14:textId="77777777" w:rsidR="00B664D8" w:rsidRPr="0096642E" w:rsidRDefault="00DB6270" w:rsidP="00B664D8">
            <w:pPr>
              <w:spacing w:before="60" w:after="60"/>
              <w:jc w:val="center"/>
              <w:rPr>
                <w:szCs w:val="18"/>
              </w:rPr>
            </w:pPr>
            <w:r w:rsidRPr="0096642E">
              <w:rPr>
                <w:szCs w:val="18"/>
              </w:rPr>
              <w:t>[</w:t>
            </w:r>
            <w:bookmarkStart w:id="18" w:name="bmkRsnWithdrawalOfProposedRegulation"/>
            <w:r w:rsidRPr="0096642E">
              <w:rPr>
                <w:szCs w:val="18"/>
              </w:rPr>
              <w:t>  </w:t>
            </w:r>
            <w:bookmarkEnd w:id="18"/>
            <w:r w:rsidRPr="0096642E">
              <w:rPr>
                <w:szCs w:val="18"/>
              </w:rPr>
              <w:t>]</w:t>
            </w:r>
          </w:p>
        </w:tc>
        <w:tc>
          <w:tcPr>
            <w:tcW w:w="8198" w:type="dxa"/>
            <w:shd w:val="clear" w:color="auto" w:fill="auto"/>
          </w:tcPr>
          <w:p w14:paraId="2799640C" w14:textId="77777777" w:rsidR="00B664D8" w:rsidRPr="0020277D" w:rsidRDefault="00DB6270" w:rsidP="00545014">
            <w:pPr>
              <w:pStyle w:val="ListBullet"/>
              <w:numPr>
                <w:ilvl w:val="0"/>
                <w:numId w:val="0"/>
              </w:numPr>
              <w:spacing w:before="60" w:after="60"/>
              <w:rPr>
                <w:szCs w:val="18"/>
              </w:rPr>
            </w:pPr>
            <w:r w:rsidRPr="0020277D">
              <w:rPr>
                <w:szCs w:val="18"/>
              </w:rPr>
              <w:t xml:space="preserve">Retrait ou abrogation de la mesure notifiée </w:t>
            </w:r>
            <w:r>
              <w:rPr>
                <w:szCs w:val="18"/>
              </w:rPr>
              <w:t>–</w:t>
            </w:r>
            <w:r w:rsidRPr="0020277D">
              <w:rPr>
                <w:szCs w:val="18"/>
              </w:rPr>
              <w:t xml:space="preserve"> date:</w:t>
            </w:r>
            <w:r w:rsidR="00403AC5">
              <w:rPr>
                <w:szCs w:val="18"/>
              </w:rPr>
              <w:t xml:space="preserve"> </w:t>
            </w:r>
            <w:bookmarkStart w:id="19" w:name="bmkWithdrawalDate"/>
            <w:bookmarkEnd w:id="19"/>
          </w:p>
          <w:p w14:paraId="429FD64F" w14:textId="77777777" w:rsidR="00B664D8" w:rsidRPr="00B664D8" w:rsidRDefault="00DB6270" w:rsidP="00545014">
            <w:pPr>
              <w:spacing w:before="60" w:after="60"/>
              <w:rPr>
                <w:lang w:val="fr-CH"/>
              </w:rPr>
            </w:pPr>
            <w:r w:rsidRPr="0020277D">
              <w:rPr>
                <w:szCs w:val="18"/>
              </w:rPr>
              <w:t xml:space="preserve">Cote pertinente si la mesure </w:t>
            </w:r>
            <w:r>
              <w:rPr>
                <w:szCs w:val="18"/>
              </w:rPr>
              <w:t>fait l'objet d'une nouvelle notification</w:t>
            </w:r>
            <w:r w:rsidRPr="0020277D">
              <w:rPr>
                <w:szCs w:val="18"/>
              </w:rPr>
              <w:t>:</w:t>
            </w:r>
            <w:r w:rsidR="00403AC5">
              <w:rPr>
                <w:szCs w:val="18"/>
              </w:rPr>
              <w:t xml:space="preserve"> </w:t>
            </w:r>
            <w:bookmarkStart w:id="20" w:name="bmkRelevantSymbol"/>
            <w:bookmarkEnd w:id="20"/>
          </w:p>
        </w:tc>
      </w:tr>
      <w:tr w:rsidR="004D09E3" w14:paraId="1186DA0A" w14:textId="77777777" w:rsidTr="00D5254C">
        <w:tc>
          <w:tcPr>
            <w:tcW w:w="851" w:type="dxa"/>
            <w:shd w:val="clear" w:color="auto" w:fill="auto"/>
          </w:tcPr>
          <w:p w14:paraId="1674844B" w14:textId="77777777" w:rsidR="00B664D8" w:rsidRPr="0096642E" w:rsidRDefault="00DB6270" w:rsidP="00B664D8">
            <w:pPr>
              <w:spacing w:before="60" w:after="60"/>
              <w:jc w:val="center"/>
              <w:rPr>
                <w:szCs w:val="18"/>
              </w:rPr>
            </w:pPr>
            <w:r w:rsidRPr="0096642E">
              <w:rPr>
                <w:szCs w:val="18"/>
              </w:rPr>
              <w:t>[</w:t>
            </w:r>
            <w:bookmarkStart w:id="21" w:name="bmkRsnModificationOfContent"/>
            <w:r w:rsidRPr="0096642E">
              <w:rPr>
                <w:szCs w:val="18"/>
              </w:rPr>
              <w:t>  </w:t>
            </w:r>
            <w:bookmarkEnd w:id="21"/>
            <w:r w:rsidRPr="0096642E">
              <w:rPr>
                <w:szCs w:val="18"/>
              </w:rPr>
              <w:t>]</w:t>
            </w:r>
          </w:p>
        </w:tc>
        <w:tc>
          <w:tcPr>
            <w:tcW w:w="8198" w:type="dxa"/>
            <w:shd w:val="clear" w:color="auto" w:fill="auto"/>
          </w:tcPr>
          <w:p w14:paraId="0F03E579" w14:textId="77777777" w:rsidR="00B664D8" w:rsidRPr="0020277D" w:rsidRDefault="00DB6270" w:rsidP="000E4522">
            <w:pPr>
              <w:pStyle w:val="ListBullet"/>
              <w:numPr>
                <w:ilvl w:val="0"/>
                <w:numId w:val="0"/>
              </w:numPr>
              <w:spacing w:before="60" w:after="60"/>
              <w:rPr>
                <w:szCs w:val="18"/>
              </w:rPr>
            </w:pPr>
            <w:r w:rsidRPr="0020277D">
              <w:rPr>
                <w:szCs w:val="18"/>
              </w:rPr>
              <w:t>Modification de la teneur ou du champ d'application de la mesure notifiée</w:t>
            </w:r>
            <w:r w:rsidR="00D11917">
              <w:rPr>
                <w:szCs w:val="18"/>
              </w:rPr>
              <w:t xml:space="preserve"> et accès au texte</w:t>
            </w:r>
            <w:r w:rsidR="00D11917">
              <w:rPr>
                <w:szCs w:val="18"/>
                <w:vertAlign w:val="superscript"/>
              </w:rPr>
              <w:t>1</w:t>
            </w:r>
            <w:r w:rsidR="00206130">
              <w:t xml:space="preserve">: </w:t>
            </w:r>
            <w:bookmarkStart w:id="22" w:name="bmkModificationOfContent"/>
            <w:bookmarkEnd w:id="22"/>
          </w:p>
          <w:p w14:paraId="23871D96" w14:textId="77777777" w:rsidR="00B664D8" w:rsidRPr="00B664D8" w:rsidRDefault="00DB6270" w:rsidP="00B664D8">
            <w:pPr>
              <w:spacing w:before="60" w:after="60"/>
              <w:rPr>
                <w:lang w:val="fr-CH"/>
              </w:rPr>
            </w:pPr>
            <w:r w:rsidRPr="0020277D">
              <w:rPr>
                <w:szCs w:val="18"/>
              </w:rPr>
              <w:t>Nouveau délai pour la présentation des observations (le cas échéant):</w:t>
            </w:r>
            <w:r w:rsidR="00403AC5">
              <w:rPr>
                <w:szCs w:val="18"/>
              </w:rPr>
              <w:t xml:space="preserve"> </w:t>
            </w:r>
            <w:bookmarkStart w:id="23" w:name="bmkNewCommentPeriod"/>
            <w:bookmarkEnd w:id="23"/>
          </w:p>
        </w:tc>
      </w:tr>
      <w:tr w:rsidR="004D09E3" w14:paraId="62AB2D69" w14:textId="77777777" w:rsidTr="00D5254C">
        <w:tc>
          <w:tcPr>
            <w:tcW w:w="851" w:type="dxa"/>
            <w:shd w:val="clear" w:color="auto" w:fill="auto"/>
          </w:tcPr>
          <w:p w14:paraId="7D675D3D" w14:textId="77777777" w:rsidR="00B664D8" w:rsidRPr="0096642E" w:rsidRDefault="00DB6270" w:rsidP="00B664D8">
            <w:pPr>
              <w:spacing w:before="60" w:after="60"/>
              <w:ind w:left="567" w:hanging="567"/>
              <w:jc w:val="center"/>
              <w:rPr>
                <w:szCs w:val="18"/>
              </w:rPr>
            </w:pPr>
            <w:r w:rsidRPr="0096642E">
              <w:rPr>
                <w:szCs w:val="18"/>
              </w:rPr>
              <w:t>[</w:t>
            </w:r>
            <w:bookmarkStart w:id="24" w:name="bmkRsnInterpretativeGuidanceIssued"/>
            <w:r w:rsidRPr="0096642E">
              <w:rPr>
                <w:szCs w:val="18"/>
              </w:rPr>
              <w:t>  </w:t>
            </w:r>
            <w:bookmarkEnd w:id="24"/>
            <w:r w:rsidRPr="0096642E">
              <w:rPr>
                <w:szCs w:val="18"/>
              </w:rPr>
              <w:t>]</w:t>
            </w:r>
          </w:p>
        </w:tc>
        <w:tc>
          <w:tcPr>
            <w:tcW w:w="8198" w:type="dxa"/>
            <w:shd w:val="clear" w:color="auto" w:fill="auto"/>
          </w:tcPr>
          <w:p w14:paraId="0170E26D" w14:textId="77777777" w:rsidR="00B664D8" w:rsidRPr="00B664D8" w:rsidRDefault="00DB6270" w:rsidP="00545014">
            <w:pPr>
              <w:pStyle w:val="ListBullet"/>
              <w:numPr>
                <w:ilvl w:val="0"/>
                <w:numId w:val="0"/>
              </w:numPr>
              <w:spacing w:before="60" w:after="60"/>
              <w:rPr>
                <w:lang w:val="fr-CH"/>
              </w:rPr>
            </w:pPr>
            <w:r>
              <w:rPr>
                <w:szCs w:val="18"/>
              </w:rPr>
              <w:t>Publication de directives d'interprétation et accès au texte</w:t>
            </w:r>
            <w:r w:rsidR="003042A7" w:rsidRPr="003042A7">
              <w:rPr>
                <w:szCs w:val="18"/>
                <w:vertAlign w:val="superscript"/>
              </w:rPr>
              <w:fldChar w:fldCharType="begin"/>
            </w:r>
            <w:r w:rsidR="003042A7" w:rsidRPr="003042A7">
              <w:rPr>
                <w:szCs w:val="18"/>
                <w:vertAlign w:val="superscript"/>
              </w:rPr>
              <w:instrText xml:space="preserve"> NOTEREF _Ref40866948 \h </w:instrText>
            </w:r>
            <w:r w:rsidR="003042A7">
              <w:rPr>
                <w:szCs w:val="18"/>
                <w:vertAlign w:val="superscript"/>
              </w:rPr>
              <w:instrText xml:space="preserve"> \* MERGEFORMAT </w:instrText>
            </w:r>
            <w:r w:rsidR="003042A7" w:rsidRPr="003042A7">
              <w:rPr>
                <w:szCs w:val="18"/>
                <w:vertAlign w:val="superscript"/>
              </w:rPr>
            </w:r>
            <w:r w:rsidR="003042A7" w:rsidRPr="003042A7">
              <w:rPr>
                <w:szCs w:val="18"/>
                <w:vertAlign w:val="superscript"/>
              </w:rPr>
              <w:fldChar w:fldCharType="separate"/>
            </w:r>
            <w:r w:rsidR="003042A7" w:rsidRPr="003042A7">
              <w:rPr>
                <w:vertAlign w:val="superscript"/>
              </w:rPr>
              <w:t>1</w:t>
            </w:r>
            <w:r w:rsidR="003042A7" w:rsidRPr="003042A7">
              <w:rPr>
                <w:szCs w:val="18"/>
                <w:vertAlign w:val="superscript"/>
              </w:rPr>
              <w:fldChar w:fldCharType="end"/>
            </w:r>
            <w:r w:rsidRPr="0020277D">
              <w:rPr>
                <w:szCs w:val="18"/>
              </w:rPr>
              <w:t>:</w:t>
            </w:r>
            <w:r w:rsidR="003F52AF">
              <w:rPr>
                <w:szCs w:val="18"/>
              </w:rPr>
              <w:t xml:space="preserve"> </w:t>
            </w:r>
            <w:bookmarkStart w:id="25" w:name="bmkInterpretativeGuidance"/>
            <w:bookmarkEnd w:id="25"/>
          </w:p>
        </w:tc>
      </w:tr>
      <w:tr w:rsidR="004D09E3" w14:paraId="11DE1F0B" w14:textId="77777777" w:rsidTr="00D5254C">
        <w:tc>
          <w:tcPr>
            <w:tcW w:w="851" w:type="dxa"/>
            <w:tcBorders>
              <w:bottom w:val="double" w:sz="4" w:space="0" w:color="auto"/>
            </w:tcBorders>
            <w:shd w:val="clear" w:color="auto" w:fill="auto"/>
          </w:tcPr>
          <w:p w14:paraId="5BFA0FBA" w14:textId="77777777" w:rsidR="00B664D8" w:rsidRPr="0096642E" w:rsidRDefault="00DB6270" w:rsidP="00B664D8">
            <w:pPr>
              <w:spacing w:before="60" w:after="60"/>
              <w:ind w:left="567" w:hanging="567"/>
              <w:jc w:val="center"/>
              <w:rPr>
                <w:szCs w:val="18"/>
              </w:rPr>
            </w:pPr>
            <w:r w:rsidRPr="0096642E">
              <w:rPr>
                <w:szCs w:val="18"/>
              </w:rPr>
              <w:t>[</w:t>
            </w:r>
            <w:bookmarkStart w:id="26" w:name="bmkRsnOther"/>
            <w:r w:rsidRPr="0096642E">
              <w:rPr>
                <w:szCs w:val="18"/>
              </w:rPr>
              <w:t>X</w:t>
            </w:r>
            <w:bookmarkEnd w:id="26"/>
            <w:r w:rsidRPr="0096642E">
              <w:rPr>
                <w:szCs w:val="18"/>
              </w:rPr>
              <w:t>]</w:t>
            </w:r>
          </w:p>
        </w:tc>
        <w:tc>
          <w:tcPr>
            <w:tcW w:w="8198" w:type="dxa"/>
            <w:tcBorders>
              <w:bottom w:val="double" w:sz="4" w:space="0" w:color="auto"/>
            </w:tcBorders>
            <w:shd w:val="clear" w:color="auto" w:fill="auto"/>
          </w:tcPr>
          <w:p w14:paraId="233A3E2B" w14:textId="77777777" w:rsidR="00B664D8" w:rsidRPr="002F663C" w:rsidRDefault="00DB6270" w:rsidP="00545014">
            <w:pPr>
              <w:spacing w:before="60" w:after="60"/>
            </w:pPr>
            <w:r w:rsidRPr="0020277D">
              <w:rPr>
                <w:szCs w:val="18"/>
              </w:rPr>
              <w:t>Autres:</w:t>
            </w:r>
            <w:r w:rsidR="00977F26">
              <w:rPr>
                <w:szCs w:val="18"/>
              </w:rPr>
              <w:t xml:space="preserve"> </w:t>
            </w:r>
            <w:bookmarkStart w:id="27" w:name="bmkReasonOtherText"/>
            <w:r>
              <w:fldChar w:fldCharType="begin"/>
            </w:r>
            <w:r>
              <w:instrText xml:space="preserve"> HYPERLINK "https://www.gazette.gc.ca/rp-pr/p1/2021/2021-06-26/html/reg3-eng.html" </w:instrText>
            </w:r>
            <w:r>
              <w:fldChar w:fldCharType="separate"/>
            </w:r>
            <w:r w:rsidR="00977F26">
              <w:rPr>
                <w:color w:val="0000FF"/>
                <w:u w:val="single"/>
              </w:rPr>
              <w:t>https://www.gazette.gc.ca/rp-pr/p1/2021/2021-06-26/html/reg3-eng.html</w:t>
            </w:r>
            <w:r>
              <w:rPr>
                <w:color w:val="0000FF"/>
                <w:u w:val="single"/>
              </w:rPr>
              <w:fldChar w:fldCharType="end"/>
            </w:r>
            <w:r w:rsidR="00977F26">
              <w:t xml:space="preserve"> </w:t>
            </w:r>
          </w:p>
          <w:p w14:paraId="0C6FCB2B" w14:textId="77777777" w:rsidR="00977F26" w:rsidRDefault="002A00CE" w:rsidP="00545014">
            <w:pPr>
              <w:spacing w:before="60" w:after="60"/>
            </w:pPr>
            <w:hyperlink r:id="rId8" w:history="1">
              <w:r w:rsidR="00DB6270">
                <w:rPr>
                  <w:color w:val="0000FF"/>
                  <w:u w:val="single"/>
                </w:rPr>
                <w:t>https://www.gazette.gc.ca/rp-pr/p1/2021/2021-06-26/html/reg3-fra.html</w:t>
              </w:r>
            </w:hyperlink>
          </w:p>
          <w:p w14:paraId="37D1F867" w14:textId="77777777" w:rsidR="00977F26" w:rsidRDefault="002A00CE" w:rsidP="00545014">
            <w:pPr>
              <w:spacing w:before="60" w:after="60"/>
            </w:pPr>
            <w:hyperlink r:id="rId9" w:history="1">
              <w:r w:rsidR="00DB6270">
                <w:rPr>
                  <w:color w:val="0000FF"/>
                  <w:u w:val="single"/>
                </w:rPr>
                <w:t>https://www.canada.ca/en/health-canada/programs/consultation-proposed-regulations-supplemented-foods.html</w:t>
              </w:r>
            </w:hyperlink>
          </w:p>
          <w:p w14:paraId="0D3361B6" w14:textId="77777777" w:rsidR="00977F26" w:rsidRDefault="002A00CE" w:rsidP="00545014">
            <w:pPr>
              <w:spacing w:before="60" w:after="60"/>
            </w:pPr>
            <w:hyperlink r:id="rId10" w:history="1">
              <w:r w:rsidR="00DB6270">
                <w:rPr>
                  <w:color w:val="0000FF"/>
                  <w:u w:val="single"/>
                </w:rPr>
                <w:t>https://www.canada.ca/fr/sante-canada/programmes/consultation-projet-reglement-aliments-supplementes.html</w:t>
              </w:r>
            </w:hyperlink>
            <w:r w:rsidR="00DB6270">
              <w:t xml:space="preserve"> </w:t>
            </w:r>
          </w:p>
          <w:p w14:paraId="073831E0" w14:textId="77777777" w:rsidR="00977F26" w:rsidRDefault="00DB6270" w:rsidP="00545014">
            <w:pPr>
              <w:spacing w:before="60" w:after="60"/>
            </w:pPr>
            <w:r>
              <w:t xml:space="preserve">Prolongation de la période de commentaires </w:t>
            </w:r>
            <w:bookmarkEnd w:id="27"/>
          </w:p>
        </w:tc>
      </w:tr>
    </w:tbl>
    <w:p w14:paraId="1159931C" w14:textId="77777777" w:rsidR="002A15F6" w:rsidRPr="00DC417E" w:rsidRDefault="002A15F6" w:rsidP="002A15F6"/>
    <w:p w14:paraId="346D4FCC" w14:textId="77777777" w:rsidR="00316410" w:rsidRDefault="00DB6270" w:rsidP="003677BA">
      <w:pPr>
        <w:spacing w:after="120"/>
      </w:pPr>
      <w:r w:rsidRPr="00DC417E">
        <w:rPr>
          <w:b/>
          <w:bCs/>
        </w:rPr>
        <w:t>Description:</w:t>
      </w:r>
      <w:r w:rsidRPr="00D14904">
        <w:rPr>
          <w:bCs/>
        </w:rPr>
        <w:t xml:space="preserve"> Cette proposition réglementaire a pour but d'établir un cadre réglementaire pour les aliments supplémentés au Canada. Le Canada considère les aliments supplémentés comme étant des aliments préemballés contenant un ou plusieurs ingrédients supplémentaires, par exemple des vitamines, des minéraux nutritifs, des acides aminés et d'autres ingrédients (p. ex., caféine, extraits de plantes médicinales). Historiquement, ces aliments ont été commercialisés pour produire des effets physiologiques ou sanitaires particuliers. Cela comprend, entre autres, les boissons avec ajout de minéraux qui sont commercialisées aux fins d'hydratation, les boissons énergisantes contenant de la caféine qui sont commercialisées pour rétablir l'état de vigilance, et les barres collations avec </w:t>
      </w:r>
      <w:r w:rsidRPr="00D14904">
        <w:rPr>
          <w:bCs/>
        </w:rPr>
        <w:lastRenderedPageBreak/>
        <w:t>ajout de vitamines qui sont commercialisées pour le maintien d'une bonne santé. Présentement, ces aliments sont temporairement autorisés sur le marché canadien au cas par cas.</w:t>
      </w:r>
    </w:p>
    <w:p w14:paraId="609B088B" w14:textId="77777777" w:rsidR="009E5B58" w:rsidRPr="00D14904" w:rsidRDefault="00DB6270" w:rsidP="003677BA">
      <w:pPr>
        <w:spacing w:after="120"/>
        <w:rPr>
          <w:bCs/>
        </w:rPr>
      </w:pPr>
      <w:r w:rsidRPr="00D14904">
        <w:rPr>
          <w:bCs/>
        </w:rPr>
        <w:t xml:space="preserve">Le cadre réglementaire proposé consisterait à établir les ingrédients supplémentaires autorisés et leurs conditions d'utilisation, les catégories d'aliments autorisés à être supplémentés, ainsi que les exigences relatives à l'étiquetage et aux allégations. Certaines modifications aux parties B et D du </w:t>
      </w:r>
      <w:r w:rsidRPr="00D14904">
        <w:rPr>
          <w:bCs/>
          <w:i/>
          <w:iCs/>
        </w:rPr>
        <w:t>Règlement sur les aliments et drogues du Canada</w:t>
      </w:r>
      <w:r w:rsidRPr="00D14904">
        <w:rPr>
          <w:bCs/>
        </w:rPr>
        <w:t xml:space="preserve"> sont proposées.</w:t>
      </w:r>
    </w:p>
    <w:p w14:paraId="36A3A89E" w14:textId="77777777" w:rsidR="009E5B58" w:rsidRPr="00D14904" w:rsidRDefault="00DB6270" w:rsidP="003677BA">
      <w:pPr>
        <w:spacing w:after="120"/>
        <w:rPr>
          <w:bCs/>
        </w:rPr>
      </w:pPr>
      <w:r w:rsidRPr="00D14904">
        <w:rPr>
          <w:bCs/>
        </w:rPr>
        <w:t>La période de consultation qui s'est ouverte le 26 juin 2021 a maintenant été prolongée du 25 août 2021 au 24 septembre 2021 à 23h59 heure avancée de l'Est (EDT).</w:t>
      </w:r>
    </w:p>
    <w:p w14:paraId="3F88935C" w14:textId="77777777" w:rsidR="00316410" w:rsidRPr="00316410" w:rsidRDefault="00DB6270" w:rsidP="00316410">
      <w:pPr>
        <w:jc w:val="center"/>
      </w:pPr>
      <w:r>
        <w:rPr>
          <w:b/>
        </w:rPr>
        <w:t>__________</w:t>
      </w:r>
    </w:p>
    <w:sectPr w:rsidR="00316410" w:rsidRPr="00316410" w:rsidSect="00CA602B">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E72E" w14:textId="77777777" w:rsidR="001E3402" w:rsidRDefault="00DB6270">
      <w:r>
        <w:separator/>
      </w:r>
    </w:p>
  </w:endnote>
  <w:endnote w:type="continuationSeparator" w:id="0">
    <w:p w14:paraId="27706B9C" w14:textId="77777777" w:rsidR="001E3402" w:rsidRDefault="00D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A0E4" w14:textId="77777777" w:rsidR="00E029B9" w:rsidRPr="004B0033" w:rsidRDefault="00DB6270" w:rsidP="004B0033">
    <w:pPr>
      <w:pStyle w:val="Footer"/>
    </w:pPr>
    <w:r>
      <w:t xml:space="preserve"> </w:t>
    </w:r>
  </w:p>
  <w:p w14:paraId="3D911E99" w14:textId="77777777" w:rsidR="00EE6484" w:rsidRDefault="00EE64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14FE" w14:textId="77777777" w:rsidR="00E029B9" w:rsidRPr="004B0033" w:rsidRDefault="00DB6270" w:rsidP="004B0033">
    <w:pPr>
      <w:pStyle w:val="Footer"/>
    </w:pPr>
    <w:r>
      <w:t xml:space="preserve"> </w:t>
    </w:r>
  </w:p>
  <w:p w14:paraId="20742A85" w14:textId="77777777" w:rsidR="00EE6484" w:rsidRDefault="00EE64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ECD0" w14:textId="77777777" w:rsidR="00E029B9" w:rsidRPr="0098572C" w:rsidRDefault="00DB6270" w:rsidP="0098572C">
    <w:pPr>
      <w:pStyle w:val="Footer"/>
    </w:pPr>
    <w:bookmarkStart w:id="37" w:name="_Hlk23414682"/>
    <w:bookmarkStart w:id="38" w:name="_Hlk23414683"/>
    <w:r>
      <w:t xml:space="preserve"> </w:t>
    </w:r>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01B7" w14:textId="77777777" w:rsidR="00687AF9" w:rsidRDefault="00DB6270" w:rsidP="00ED54E0">
      <w:bookmarkStart w:id="0" w:name="_Hlk23414684"/>
      <w:bookmarkStart w:id="1" w:name="_Hlk23414685"/>
      <w:r>
        <w:separator/>
      </w:r>
      <w:bookmarkEnd w:id="0"/>
      <w:bookmarkEnd w:id="1"/>
    </w:p>
  </w:footnote>
  <w:footnote w:type="continuationSeparator" w:id="0">
    <w:p w14:paraId="646BEAF1" w14:textId="77777777" w:rsidR="00687AF9" w:rsidRDefault="00DB6270" w:rsidP="00ED54E0">
      <w:bookmarkStart w:id="2" w:name="_Hlk23414686"/>
      <w:bookmarkStart w:id="3" w:name="_Hlk23414687"/>
      <w:r>
        <w:continuationSeparator/>
      </w:r>
      <w:bookmarkEnd w:id="2"/>
      <w:bookmarkEnd w:id="3"/>
    </w:p>
    <w:p w14:paraId="1B210FCC" w14:textId="77777777" w:rsidR="00687AF9" w:rsidRDefault="00687AF9"/>
    <w:p w14:paraId="5E67BC54" w14:textId="77777777" w:rsidR="00687AF9" w:rsidRDefault="00DB6270">
      <w:r>
        <w:separator/>
      </w:r>
    </w:p>
  </w:footnote>
  <w:footnote w:id="1">
    <w:p w14:paraId="53661BED" w14:textId="77777777" w:rsidR="00B664D8" w:rsidRPr="00DC417E" w:rsidRDefault="00DB6270" w:rsidP="002A15F6">
      <w:pPr>
        <w:pStyle w:val="FootnoteText"/>
      </w:pPr>
      <w:r>
        <w:rPr>
          <w:rStyle w:val="FootnoteReference"/>
        </w:rPr>
        <w:t>1</w:t>
      </w:r>
      <w:r w:rsidRPr="00DC417E">
        <w:t xml:space="preserve"> </w:t>
      </w:r>
      <w:r w:rsidR="00F31704" w:rsidRPr="00F31704">
        <w:t>Il est possible d'indiquer une adresse de site Web, de joindre un fichier en format pdf ou de fournir tout autre renseignement permettant d'accéder au texte de la mesure finale</w:t>
      </w:r>
      <w:r w:rsidR="009573D8">
        <w:t>/</w:t>
      </w:r>
      <w:r w:rsidR="005F3AA1">
        <w:t>m</w:t>
      </w:r>
      <w:r w:rsidR="005F3AA1" w:rsidRPr="0020277D">
        <w:t xml:space="preserve">odification de la </w:t>
      </w:r>
      <w:r w:rsidR="00E65E3F" w:rsidRPr="00E65E3F">
        <w:t xml:space="preserve">mesure </w:t>
      </w:r>
      <w:r w:rsidR="00F31704" w:rsidRPr="00F31704">
        <w:t>et/ou aux directives d'interprétation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769E" w14:textId="77777777" w:rsidR="004B0033" w:rsidRDefault="00DB6270" w:rsidP="004B0033">
    <w:pPr>
      <w:pStyle w:val="Header"/>
      <w:pBdr>
        <w:bottom w:val="single" w:sz="4" w:space="1" w:color="auto"/>
      </w:pBdr>
      <w:tabs>
        <w:tab w:val="clear" w:pos="4513"/>
        <w:tab w:val="clear" w:pos="9027"/>
      </w:tabs>
      <w:jc w:val="center"/>
    </w:pPr>
    <w:bookmarkStart w:id="28" w:name="bmkSymbols2"/>
    <w:bookmarkStart w:id="29" w:name="_Hlk34992164"/>
    <w:r>
      <w:t>PROVISIONAL215183</w:t>
    </w:r>
    <w:bookmarkEnd w:id="28"/>
    <w:bookmarkEnd w:id="29"/>
  </w:p>
  <w:p w14:paraId="147861DE" w14:textId="77777777" w:rsidR="00CE40CA" w:rsidRPr="004B0033" w:rsidRDefault="00CE40CA" w:rsidP="004B0033">
    <w:pPr>
      <w:pStyle w:val="Header"/>
      <w:pBdr>
        <w:bottom w:val="single" w:sz="4" w:space="1" w:color="auto"/>
      </w:pBdr>
      <w:tabs>
        <w:tab w:val="clear" w:pos="4513"/>
        <w:tab w:val="clear" w:pos="9027"/>
      </w:tabs>
      <w:jc w:val="center"/>
    </w:pPr>
  </w:p>
  <w:p w14:paraId="694F4CA6" w14:textId="77777777" w:rsidR="004B0033" w:rsidRPr="004B0033" w:rsidRDefault="00DB6270" w:rsidP="004B0033">
    <w:pPr>
      <w:pStyle w:val="Header"/>
      <w:pBdr>
        <w:bottom w:val="single" w:sz="4" w:space="1" w:color="auto"/>
      </w:pBdr>
      <w:tabs>
        <w:tab w:val="clear" w:pos="4513"/>
        <w:tab w:val="clear" w:pos="9027"/>
      </w:tabs>
      <w:jc w:val="center"/>
    </w:pPr>
    <w:r w:rsidRPr="004B0033">
      <w:t xml:space="preserve">- </w:t>
    </w:r>
    <w:r w:rsidRPr="004B0033">
      <w:fldChar w:fldCharType="begin"/>
    </w:r>
    <w:r w:rsidRPr="004B0033">
      <w:instrText xml:space="preserve"> PAGE </w:instrText>
    </w:r>
    <w:r w:rsidRPr="004B0033">
      <w:fldChar w:fldCharType="separate"/>
    </w:r>
    <w:r w:rsidRPr="004B0033">
      <w:rPr>
        <w:noProof/>
      </w:rPr>
      <w:t>2</w:t>
    </w:r>
    <w:r w:rsidRPr="004B0033">
      <w:fldChar w:fldCharType="end"/>
    </w:r>
    <w:r w:rsidRPr="004B0033">
      <w:t xml:space="preserve"> -</w:t>
    </w:r>
  </w:p>
  <w:p w14:paraId="223C75B1" w14:textId="77777777" w:rsidR="0098572C" w:rsidRPr="004B0033" w:rsidRDefault="0098572C" w:rsidP="004B0033">
    <w:pPr>
      <w:pStyle w:val="Header"/>
      <w:tabs>
        <w:tab w:val="clear" w:pos="4513"/>
        <w:tab w:val="clear" w:pos="9027"/>
      </w:tabs>
      <w:jc w:val="center"/>
    </w:pPr>
  </w:p>
  <w:p w14:paraId="047BC4AC" w14:textId="77777777" w:rsidR="00EE6484" w:rsidRDefault="00EE64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B7B0" w14:textId="77777777" w:rsidR="004B0033" w:rsidRPr="00324B02" w:rsidRDefault="00DB6270" w:rsidP="004B0033">
    <w:pPr>
      <w:pStyle w:val="Header"/>
      <w:pBdr>
        <w:bottom w:val="single" w:sz="4" w:space="1" w:color="auto"/>
      </w:pBdr>
      <w:tabs>
        <w:tab w:val="clear" w:pos="4513"/>
        <w:tab w:val="clear" w:pos="9027"/>
      </w:tabs>
      <w:jc w:val="center"/>
      <w:rPr>
        <w:lang w:val="en-GB"/>
      </w:rPr>
    </w:pPr>
    <w:bookmarkStart w:id="30" w:name="spsSymbolHeader"/>
    <w:r w:rsidRPr="00324B02">
      <w:rPr>
        <w:lang w:val="en-GB"/>
      </w:rPr>
      <w:t>G/TBT/N/CAN/647/Add.1</w:t>
    </w:r>
    <w:bookmarkEnd w:id="30"/>
  </w:p>
  <w:p w14:paraId="0FE1B441" w14:textId="77777777" w:rsidR="004B0033" w:rsidRPr="00324B02" w:rsidRDefault="004B0033" w:rsidP="004B0033">
    <w:pPr>
      <w:pStyle w:val="Header"/>
      <w:pBdr>
        <w:bottom w:val="single" w:sz="4" w:space="1" w:color="auto"/>
      </w:pBdr>
      <w:tabs>
        <w:tab w:val="clear" w:pos="4513"/>
        <w:tab w:val="clear" w:pos="9027"/>
      </w:tabs>
      <w:jc w:val="center"/>
      <w:rPr>
        <w:lang w:val="en-GB"/>
      </w:rPr>
    </w:pPr>
  </w:p>
  <w:p w14:paraId="60CCE8DE" w14:textId="77777777" w:rsidR="004B0033" w:rsidRPr="004B0033" w:rsidRDefault="00DB6270" w:rsidP="004B0033">
    <w:pPr>
      <w:pStyle w:val="Header"/>
      <w:pBdr>
        <w:bottom w:val="single" w:sz="4" w:space="1" w:color="auto"/>
      </w:pBdr>
      <w:tabs>
        <w:tab w:val="clear" w:pos="4513"/>
        <w:tab w:val="clear" w:pos="9027"/>
      </w:tabs>
      <w:jc w:val="center"/>
    </w:pPr>
    <w:r w:rsidRPr="004B0033">
      <w:t xml:space="preserve">- </w:t>
    </w:r>
    <w:r w:rsidRPr="004B0033">
      <w:fldChar w:fldCharType="begin"/>
    </w:r>
    <w:r w:rsidRPr="004B0033">
      <w:instrText xml:space="preserve"> PAGE </w:instrText>
    </w:r>
    <w:r w:rsidRPr="004B0033">
      <w:fldChar w:fldCharType="separate"/>
    </w:r>
    <w:r w:rsidRPr="004B0033">
      <w:rPr>
        <w:noProof/>
      </w:rPr>
      <w:t>2</w:t>
    </w:r>
    <w:r w:rsidRPr="004B0033">
      <w:fldChar w:fldCharType="end"/>
    </w:r>
    <w:r w:rsidRPr="004B0033">
      <w:t xml:space="preserve"> -</w:t>
    </w:r>
  </w:p>
  <w:p w14:paraId="300E82E3" w14:textId="77777777" w:rsidR="0098572C" w:rsidRPr="004B0033" w:rsidRDefault="0098572C" w:rsidP="004B0033">
    <w:pPr>
      <w:pStyle w:val="Header"/>
      <w:tabs>
        <w:tab w:val="clear" w:pos="4513"/>
        <w:tab w:val="clear" w:pos="9027"/>
      </w:tabs>
      <w:jc w:val="center"/>
    </w:pPr>
  </w:p>
  <w:p w14:paraId="37C00A11" w14:textId="77777777" w:rsidR="00EE6484" w:rsidRDefault="00EE64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D09E3" w14:paraId="1E376BEA" w14:textId="77777777" w:rsidTr="0098572C">
      <w:trPr>
        <w:trHeight w:val="240"/>
        <w:jc w:val="center"/>
      </w:trPr>
      <w:tc>
        <w:tcPr>
          <w:tcW w:w="2053" w:type="pct"/>
          <w:shd w:val="clear" w:color="auto" w:fill="auto"/>
          <w:tcMar>
            <w:left w:w="108" w:type="dxa"/>
            <w:right w:w="108" w:type="dxa"/>
          </w:tcMar>
          <w:vAlign w:val="center"/>
        </w:tcPr>
        <w:p w14:paraId="65F9C830" w14:textId="77777777" w:rsidR="0098572C" w:rsidRPr="0098572C" w:rsidRDefault="0098572C" w:rsidP="0098572C">
          <w:pPr>
            <w:rPr>
              <w:rFonts w:eastAsia="Verdana" w:cs="Verdana"/>
              <w:noProof/>
              <w:szCs w:val="18"/>
              <w:lang w:eastAsia="en-GB"/>
            </w:rPr>
          </w:pPr>
          <w:bookmarkStart w:id="31" w:name="_Hlk23414680"/>
          <w:bookmarkStart w:id="32" w:name="_Hlk23414681"/>
        </w:p>
      </w:tc>
      <w:tc>
        <w:tcPr>
          <w:tcW w:w="2947" w:type="pct"/>
          <w:gridSpan w:val="2"/>
          <w:shd w:val="clear" w:color="auto" w:fill="auto"/>
          <w:tcMar>
            <w:left w:w="108" w:type="dxa"/>
            <w:right w:w="108" w:type="dxa"/>
          </w:tcMar>
          <w:vAlign w:val="center"/>
        </w:tcPr>
        <w:p w14:paraId="3A81BCDE" w14:textId="77777777" w:rsidR="0098572C" w:rsidRPr="0098572C" w:rsidRDefault="00DB6270" w:rsidP="0098572C">
          <w:pPr>
            <w:jc w:val="right"/>
            <w:rPr>
              <w:rFonts w:eastAsia="Verdana" w:cs="Verdana"/>
              <w:b/>
              <w:color w:val="FF0000"/>
              <w:szCs w:val="18"/>
            </w:rPr>
          </w:pPr>
          <w:r>
            <w:rPr>
              <w:rFonts w:eastAsia="Verdana" w:cs="Verdana"/>
              <w:b/>
              <w:color w:val="FF0000"/>
              <w:szCs w:val="18"/>
            </w:rPr>
            <w:t xml:space="preserve"> </w:t>
          </w:r>
        </w:p>
      </w:tc>
    </w:tr>
    <w:tr w:rsidR="004D09E3" w14:paraId="1824EBE6" w14:textId="77777777" w:rsidTr="0098572C">
      <w:trPr>
        <w:trHeight w:val="213"/>
        <w:jc w:val="center"/>
      </w:trPr>
      <w:tc>
        <w:tcPr>
          <w:tcW w:w="2053" w:type="pct"/>
          <w:vMerge w:val="restart"/>
          <w:shd w:val="clear" w:color="auto" w:fill="auto"/>
          <w:tcMar>
            <w:left w:w="0" w:type="dxa"/>
            <w:right w:w="0" w:type="dxa"/>
          </w:tcMar>
        </w:tcPr>
        <w:p w14:paraId="4F33ACA0" w14:textId="77777777" w:rsidR="0098572C" w:rsidRPr="0098572C" w:rsidRDefault="00DB6270" w:rsidP="0098572C">
          <w:pPr>
            <w:jc w:val="left"/>
            <w:rPr>
              <w:rFonts w:eastAsia="Verdana" w:cs="Verdana"/>
              <w:szCs w:val="18"/>
            </w:rPr>
          </w:pPr>
          <w:r w:rsidRPr="0098572C">
            <w:rPr>
              <w:rFonts w:eastAsia="Verdana" w:cs="Verdana"/>
              <w:noProof/>
              <w:szCs w:val="18"/>
            </w:rPr>
            <w:drawing>
              <wp:inline distT="0" distB="0" distL="0" distR="0" wp14:anchorId="637E5B8D" wp14:editId="018B2DBB">
                <wp:extent cx="2376297" cy="720090"/>
                <wp:effectExtent l="0" t="0" r="5080" b="3810"/>
                <wp:docPr id="4" name="Image 9"/>
                <wp:cNvGraphicFramePr/>
                <a:graphic xmlns:a="http://schemas.openxmlformats.org/drawingml/2006/main">
                  <a:graphicData uri="http://schemas.openxmlformats.org/drawingml/2006/picture">
                    <pic:pic xmlns:pic="http://schemas.openxmlformats.org/drawingml/2006/picture">
                      <pic:nvPicPr>
                        <pic:cNvPr id="596217150"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C724DF2" w14:textId="77777777" w:rsidR="0098572C" w:rsidRPr="0098572C" w:rsidRDefault="0098572C" w:rsidP="0098572C">
          <w:pPr>
            <w:jc w:val="right"/>
            <w:rPr>
              <w:rFonts w:eastAsia="Verdana" w:cs="Verdana"/>
              <w:b/>
              <w:szCs w:val="18"/>
            </w:rPr>
          </w:pPr>
        </w:p>
      </w:tc>
    </w:tr>
    <w:tr w:rsidR="004D09E3" w:rsidRPr="00D640FE" w14:paraId="28184333" w14:textId="77777777" w:rsidTr="0098572C">
      <w:trPr>
        <w:trHeight w:val="868"/>
        <w:jc w:val="center"/>
      </w:trPr>
      <w:tc>
        <w:tcPr>
          <w:tcW w:w="2053" w:type="pct"/>
          <w:vMerge/>
          <w:shd w:val="clear" w:color="auto" w:fill="auto"/>
          <w:tcMar>
            <w:left w:w="108" w:type="dxa"/>
            <w:right w:w="108" w:type="dxa"/>
          </w:tcMar>
        </w:tcPr>
        <w:p w14:paraId="5B7A85C2" w14:textId="77777777" w:rsidR="0098572C" w:rsidRPr="0098572C" w:rsidRDefault="0098572C" w:rsidP="0098572C">
          <w:pPr>
            <w:jc w:val="left"/>
            <w:rPr>
              <w:rFonts w:eastAsia="Verdana" w:cs="Verdana"/>
              <w:noProof/>
              <w:szCs w:val="18"/>
              <w:lang w:eastAsia="en-GB"/>
            </w:rPr>
          </w:pPr>
        </w:p>
      </w:tc>
      <w:tc>
        <w:tcPr>
          <w:tcW w:w="2947" w:type="pct"/>
          <w:gridSpan w:val="2"/>
          <w:shd w:val="clear" w:color="auto" w:fill="auto"/>
          <w:tcMar>
            <w:left w:w="108" w:type="dxa"/>
            <w:right w:w="108" w:type="dxa"/>
          </w:tcMar>
        </w:tcPr>
        <w:p w14:paraId="066A4DF4" w14:textId="77777777" w:rsidR="00D02E2C" w:rsidRPr="00324B02" w:rsidRDefault="00DB6270" w:rsidP="00D02E2C">
          <w:pPr>
            <w:jc w:val="right"/>
            <w:rPr>
              <w:b/>
              <w:szCs w:val="16"/>
              <w:lang w:val="en-GB"/>
            </w:rPr>
          </w:pPr>
          <w:bookmarkStart w:id="33" w:name="bmkSymbols"/>
          <w:r w:rsidRPr="00324B02">
            <w:rPr>
              <w:b/>
              <w:szCs w:val="16"/>
              <w:lang w:val="en-GB"/>
            </w:rPr>
            <w:t>G/TBT/N/CAN/647/Add.1</w:t>
          </w:r>
          <w:bookmarkEnd w:id="33"/>
        </w:p>
        <w:p w14:paraId="373D4163" w14:textId="77777777" w:rsidR="004B0033" w:rsidRPr="00F62548" w:rsidRDefault="004B0033" w:rsidP="0098572C">
          <w:pPr>
            <w:jc w:val="right"/>
            <w:rPr>
              <w:b/>
              <w:szCs w:val="18"/>
              <w:lang w:val="en-GB"/>
            </w:rPr>
          </w:pPr>
        </w:p>
        <w:p w14:paraId="44025233" w14:textId="77777777" w:rsidR="0098572C" w:rsidRPr="00F62548" w:rsidRDefault="0098572C" w:rsidP="0098572C">
          <w:pPr>
            <w:jc w:val="right"/>
            <w:rPr>
              <w:rFonts w:eastAsia="Verdana" w:cs="Verdana"/>
              <w:b/>
              <w:szCs w:val="18"/>
              <w:lang w:val="en-GB"/>
            </w:rPr>
          </w:pPr>
        </w:p>
      </w:tc>
    </w:tr>
    <w:tr w:rsidR="004D09E3" w:rsidRPr="00324B02" w14:paraId="41187772" w14:textId="77777777" w:rsidTr="0098572C">
      <w:trPr>
        <w:trHeight w:val="240"/>
        <w:jc w:val="center"/>
      </w:trPr>
      <w:tc>
        <w:tcPr>
          <w:tcW w:w="2053" w:type="pct"/>
          <w:vMerge/>
          <w:shd w:val="clear" w:color="auto" w:fill="auto"/>
          <w:tcMar>
            <w:left w:w="108" w:type="dxa"/>
            <w:right w:w="108" w:type="dxa"/>
          </w:tcMar>
          <w:vAlign w:val="center"/>
        </w:tcPr>
        <w:p w14:paraId="45D6B8BE" w14:textId="77777777" w:rsidR="0098572C" w:rsidRPr="00F62548" w:rsidRDefault="0098572C" w:rsidP="0098572C">
          <w:pPr>
            <w:rPr>
              <w:rFonts w:eastAsia="Verdana" w:cs="Verdana"/>
              <w:szCs w:val="18"/>
              <w:lang w:val="en-GB"/>
            </w:rPr>
          </w:pPr>
        </w:p>
      </w:tc>
      <w:tc>
        <w:tcPr>
          <w:tcW w:w="2947" w:type="pct"/>
          <w:gridSpan w:val="2"/>
          <w:shd w:val="clear" w:color="auto" w:fill="auto"/>
          <w:tcMar>
            <w:left w:w="108" w:type="dxa"/>
            <w:right w:w="108" w:type="dxa"/>
          </w:tcMar>
          <w:vAlign w:val="center"/>
        </w:tcPr>
        <w:p w14:paraId="597A3A39" w14:textId="3CE3B7AA" w:rsidR="0098572C" w:rsidRPr="00324B02" w:rsidRDefault="00324B02" w:rsidP="0098572C">
          <w:pPr>
            <w:jc w:val="right"/>
            <w:rPr>
              <w:rFonts w:eastAsia="Verdana" w:cs="Verdana"/>
              <w:szCs w:val="18"/>
              <w:lang w:val="en-GB"/>
            </w:rPr>
          </w:pPr>
          <w:bookmarkStart w:id="34" w:name="bmkDate"/>
          <w:bookmarkEnd w:id="34"/>
          <w:r>
            <w:rPr>
              <w:rFonts w:eastAsia="Verdana" w:cs="Verdana"/>
              <w:szCs w:val="18"/>
              <w:lang w:val="en-GB"/>
            </w:rPr>
            <w:t>13 août 221</w:t>
          </w:r>
        </w:p>
      </w:tc>
    </w:tr>
    <w:tr w:rsidR="004D09E3" w14:paraId="253CAEC5" w14:textId="77777777" w:rsidTr="0098572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2AB28FA" w14:textId="5F98C1C1" w:rsidR="0098572C" w:rsidRPr="0098572C" w:rsidRDefault="00DB6270" w:rsidP="0098572C">
          <w:pPr>
            <w:jc w:val="left"/>
            <w:rPr>
              <w:rFonts w:eastAsia="Verdana" w:cs="Verdana"/>
              <w:b/>
              <w:szCs w:val="18"/>
            </w:rPr>
          </w:pPr>
          <w:r w:rsidRPr="00EE6DEC">
            <w:rPr>
              <w:color w:val="FF0000"/>
              <w:szCs w:val="18"/>
            </w:rPr>
            <w:t>(</w:t>
          </w:r>
          <w:bookmarkStart w:id="35" w:name="bmkSerial"/>
          <w:r w:rsidR="00324B02">
            <w:rPr>
              <w:color w:val="FF0000"/>
              <w:szCs w:val="16"/>
            </w:rPr>
            <w:t>21</w:t>
          </w:r>
          <w:r w:rsidR="00D02E2C" w:rsidRPr="002F663C">
            <w:rPr>
              <w:color w:val="FF0000"/>
              <w:szCs w:val="16"/>
            </w:rPr>
            <w:t>-</w:t>
          </w:r>
          <w:bookmarkEnd w:id="35"/>
          <w:r w:rsidR="00D640FE">
            <w:rPr>
              <w:color w:val="FF0000"/>
              <w:szCs w:val="16"/>
            </w:rPr>
            <w:t>6207</w:t>
          </w:r>
          <w:r w:rsidRPr="00EE6DEC">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B4FF37B" w14:textId="77777777" w:rsidR="0098572C" w:rsidRPr="0098572C" w:rsidRDefault="00DB6270" w:rsidP="0098572C">
          <w:pPr>
            <w:jc w:val="right"/>
            <w:rPr>
              <w:rFonts w:eastAsia="Verdana" w:cs="Verdana"/>
              <w:szCs w:val="18"/>
            </w:rPr>
          </w:pPr>
          <w:r w:rsidRPr="0098572C">
            <w:rPr>
              <w:rFonts w:eastAsia="Verdana" w:cs="Verdana"/>
              <w:szCs w:val="18"/>
            </w:rPr>
            <w:t xml:space="preserve">Page: </w:t>
          </w:r>
          <w:r w:rsidRPr="0098572C">
            <w:rPr>
              <w:rFonts w:eastAsia="Verdana" w:cs="Verdana"/>
              <w:szCs w:val="18"/>
            </w:rPr>
            <w:fldChar w:fldCharType="begin"/>
          </w:r>
          <w:r w:rsidRPr="0098572C">
            <w:rPr>
              <w:rFonts w:eastAsia="Verdana" w:cs="Verdana"/>
              <w:szCs w:val="18"/>
            </w:rPr>
            <w:instrText xml:space="preserve"> PAGE  \* Arabic  \* MERGEFORMAT </w:instrText>
          </w:r>
          <w:r w:rsidRPr="0098572C">
            <w:rPr>
              <w:rFonts w:eastAsia="Verdana" w:cs="Verdana"/>
              <w:szCs w:val="18"/>
            </w:rPr>
            <w:fldChar w:fldCharType="separate"/>
          </w:r>
          <w:r w:rsidRPr="0098572C">
            <w:rPr>
              <w:rFonts w:eastAsia="Verdana" w:cs="Verdana"/>
              <w:noProof/>
              <w:szCs w:val="18"/>
            </w:rPr>
            <w:t>1</w:t>
          </w:r>
          <w:r w:rsidRPr="0098572C">
            <w:rPr>
              <w:rFonts w:eastAsia="Verdana" w:cs="Verdana"/>
              <w:szCs w:val="18"/>
            </w:rPr>
            <w:fldChar w:fldCharType="end"/>
          </w:r>
          <w:r w:rsidRPr="0098572C">
            <w:rPr>
              <w:rFonts w:eastAsia="Verdana" w:cs="Verdana"/>
              <w:szCs w:val="18"/>
            </w:rPr>
            <w:t>/</w:t>
          </w:r>
          <w:r w:rsidRPr="0098572C">
            <w:rPr>
              <w:rFonts w:eastAsia="Verdana" w:cs="Verdana"/>
              <w:szCs w:val="18"/>
            </w:rPr>
            <w:fldChar w:fldCharType="begin"/>
          </w:r>
          <w:r w:rsidRPr="0098572C">
            <w:rPr>
              <w:rFonts w:eastAsia="Verdana" w:cs="Verdana"/>
              <w:szCs w:val="18"/>
            </w:rPr>
            <w:instrText xml:space="preserve"> NUMPAGES  \# "0" \* Arabic  \* MERGEFORMAT </w:instrText>
          </w:r>
          <w:r w:rsidRPr="0098572C">
            <w:rPr>
              <w:rFonts w:eastAsia="Verdana" w:cs="Verdana"/>
              <w:szCs w:val="18"/>
            </w:rPr>
            <w:fldChar w:fldCharType="separate"/>
          </w:r>
          <w:r w:rsidRPr="0098572C">
            <w:rPr>
              <w:rFonts w:eastAsia="Verdana" w:cs="Verdana"/>
              <w:noProof/>
              <w:szCs w:val="18"/>
            </w:rPr>
            <w:t>3</w:t>
          </w:r>
          <w:r w:rsidRPr="0098572C">
            <w:rPr>
              <w:rFonts w:eastAsia="Verdana" w:cs="Verdana"/>
              <w:szCs w:val="18"/>
            </w:rPr>
            <w:fldChar w:fldCharType="end"/>
          </w:r>
        </w:p>
      </w:tc>
    </w:tr>
    <w:tr w:rsidR="004D09E3" w14:paraId="533D5DC5" w14:textId="77777777" w:rsidTr="0098572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409836D" w14:textId="77777777" w:rsidR="0098572C" w:rsidRPr="0098572C" w:rsidRDefault="00DB6270" w:rsidP="00557059">
          <w:pPr>
            <w:jc w:val="left"/>
            <w:rPr>
              <w:rFonts w:eastAsia="Verdana" w:cs="Verdana"/>
              <w:szCs w:val="18"/>
            </w:rPr>
          </w:pPr>
          <w:r>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C03A77E" w14:textId="647F81D4" w:rsidR="0098572C" w:rsidRPr="0098572C" w:rsidRDefault="00DB6270" w:rsidP="0098572C">
          <w:pPr>
            <w:jc w:val="right"/>
            <w:rPr>
              <w:rFonts w:eastAsia="Verdana" w:cs="Verdana"/>
              <w:bCs/>
              <w:szCs w:val="18"/>
            </w:rPr>
          </w:pPr>
          <w:r w:rsidRPr="00EE6DEC">
            <w:rPr>
              <w:szCs w:val="18"/>
            </w:rPr>
            <w:t xml:space="preserve">Original: </w:t>
          </w:r>
          <w:bookmarkStart w:id="36" w:name="bmkOriginalLanguage"/>
          <w:r w:rsidR="00557059">
            <w:rPr>
              <w:bCs/>
              <w:szCs w:val="18"/>
            </w:rPr>
            <w:t>anglais</w:t>
          </w:r>
          <w:r w:rsidR="002A00CE">
            <w:rPr>
              <w:bCs/>
              <w:szCs w:val="18"/>
            </w:rPr>
            <w:t>/</w:t>
          </w:r>
          <w:r w:rsidR="00557059">
            <w:rPr>
              <w:bCs/>
              <w:szCs w:val="18"/>
            </w:rPr>
            <w:t>français</w:t>
          </w:r>
          <w:bookmarkEnd w:id="36"/>
        </w:p>
      </w:tc>
    </w:tr>
    <w:bookmarkEnd w:id="31"/>
    <w:bookmarkEnd w:id="32"/>
  </w:tbl>
  <w:p w14:paraId="744335F7" w14:textId="77777777" w:rsidR="00E029B9" w:rsidRPr="0098572C" w:rsidRDefault="00E029B9" w:rsidP="0055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090001"/>
    <w:lvl w:ilvl="0">
      <w:start w:val="1"/>
      <w:numFmt w:val="bullet"/>
      <w:lvlText w:val=""/>
      <w:lvlJc w:val="left"/>
      <w:pPr>
        <w:ind w:left="1492" w:hanging="360"/>
      </w:pPr>
      <w:rPr>
        <w:rFonts w:ascii="Symbol" w:hAnsi="Symbol" w:hint="default"/>
      </w:r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78921C5E">
      <w:start w:val="1"/>
      <w:numFmt w:val="bullet"/>
      <w:lvlText w:val=""/>
      <w:lvlJc w:val="left"/>
      <w:pPr>
        <w:ind w:left="720" w:hanging="360"/>
      </w:pPr>
      <w:rPr>
        <w:rFonts w:ascii="Symbol" w:hAnsi="Symbol" w:hint="default"/>
      </w:rPr>
    </w:lvl>
    <w:lvl w:ilvl="1" w:tplc="9A7E6616" w:tentative="1">
      <w:start w:val="1"/>
      <w:numFmt w:val="bullet"/>
      <w:lvlText w:val="o"/>
      <w:lvlJc w:val="left"/>
      <w:pPr>
        <w:ind w:left="1440" w:hanging="360"/>
      </w:pPr>
      <w:rPr>
        <w:rFonts w:ascii="Courier New" w:hAnsi="Courier New" w:cs="Courier New" w:hint="default"/>
      </w:rPr>
    </w:lvl>
    <w:lvl w:ilvl="2" w:tplc="C01EB6F4" w:tentative="1">
      <w:start w:val="1"/>
      <w:numFmt w:val="bullet"/>
      <w:lvlText w:val=""/>
      <w:lvlJc w:val="left"/>
      <w:pPr>
        <w:ind w:left="2160" w:hanging="360"/>
      </w:pPr>
      <w:rPr>
        <w:rFonts w:ascii="Wingdings" w:hAnsi="Wingdings" w:hint="default"/>
      </w:rPr>
    </w:lvl>
    <w:lvl w:ilvl="3" w:tplc="4950DE5C" w:tentative="1">
      <w:start w:val="1"/>
      <w:numFmt w:val="bullet"/>
      <w:lvlText w:val=""/>
      <w:lvlJc w:val="left"/>
      <w:pPr>
        <w:ind w:left="2880" w:hanging="360"/>
      </w:pPr>
      <w:rPr>
        <w:rFonts w:ascii="Symbol" w:hAnsi="Symbol" w:hint="default"/>
      </w:rPr>
    </w:lvl>
    <w:lvl w:ilvl="4" w:tplc="23688D9E" w:tentative="1">
      <w:start w:val="1"/>
      <w:numFmt w:val="bullet"/>
      <w:lvlText w:val="o"/>
      <w:lvlJc w:val="left"/>
      <w:pPr>
        <w:ind w:left="3600" w:hanging="360"/>
      </w:pPr>
      <w:rPr>
        <w:rFonts w:ascii="Courier New" w:hAnsi="Courier New" w:cs="Courier New" w:hint="default"/>
      </w:rPr>
    </w:lvl>
    <w:lvl w:ilvl="5" w:tplc="58A0878E" w:tentative="1">
      <w:start w:val="1"/>
      <w:numFmt w:val="bullet"/>
      <w:lvlText w:val=""/>
      <w:lvlJc w:val="left"/>
      <w:pPr>
        <w:ind w:left="4320" w:hanging="360"/>
      </w:pPr>
      <w:rPr>
        <w:rFonts w:ascii="Wingdings" w:hAnsi="Wingdings" w:hint="default"/>
      </w:rPr>
    </w:lvl>
    <w:lvl w:ilvl="6" w:tplc="EEFA6D18" w:tentative="1">
      <w:start w:val="1"/>
      <w:numFmt w:val="bullet"/>
      <w:lvlText w:val=""/>
      <w:lvlJc w:val="left"/>
      <w:pPr>
        <w:ind w:left="5040" w:hanging="360"/>
      </w:pPr>
      <w:rPr>
        <w:rFonts w:ascii="Symbol" w:hAnsi="Symbol" w:hint="default"/>
      </w:rPr>
    </w:lvl>
    <w:lvl w:ilvl="7" w:tplc="D0587596" w:tentative="1">
      <w:start w:val="1"/>
      <w:numFmt w:val="bullet"/>
      <w:lvlText w:val="o"/>
      <w:lvlJc w:val="left"/>
      <w:pPr>
        <w:ind w:left="5760" w:hanging="360"/>
      </w:pPr>
      <w:rPr>
        <w:rFonts w:ascii="Courier New" w:hAnsi="Courier New" w:cs="Courier New" w:hint="default"/>
      </w:rPr>
    </w:lvl>
    <w:lvl w:ilvl="8" w:tplc="8A0A287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BA6600A">
      <w:start w:val="1"/>
      <w:numFmt w:val="decimal"/>
      <w:pStyle w:val="SummaryText"/>
      <w:lvlText w:val="%1."/>
      <w:lvlJc w:val="left"/>
      <w:pPr>
        <w:ind w:left="360" w:hanging="360"/>
      </w:pPr>
    </w:lvl>
    <w:lvl w:ilvl="1" w:tplc="B570071E" w:tentative="1">
      <w:start w:val="1"/>
      <w:numFmt w:val="lowerLetter"/>
      <w:lvlText w:val="%2."/>
      <w:lvlJc w:val="left"/>
      <w:pPr>
        <w:ind w:left="1080" w:hanging="360"/>
      </w:pPr>
    </w:lvl>
    <w:lvl w:ilvl="2" w:tplc="73585316" w:tentative="1">
      <w:start w:val="1"/>
      <w:numFmt w:val="lowerRoman"/>
      <w:lvlText w:val="%3."/>
      <w:lvlJc w:val="right"/>
      <w:pPr>
        <w:ind w:left="1800" w:hanging="180"/>
      </w:pPr>
    </w:lvl>
    <w:lvl w:ilvl="3" w:tplc="F710B9EC" w:tentative="1">
      <w:start w:val="1"/>
      <w:numFmt w:val="decimal"/>
      <w:lvlText w:val="%4."/>
      <w:lvlJc w:val="left"/>
      <w:pPr>
        <w:ind w:left="2520" w:hanging="360"/>
      </w:pPr>
    </w:lvl>
    <w:lvl w:ilvl="4" w:tplc="25129CB6" w:tentative="1">
      <w:start w:val="1"/>
      <w:numFmt w:val="lowerLetter"/>
      <w:lvlText w:val="%5."/>
      <w:lvlJc w:val="left"/>
      <w:pPr>
        <w:ind w:left="3240" w:hanging="360"/>
      </w:pPr>
    </w:lvl>
    <w:lvl w:ilvl="5" w:tplc="753028B8" w:tentative="1">
      <w:start w:val="1"/>
      <w:numFmt w:val="lowerRoman"/>
      <w:lvlText w:val="%6."/>
      <w:lvlJc w:val="right"/>
      <w:pPr>
        <w:ind w:left="3960" w:hanging="180"/>
      </w:pPr>
    </w:lvl>
    <w:lvl w:ilvl="6" w:tplc="70A4D784" w:tentative="1">
      <w:start w:val="1"/>
      <w:numFmt w:val="decimal"/>
      <w:lvlText w:val="%7."/>
      <w:lvlJc w:val="left"/>
      <w:pPr>
        <w:ind w:left="4680" w:hanging="360"/>
      </w:pPr>
    </w:lvl>
    <w:lvl w:ilvl="7" w:tplc="96C8F7EA" w:tentative="1">
      <w:start w:val="1"/>
      <w:numFmt w:val="lowerLetter"/>
      <w:lvlText w:val="%8."/>
      <w:lvlJc w:val="left"/>
      <w:pPr>
        <w:ind w:left="5400" w:hanging="360"/>
      </w:pPr>
    </w:lvl>
    <w:lvl w:ilvl="8" w:tplc="86CE26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F6"/>
    <w:rsid w:val="0000554B"/>
    <w:rsid w:val="000106E0"/>
    <w:rsid w:val="000111BB"/>
    <w:rsid w:val="00022C0F"/>
    <w:rsid w:val="000272F6"/>
    <w:rsid w:val="00037AC4"/>
    <w:rsid w:val="000423BF"/>
    <w:rsid w:val="0006479E"/>
    <w:rsid w:val="00094580"/>
    <w:rsid w:val="00095716"/>
    <w:rsid w:val="000A4076"/>
    <w:rsid w:val="000A4945"/>
    <w:rsid w:val="000B31E1"/>
    <w:rsid w:val="000E4522"/>
    <w:rsid w:val="000E705E"/>
    <w:rsid w:val="0011356B"/>
    <w:rsid w:val="0013337F"/>
    <w:rsid w:val="00152495"/>
    <w:rsid w:val="00182B84"/>
    <w:rsid w:val="001946F2"/>
    <w:rsid w:val="001D0F5C"/>
    <w:rsid w:val="001D6997"/>
    <w:rsid w:val="001E0324"/>
    <w:rsid w:val="001E291F"/>
    <w:rsid w:val="001E3402"/>
    <w:rsid w:val="0020277D"/>
    <w:rsid w:val="00206130"/>
    <w:rsid w:val="00225E42"/>
    <w:rsid w:val="00233408"/>
    <w:rsid w:val="002368A9"/>
    <w:rsid w:val="00237417"/>
    <w:rsid w:val="00251812"/>
    <w:rsid w:val="0027067B"/>
    <w:rsid w:val="002A00CE"/>
    <w:rsid w:val="002A12D4"/>
    <w:rsid w:val="002A15F6"/>
    <w:rsid w:val="002A15FB"/>
    <w:rsid w:val="002A6940"/>
    <w:rsid w:val="002E1A39"/>
    <w:rsid w:val="002E249B"/>
    <w:rsid w:val="002F663C"/>
    <w:rsid w:val="002F7D43"/>
    <w:rsid w:val="00302B2E"/>
    <w:rsid w:val="003042A7"/>
    <w:rsid w:val="00304385"/>
    <w:rsid w:val="0031003E"/>
    <w:rsid w:val="00311BE2"/>
    <w:rsid w:val="00316410"/>
    <w:rsid w:val="00320249"/>
    <w:rsid w:val="00320A78"/>
    <w:rsid w:val="00324B02"/>
    <w:rsid w:val="003273C0"/>
    <w:rsid w:val="003572B4"/>
    <w:rsid w:val="003616BF"/>
    <w:rsid w:val="003677BA"/>
    <w:rsid w:val="00371F2B"/>
    <w:rsid w:val="00383F10"/>
    <w:rsid w:val="003C1137"/>
    <w:rsid w:val="003F0552"/>
    <w:rsid w:val="003F52AF"/>
    <w:rsid w:val="00403AC5"/>
    <w:rsid w:val="00423987"/>
    <w:rsid w:val="00426C5E"/>
    <w:rsid w:val="004551EC"/>
    <w:rsid w:val="00462060"/>
    <w:rsid w:val="00467032"/>
    <w:rsid w:val="0046754A"/>
    <w:rsid w:val="004740B7"/>
    <w:rsid w:val="004A31FF"/>
    <w:rsid w:val="004B0033"/>
    <w:rsid w:val="004D09E3"/>
    <w:rsid w:val="004F203A"/>
    <w:rsid w:val="00505874"/>
    <w:rsid w:val="00512FF5"/>
    <w:rsid w:val="005336B8"/>
    <w:rsid w:val="00534B1F"/>
    <w:rsid w:val="00545014"/>
    <w:rsid w:val="00557059"/>
    <w:rsid w:val="00577E05"/>
    <w:rsid w:val="0058322B"/>
    <w:rsid w:val="005B04B9"/>
    <w:rsid w:val="005B68C7"/>
    <w:rsid w:val="005B7054"/>
    <w:rsid w:val="005D0152"/>
    <w:rsid w:val="005D5981"/>
    <w:rsid w:val="005F30CB"/>
    <w:rsid w:val="005F3AA1"/>
    <w:rsid w:val="00612644"/>
    <w:rsid w:val="00640E72"/>
    <w:rsid w:val="00644495"/>
    <w:rsid w:val="00674CCD"/>
    <w:rsid w:val="00686C86"/>
    <w:rsid w:val="00687AF9"/>
    <w:rsid w:val="00695886"/>
    <w:rsid w:val="006A18DC"/>
    <w:rsid w:val="006A384D"/>
    <w:rsid w:val="006D266A"/>
    <w:rsid w:val="006D6742"/>
    <w:rsid w:val="006E3654"/>
    <w:rsid w:val="006F5826"/>
    <w:rsid w:val="00700181"/>
    <w:rsid w:val="00711EBB"/>
    <w:rsid w:val="007125BF"/>
    <w:rsid w:val="007141CF"/>
    <w:rsid w:val="00745146"/>
    <w:rsid w:val="0074635B"/>
    <w:rsid w:val="007577E3"/>
    <w:rsid w:val="00760DB3"/>
    <w:rsid w:val="00765BD6"/>
    <w:rsid w:val="00767204"/>
    <w:rsid w:val="00784FCF"/>
    <w:rsid w:val="00790D7F"/>
    <w:rsid w:val="007C79F0"/>
    <w:rsid w:val="007E6507"/>
    <w:rsid w:val="007F2B8E"/>
    <w:rsid w:val="007F2DB0"/>
    <w:rsid w:val="00801CBB"/>
    <w:rsid w:val="00802774"/>
    <w:rsid w:val="00807247"/>
    <w:rsid w:val="00840C2B"/>
    <w:rsid w:val="00844197"/>
    <w:rsid w:val="00850889"/>
    <w:rsid w:val="00852695"/>
    <w:rsid w:val="00864FDD"/>
    <w:rsid w:val="008739FD"/>
    <w:rsid w:val="008A7BB6"/>
    <w:rsid w:val="008E372C"/>
    <w:rsid w:val="00920FD4"/>
    <w:rsid w:val="00947C09"/>
    <w:rsid w:val="009573D8"/>
    <w:rsid w:val="0096642E"/>
    <w:rsid w:val="00977F26"/>
    <w:rsid w:val="0098572C"/>
    <w:rsid w:val="009A6F54"/>
    <w:rsid w:val="009A7E67"/>
    <w:rsid w:val="009B0823"/>
    <w:rsid w:val="009E5B58"/>
    <w:rsid w:val="00A34467"/>
    <w:rsid w:val="00A361CC"/>
    <w:rsid w:val="00A53DCE"/>
    <w:rsid w:val="00A6057A"/>
    <w:rsid w:val="00A74017"/>
    <w:rsid w:val="00A86973"/>
    <w:rsid w:val="00A97A1E"/>
    <w:rsid w:val="00AA332C"/>
    <w:rsid w:val="00AC24C7"/>
    <w:rsid w:val="00AC27F8"/>
    <w:rsid w:val="00AD4C72"/>
    <w:rsid w:val="00AD7E9F"/>
    <w:rsid w:val="00AE20ED"/>
    <w:rsid w:val="00AE2AEE"/>
    <w:rsid w:val="00B1394B"/>
    <w:rsid w:val="00B20151"/>
    <w:rsid w:val="00B230EC"/>
    <w:rsid w:val="00B303D1"/>
    <w:rsid w:val="00B31ED6"/>
    <w:rsid w:val="00B33935"/>
    <w:rsid w:val="00B4791C"/>
    <w:rsid w:val="00B50DC4"/>
    <w:rsid w:val="00B56EDC"/>
    <w:rsid w:val="00B664D8"/>
    <w:rsid w:val="00B67C16"/>
    <w:rsid w:val="00B904CD"/>
    <w:rsid w:val="00BA2412"/>
    <w:rsid w:val="00BB1F84"/>
    <w:rsid w:val="00BD6E35"/>
    <w:rsid w:val="00BE5468"/>
    <w:rsid w:val="00C11EAC"/>
    <w:rsid w:val="00C14444"/>
    <w:rsid w:val="00C27418"/>
    <w:rsid w:val="00C305D7"/>
    <w:rsid w:val="00C30F2A"/>
    <w:rsid w:val="00C43456"/>
    <w:rsid w:val="00C65C0C"/>
    <w:rsid w:val="00C7141B"/>
    <w:rsid w:val="00C808FC"/>
    <w:rsid w:val="00CA602B"/>
    <w:rsid w:val="00CC5DCA"/>
    <w:rsid w:val="00CD544A"/>
    <w:rsid w:val="00CD7D97"/>
    <w:rsid w:val="00CE3EE6"/>
    <w:rsid w:val="00CE40CA"/>
    <w:rsid w:val="00CE4BA1"/>
    <w:rsid w:val="00CE6F35"/>
    <w:rsid w:val="00CE7820"/>
    <w:rsid w:val="00D000C7"/>
    <w:rsid w:val="00D02E2C"/>
    <w:rsid w:val="00D11917"/>
    <w:rsid w:val="00D14904"/>
    <w:rsid w:val="00D24BDB"/>
    <w:rsid w:val="00D35791"/>
    <w:rsid w:val="00D359E3"/>
    <w:rsid w:val="00D431D9"/>
    <w:rsid w:val="00D5254C"/>
    <w:rsid w:val="00D52A9D"/>
    <w:rsid w:val="00D55AAD"/>
    <w:rsid w:val="00D640FE"/>
    <w:rsid w:val="00D747AE"/>
    <w:rsid w:val="00D9226C"/>
    <w:rsid w:val="00DA20BD"/>
    <w:rsid w:val="00DB6270"/>
    <w:rsid w:val="00DC417E"/>
    <w:rsid w:val="00DE50DB"/>
    <w:rsid w:val="00DF6AE1"/>
    <w:rsid w:val="00E029B9"/>
    <w:rsid w:val="00E05D8A"/>
    <w:rsid w:val="00E23316"/>
    <w:rsid w:val="00E41054"/>
    <w:rsid w:val="00E46FD5"/>
    <w:rsid w:val="00E544BB"/>
    <w:rsid w:val="00E56545"/>
    <w:rsid w:val="00E65E3F"/>
    <w:rsid w:val="00E85004"/>
    <w:rsid w:val="00EA5D4F"/>
    <w:rsid w:val="00EB6C56"/>
    <w:rsid w:val="00EB6F21"/>
    <w:rsid w:val="00EC460B"/>
    <w:rsid w:val="00ED54E0"/>
    <w:rsid w:val="00EE4E10"/>
    <w:rsid w:val="00EE4E43"/>
    <w:rsid w:val="00EE6484"/>
    <w:rsid w:val="00EE6DEC"/>
    <w:rsid w:val="00F01C13"/>
    <w:rsid w:val="00F31704"/>
    <w:rsid w:val="00F32397"/>
    <w:rsid w:val="00F40595"/>
    <w:rsid w:val="00F62548"/>
    <w:rsid w:val="00F94282"/>
    <w:rsid w:val="00FA5EBC"/>
    <w:rsid w:val="00FC0D34"/>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3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F6"/>
    <w:pPr>
      <w:spacing w:after="0" w:line="240" w:lineRule="auto"/>
      <w:jc w:val="both"/>
    </w:pPr>
    <w:rPr>
      <w:rFonts w:ascii="Verdana" w:eastAsia="Calibri" w:hAnsi="Verdana" w:cs="Times New Roman"/>
      <w:sz w:val="18"/>
      <w:lang w:val="fr-FR"/>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customStyle="1" w:styleId="lblseg1">
    <w:name w:val="lblseg1"/>
    <w:basedOn w:val="DefaultParagraphFont"/>
    <w:rsid w:val="0064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zette.gc.ca/rp-pr/p1/2021/2021-06-26/html/reg3-fr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ada.ca/fr/sante-canada/programmes/consultation-projet-reglement-aliments-supplementes.html" TargetMode="External"/><Relationship Id="rId4" Type="http://schemas.openxmlformats.org/officeDocument/2006/relationships/settings" Target="settings.xml"/><Relationship Id="rId9" Type="http://schemas.openxmlformats.org/officeDocument/2006/relationships/hyperlink" Target="https://www.canada.ca/en/health-canada/programs/consultation-proposed-regulations-supplemented-food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FFE3-217E-4E09-9AF8-EEF60503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2019-10-31T09:52:00Z</cp:lastPrinted>
  <dcterms:created xsi:type="dcterms:W3CDTF">2021-08-13T11:56:00Z</dcterms:created>
  <dcterms:modified xsi:type="dcterms:W3CDTF">2021-08-13T12:20:00Z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
  </property>
  <property fmtid="{D5CDD505-2E9C-101B-9397-08002B2CF9AE}" pid="3" name="TitusGUID">
    <vt:lpwstr>58b17f9c-d097-480e-bc5c-9029a2b3f3d2</vt:lpwstr>
  </property>
  <property fmtid="{D5CDD505-2E9C-101B-9397-08002B2CF9AE}" pid="4" name="WTOCLASSIFICATION">
    <vt:lpwstr>WTO OFFICIAL</vt:lpwstr>
  </property>
</Properties>
</file>