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315DCA" w:rsidRDefault="00315DCA" w:rsidP="00315DCA">
      <w:pPr>
        <w:pStyle w:val="Titre"/>
        <w:rPr>
          <w:caps w:val="0"/>
          <w:kern w:val="0"/>
        </w:rPr>
      </w:pPr>
      <w:r w:rsidRPr="00315DCA">
        <w:rPr>
          <w:caps w:val="0"/>
          <w:kern w:val="0"/>
        </w:rPr>
        <w:t>NOTIFICACIÓN</w:t>
      </w:r>
    </w:p>
    <w:p w:rsidR="00AD0FDA" w:rsidRPr="00315DCA" w:rsidRDefault="00047AF5" w:rsidP="00315DCA">
      <w:pPr>
        <w:pStyle w:val="Title3"/>
      </w:pPr>
      <w:proofErr w:type="spellStart"/>
      <w:r w:rsidRPr="00315DCA">
        <w:t>Addendum</w:t>
      </w:r>
      <w:proofErr w:type="spellEnd"/>
    </w:p>
    <w:p w:rsidR="007141CF" w:rsidRPr="00315DCA" w:rsidRDefault="00047AF5" w:rsidP="00315DCA">
      <w:pPr>
        <w:spacing w:after="120"/>
      </w:pPr>
      <w:r w:rsidRPr="00315DCA">
        <w:t xml:space="preserve">La siguiente comunicación, recibida el 27 de junio </w:t>
      </w:r>
      <w:r w:rsidR="00315DCA" w:rsidRPr="00315DCA">
        <w:t>de 2019</w:t>
      </w:r>
      <w:r w:rsidRPr="00315DCA">
        <w:t xml:space="preserve">, se distribuye a petición de la delegación de </w:t>
      </w:r>
      <w:r w:rsidRPr="00315DCA">
        <w:rPr>
          <w:u w:val="single"/>
        </w:rPr>
        <w:t>Australia</w:t>
      </w:r>
      <w:r w:rsidRPr="00315DCA">
        <w:t>.</w:t>
      </w:r>
    </w:p>
    <w:p w:rsidR="00AD0FDA" w:rsidRPr="00315DCA" w:rsidRDefault="00AD0FDA" w:rsidP="00315DCA"/>
    <w:p w:rsidR="00AD0FDA" w:rsidRPr="00315DCA" w:rsidRDefault="00315DCA" w:rsidP="00315DCA">
      <w:pPr>
        <w:jc w:val="center"/>
        <w:rPr>
          <w:b/>
        </w:rPr>
      </w:pPr>
      <w:r w:rsidRPr="00315DCA">
        <w:rPr>
          <w:b/>
        </w:rPr>
        <w:t>_______________</w:t>
      </w:r>
    </w:p>
    <w:p w:rsidR="00AD0FDA" w:rsidRPr="00315DCA" w:rsidRDefault="00AD0FDA" w:rsidP="00315DCA"/>
    <w:p w:rsidR="00AD0FDA" w:rsidRPr="00315DCA" w:rsidRDefault="00AD0FDA" w:rsidP="00315DCA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spacing w:before="120" w:after="120"/>
              <w:rPr>
                <w:u w:val="single"/>
              </w:rPr>
            </w:pPr>
            <w:r w:rsidRPr="00315DCA">
              <w:rPr>
                <w:u w:val="single"/>
              </w:rPr>
              <w:t>Prescripciones de bioseguridad para el procesamiento posterior a la entrada de productos de salmónidos procedentes de países autorizados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spacing w:before="120" w:after="240"/>
              <w:rPr>
                <w:u w:val="single"/>
              </w:rPr>
            </w:pPr>
            <w:r w:rsidRPr="00315DCA">
              <w:t>Modificación de las prescripciones vigentes de certificación y de procesamiento posterior a la entrada aplicables a los productos de salmónidos procedentes de países autorizados (excepto de Nueva Zelandia).</w:t>
            </w:r>
          </w:p>
          <w:p w:rsidR="00C736EC" w:rsidRPr="00315DCA" w:rsidRDefault="00047AF5" w:rsidP="00315DCA">
            <w:pPr>
              <w:spacing w:after="240"/>
            </w:pPr>
            <w:r w:rsidRPr="00315DCA">
              <w:t xml:space="preserve">A partir del 1º de septiembre </w:t>
            </w:r>
            <w:r w:rsidR="00315DCA" w:rsidRPr="00315DCA">
              <w:t>de 2019</w:t>
            </w:r>
            <w:r w:rsidRPr="00315DCA">
              <w:t xml:space="preserve"> se aplicarán nuevas condiciones para la importación de productos de salmónidos procedentes de países autorizados, excepto Nueva Zelandia.</w:t>
            </w:r>
          </w:p>
          <w:p w:rsidR="00C736EC" w:rsidRPr="00315DCA" w:rsidRDefault="00047AF5" w:rsidP="00315DCA">
            <w:pPr>
              <w:spacing w:after="240"/>
            </w:pPr>
            <w:r w:rsidRPr="00315DCA">
              <w:t>A partir de esa fecha, todos los productos de salmón deberán cumplir las nuevas condiciones para que se permita su entrada en Australia</w:t>
            </w:r>
            <w:r w:rsidR="00315DCA" w:rsidRPr="00315DCA">
              <w:t>. S</w:t>
            </w:r>
            <w:r w:rsidRPr="00315DCA">
              <w:t>e seguirá aceptando la entrada de productos de salmón con arreglo a las condiciones de importación vigentes durante el período intermedio.</w:t>
            </w:r>
          </w:p>
          <w:p w:rsidR="003046EF" w:rsidRDefault="00047AF5" w:rsidP="003046EF">
            <w:pPr>
              <w:spacing w:after="120"/>
              <w:jc w:val="left"/>
            </w:pPr>
            <w:r w:rsidRPr="00315DCA">
              <w:t xml:space="preserve">Más información disponible en: </w:t>
            </w:r>
          </w:p>
          <w:bookmarkStart w:id="0" w:name="_GoBack"/>
          <w:bookmarkEnd w:id="0"/>
          <w:p w:rsidR="00C736EC" w:rsidRPr="00315DCA" w:rsidRDefault="003046EF" w:rsidP="003046EF">
            <w:pPr>
              <w:spacing w:after="120"/>
              <w:jc w:val="left"/>
            </w:pPr>
            <w:r>
              <w:rPr>
                <w:rStyle w:val="Lienhypertexte"/>
              </w:rPr>
              <w:fldChar w:fldCharType="begin"/>
            </w:r>
            <w:r>
              <w:rPr>
                <w:rStyle w:val="Lienhypertexte"/>
              </w:rPr>
              <w:instrText xml:space="preserve"> HYPERLINK "http://www.agriculture.gov.au/biosecurity/risk-analysis/memos/ba2019-a04" \t "_blank" </w:instrText>
            </w:r>
            <w:r>
              <w:rPr>
                <w:rStyle w:val="Lienhypertexte"/>
              </w:rPr>
              <w:fldChar w:fldCharType="separate"/>
            </w:r>
            <w:r w:rsidR="00315DCA" w:rsidRPr="00315DCA">
              <w:rPr>
                <w:rStyle w:val="Lienhypertexte"/>
              </w:rPr>
              <w:t>http://www.agriculture.gov.au/biosecurity/risk-analysis/memos/ba2019-a04</w:t>
            </w:r>
            <w:r>
              <w:rPr>
                <w:rStyle w:val="Lienhypertexte"/>
              </w:rPr>
              <w:fldChar w:fldCharType="end"/>
            </w:r>
            <w:r w:rsidR="00047AF5" w:rsidRPr="00315DCA">
              <w:t>.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spacing w:before="120" w:after="120"/>
              <w:rPr>
                <w:b/>
              </w:rPr>
            </w:pPr>
            <w:r w:rsidRPr="00315DCA">
              <w:rPr>
                <w:b/>
              </w:rPr>
              <w:t xml:space="preserve">Este </w:t>
            </w:r>
            <w:proofErr w:type="spellStart"/>
            <w:r w:rsidRPr="00315DCA">
              <w:rPr>
                <w:b/>
              </w:rPr>
              <w:t>addendum</w:t>
            </w:r>
            <w:proofErr w:type="spellEnd"/>
            <w:r w:rsidRPr="00315DCA">
              <w:rPr>
                <w:b/>
              </w:rPr>
              <w:t xml:space="preserve"> se refiere a: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315DCA" w:rsidP="003046EF">
            <w:pPr>
              <w:spacing w:before="120"/>
              <w:ind w:left="1440" w:hanging="873"/>
            </w:pPr>
            <w:r w:rsidRPr="00315DCA">
              <w:t>[ ]</w:t>
            </w:r>
            <w:r w:rsidR="00BB6B29" w:rsidRPr="00315DCA">
              <w:tab/>
              <w:t>la modificación de la fecha límite para la presentación de observaciones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046EF">
            <w:pPr>
              <w:ind w:left="1440" w:hanging="873"/>
            </w:pPr>
            <w:r w:rsidRPr="00315DCA">
              <w:t>[</w:t>
            </w:r>
            <w:r w:rsidRPr="00315DCA">
              <w:rPr>
                <w:b/>
              </w:rPr>
              <w:t>X</w:t>
            </w:r>
            <w:r w:rsidRPr="00315DCA">
              <w:t>]</w:t>
            </w:r>
            <w:r w:rsidRPr="00315DCA">
              <w:tab/>
              <w:t>la notificación de la adopción, publicación o entrada en vigor del reglamento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315DCA" w:rsidP="003046EF">
            <w:pPr>
              <w:ind w:left="1440" w:hanging="873"/>
            </w:pPr>
            <w:r w:rsidRPr="00315DCA">
              <w:t>[ ]</w:t>
            </w:r>
            <w:r w:rsidR="00BB6B29" w:rsidRPr="00315DCA">
              <w:tab/>
              <w:t>la modificación del contenido y/o ámbito de aplicación de un proyecto de reglamento previamente notificado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315DCA" w:rsidP="003046EF">
            <w:pPr>
              <w:ind w:left="1440" w:hanging="873"/>
            </w:pPr>
            <w:r w:rsidRPr="00315DCA">
              <w:t>[ ]</w:t>
            </w:r>
            <w:r w:rsidR="00BB6B29" w:rsidRPr="00315DCA">
              <w:tab/>
              <w:t>el retiro del reglamento propuesto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315DCA" w:rsidP="003046EF">
            <w:pPr>
              <w:ind w:left="1440" w:hanging="873"/>
            </w:pPr>
            <w:r w:rsidRPr="00315DCA">
              <w:t>[ ]</w:t>
            </w:r>
            <w:r w:rsidR="00BB6B29" w:rsidRPr="00315DCA">
              <w:tab/>
              <w:t>la modificación de la fecha propuesta de adopción, publicación o entrada en vigor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315DCA" w:rsidP="003046EF">
            <w:pPr>
              <w:spacing w:after="120"/>
              <w:ind w:left="1440" w:hanging="873"/>
            </w:pPr>
            <w:r w:rsidRPr="00315DCA">
              <w:t>[ ]</w:t>
            </w:r>
            <w:r w:rsidR="00BB6B29" w:rsidRPr="00315DCA">
              <w:tab/>
              <w:t>otro aspecto: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spacing w:before="120" w:after="120"/>
              <w:rPr>
                <w:b/>
              </w:rPr>
            </w:pPr>
            <w:r w:rsidRPr="00315DCA">
              <w:rPr>
                <w:b/>
              </w:rPr>
              <w:t>Plazo para la presentación de observaciones</w:t>
            </w:r>
            <w:r w:rsidR="00315DCA" w:rsidRPr="00315DCA">
              <w:rPr>
                <w:b/>
              </w:rPr>
              <w:t xml:space="preserve">: </w:t>
            </w:r>
            <w:r w:rsidR="00315DCA" w:rsidRPr="00315DCA">
              <w:rPr>
                <w:b/>
                <w:i/>
              </w:rPr>
              <w:t>(</w:t>
            </w:r>
            <w:r w:rsidRPr="00315DCA">
              <w:rPr>
                <w:b/>
                <w:i/>
              </w:rPr>
              <w:t xml:space="preserve">Si el </w:t>
            </w:r>
            <w:proofErr w:type="spellStart"/>
            <w:r w:rsidRPr="00315DCA">
              <w:rPr>
                <w:b/>
                <w:i/>
              </w:rPr>
              <w:t>addendum</w:t>
            </w:r>
            <w:proofErr w:type="spellEnd"/>
            <w:r w:rsidRPr="00315DCA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315DCA" w:rsidRPr="00315DCA">
              <w:rPr>
                <w:b/>
                <w:i/>
              </w:rPr>
              <w:t>. E</w:t>
            </w:r>
            <w:r w:rsidRPr="00315DCA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315DCA">
              <w:rPr>
                <w:b/>
                <w:i/>
              </w:rPr>
              <w:t>addendum</w:t>
            </w:r>
            <w:proofErr w:type="spellEnd"/>
            <w:r w:rsidRPr="00315DCA">
              <w:rPr>
                <w:b/>
                <w:i/>
              </w:rPr>
              <w:t xml:space="preserve"> podrá variar.)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315DCA" w:rsidP="00315DCA">
            <w:pPr>
              <w:spacing w:before="120" w:after="120"/>
              <w:ind w:left="1440" w:hanging="873"/>
            </w:pPr>
            <w:r w:rsidRPr="00315DCA">
              <w:t>[ ]</w:t>
            </w:r>
            <w:r w:rsidR="00BB6B29" w:rsidRPr="00315DCA">
              <w:tab/>
              <w:t xml:space="preserve">Sesenta días a partir de la fecha de distribución del </w:t>
            </w:r>
            <w:proofErr w:type="spellStart"/>
            <w:r w:rsidR="00BB6B29" w:rsidRPr="00315DCA">
              <w:t>addendum</w:t>
            </w:r>
            <w:proofErr w:type="spellEnd"/>
            <w:r w:rsidR="00BB6B29" w:rsidRPr="00315DCA">
              <w:t xml:space="preserve"> a la notificación y/o </w:t>
            </w:r>
            <w:r w:rsidR="00BB6B29" w:rsidRPr="00315DCA">
              <w:rPr>
                <w:i/>
              </w:rPr>
              <w:t>(día/mes/año)</w:t>
            </w:r>
            <w:r w:rsidRPr="00315DCA">
              <w:t>: N</w:t>
            </w:r>
            <w:r w:rsidR="00BB6B29" w:rsidRPr="00315DCA">
              <w:t>o procede.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keepNext/>
              <w:spacing w:before="120" w:after="120"/>
              <w:rPr>
                <w:b/>
              </w:rPr>
            </w:pPr>
            <w:r w:rsidRPr="00315DCA">
              <w:rPr>
                <w:b/>
              </w:rPr>
              <w:lastRenderedPageBreak/>
              <w:t>Organismo o autoridad encargado de tramitar las observaciones</w:t>
            </w:r>
            <w:r w:rsidR="00315DCA" w:rsidRPr="00315DCA">
              <w:rPr>
                <w:b/>
              </w:rPr>
              <w:t>: [ ]</w:t>
            </w:r>
            <w:r w:rsidRPr="00315DCA">
              <w:rPr>
                <w:b/>
              </w:rPr>
              <w:t xml:space="preserve"> Organismo nacional encargado de la notificación, [X] Servicio nacional de información</w:t>
            </w:r>
            <w:r w:rsidR="00315DCA" w:rsidRPr="00315DCA">
              <w:rPr>
                <w:b/>
              </w:rPr>
              <w:t>. D</w:t>
            </w:r>
            <w:r w:rsidRPr="00315DC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keepNext/>
              <w:spacing w:before="120"/>
            </w:pPr>
            <w:proofErr w:type="spellStart"/>
            <w:r w:rsidRPr="00315DCA">
              <w:rPr>
                <w:i/>
                <w:iCs/>
              </w:rPr>
              <w:t>The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Australian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SPS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Notification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Authority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r w:rsidRPr="00315DCA">
              <w:t>(Organismo encargado de la notificación MSF de Australia)</w:t>
            </w:r>
          </w:p>
          <w:p w:rsidR="00C736EC" w:rsidRPr="00315DCA" w:rsidRDefault="00047AF5" w:rsidP="00315DCA">
            <w:pPr>
              <w:keepNext/>
            </w:pPr>
            <w:r w:rsidRPr="00315DCA">
              <w:t>GPO Box 858</w:t>
            </w:r>
          </w:p>
          <w:p w:rsidR="00C736EC" w:rsidRPr="00315DCA" w:rsidRDefault="00047AF5" w:rsidP="00315DCA">
            <w:pPr>
              <w:keepNext/>
            </w:pPr>
            <w:r w:rsidRPr="00315DCA">
              <w:t xml:space="preserve">Canberra </w:t>
            </w:r>
            <w:r w:rsidR="00315DCA" w:rsidRPr="00315DCA">
              <w:t>ACT 2601</w:t>
            </w:r>
          </w:p>
          <w:p w:rsidR="00C736EC" w:rsidRPr="00315DCA" w:rsidRDefault="00047AF5" w:rsidP="00315DCA">
            <w:pPr>
              <w:keepNext/>
            </w:pPr>
            <w:r w:rsidRPr="00315DCA">
              <w:t>Australia</w:t>
            </w:r>
          </w:p>
          <w:p w:rsidR="00C736EC" w:rsidRPr="00315DCA" w:rsidRDefault="00BB6B29" w:rsidP="00315DCA">
            <w:pPr>
              <w:keepNext/>
              <w:spacing w:after="120"/>
            </w:pPr>
            <w:r w:rsidRPr="00315DCA">
              <w:t>Correo electrónico</w:t>
            </w:r>
            <w:r w:rsidR="00315DCA" w:rsidRPr="00315DCA">
              <w:t>: s</w:t>
            </w:r>
            <w:r w:rsidRPr="00315DCA">
              <w:t>ps.contact@agriculture.gov.au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spacing w:before="120" w:after="120"/>
              <w:rPr>
                <w:b/>
              </w:rPr>
            </w:pPr>
            <w:r w:rsidRPr="00315DCA">
              <w:rPr>
                <w:b/>
              </w:rPr>
              <w:t>Texto(s) disponible(s) en</w:t>
            </w:r>
            <w:r w:rsidR="00315DCA" w:rsidRPr="00315DCA">
              <w:rPr>
                <w:b/>
              </w:rPr>
              <w:t>: [ ]</w:t>
            </w:r>
            <w:r w:rsidRPr="00315DCA">
              <w:rPr>
                <w:b/>
              </w:rPr>
              <w:t xml:space="preserve"> Organismo nacional encargado de la notificación, [X] Servicio nacional de información</w:t>
            </w:r>
            <w:r w:rsidR="00315DCA" w:rsidRPr="00315DCA">
              <w:rPr>
                <w:b/>
              </w:rPr>
              <w:t>. D</w:t>
            </w:r>
            <w:r w:rsidRPr="00315DC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736EC" w:rsidRPr="00315DCA" w:rsidTr="003046EF">
        <w:tc>
          <w:tcPr>
            <w:tcW w:w="9214" w:type="dxa"/>
            <w:shd w:val="clear" w:color="auto" w:fill="auto"/>
          </w:tcPr>
          <w:p w:rsidR="00AD0FDA" w:rsidRPr="00315DCA" w:rsidRDefault="00047AF5" w:rsidP="00315DCA">
            <w:pPr>
              <w:spacing w:before="120"/>
            </w:pPr>
            <w:proofErr w:type="spellStart"/>
            <w:r w:rsidRPr="00315DCA">
              <w:rPr>
                <w:i/>
                <w:iCs/>
              </w:rPr>
              <w:t>The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Australian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SPS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Notification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proofErr w:type="spellStart"/>
            <w:r w:rsidRPr="00315DCA">
              <w:rPr>
                <w:i/>
                <w:iCs/>
              </w:rPr>
              <w:t>Authority</w:t>
            </w:r>
            <w:proofErr w:type="spellEnd"/>
            <w:r w:rsidRPr="00315DCA">
              <w:rPr>
                <w:i/>
                <w:iCs/>
              </w:rPr>
              <w:t xml:space="preserve"> </w:t>
            </w:r>
            <w:r w:rsidRPr="00315DCA">
              <w:t>(Organismo encargado de la notificación MSF de Australia)</w:t>
            </w:r>
          </w:p>
          <w:p w:rsidR="00C736EC" w:rsidRPr="00315DCA" w:rsidRDefault="00047AF5" w:rsidP="00315DCA">
            <w:r w:rsidRPr="00315DCA">
              <w:t>GPO Box 858</w:t>
            </w:r>
          </w:p>
          <w:p w:rsidR="00C736EC" w:rsidRPr="00315DCA" w:rsidRDefault="00047AF5" w:rsidP="00315DCA">
            <w:r w:rsidRPr="00315DCA">
              <w:t xml:space="preserve">Canberra </w:t>
            </w:r>
            <w:r w:rsidR="00315DCA" w:rsidRPr="00315DCA">
              <w:t>ACT 2601</w:t>
            </w:r>
          </w:p>
          <w:p w:rsidR="00C736EC" w:rsidRPr="00315DCA" w:rsidRDefault="00047AF5" w:rsidP="00315DCA">
            <w:r w:rsidRPr="00315DCA">
              <w:t>Australia</w:t>
            </w:r>
          </w:p>
          <w:p w:rsidR="00C736EC" w:rsidRPr="00315DCA" w:rsidRDefault="00BB6B29" w:rsidP="00315DCA">
            <w:pPr>
              <w:spacing w:after="120"/>
            </w:pPr>
            <w:r w:rsidRPr="00315DCA">
              <w:t>Correo electrónico</w:t>
            </w:r>
            <w:r w:rsidR="00315DCA" w:rsidRPr="00315DCA">
              <w:t>: s</w:t>
            </w:r>
            <w:r w:rsidRPr="00315DCA">
              <w:t>ps.contact@agriculture.gov.au</w:t>
            </w:r>
          </w:p>
        </w:tc>
      </w:tr>
    </w:tbl>
    <w:p w:rsidR="00AD0FDA" w:rsidRPr="00315DCA" w:rsidRDefault="00AD0FDA" w:rsidP="00315DCA"/>
    <w:p w:rsidR="00AD0FDA" w:rsidRPr="00315DCA" w:rsidRDefault="00315DCA" w:rsidP="00315DCA">
      <w:pPr>
        <w:jc w:val="center"/>
        <w:rPr>
          <w:b/>
        </w:rPr>
      </w:pPr>
      <w:r w:rsidRPr="00315DCA">
        <w:rPr>
          <w:b/>
        </w:rPr>
        <w:t>__________</w:t>
      </w:r>
    </w:p>
    <w:sectPr w:rsidR="00AD0FDA" w:rsidRPr="00315DCA" w:rsidSect="00315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D8" w:rsidRPr="00315DCA" w:rsidRDefault="00047AF5">
      <w:r w:rsidRPr="00315DCA">
        <w:separator/>
      </w:r>
    </w:p>
  </w:endnote>
  <w:endnote w:type="continuationSeparator" w:id="0">
    <w:p w:rsidR="00FF63D8" w:rsidRPr="00315DCA" w:rsidRDefault="00047AF5">
      <w:r w:rsidRPr="00315D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15DCA" w:rsidRDefault="00315DCA" w:rsidP="00315DCA">
    <w:pPr>
      <w:pStyle w:val="Pieddepage"/>
    </w:pPr>
    <w:r w:rsidRPr="00315DC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15DCA" w:rsidRDefault="00315DCA" w:rsidP="00315DCA">
    <w:pPr>
      <w:pStyle w:val="Pieddepage"/>
    </w:pPr>
    <w:r w:rsidRPr="00315DC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315DCA" w:rsidRDefault="00315DCA" w:rsidP="00315DCA">
    <w:pPr>
      <w:pStyle w:val="Pieddepage"/>
    </w:pPr>
    <w:r w:rsidRPr="00315D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D8" w:rsidRPr="00315DCA" w:rsidRDefault="00047AF5">
      <w:r w:rsidRPr="00315DCA">
        <w:separator/>
      </w:r>
    </w:p>
  </w:footnote>
  <w:footnote w:type="continuationSeparator" w:id="0">
    <w:p w:rsidR="00FF63D8" w:rsidRPr="00315DCA" w:rsidRDefault="00047AF5">
      <w:r w:rsidRPr="00315D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CA" w:rsidRPr="003046EF" w:rsidRDefault="00315DCA" w:rsidP="00315DCA">
    <w:pPr>
      <w:pStyle w:val="En-tte"/>
      <w:spacing w:after="240"/>
      <w:jc w:val="center"/>
      <w:rPr>
        <w:lang w:val="en-GB"/>
      </w:rPr>
    </w:pPr>
    <w:r w:rsidRPr="003046EF">
      <w:rPr>
        <w:lang w:val="en-GB"/>
      </w:rPr>
      <w:t>G/SPS/N/AUS/460/Add.2</w:t>
    </w:r>
  </w:p>
  <w:p w:rsidR="00315DCA" w:rsidRPr="00315DCA" w:rsidRDefault="00315DCA" w:rsidP="00315DCA">
    <w:pPr>
      <w:pStyle w:val="En-tte"/>
      <w:pBdr>
        <w:bottom w:val="single" w:sz="4" w:space="1" w:color="auto"/>
      </w:pBdr>
      <w:jc w:val="center"/>
    </w:pPr>
    <w:r w:rsidRPr="00315DCA">
      <w:t xml:space="preserve">- </w:t>
    </w:r>
    <w:r w:rsidRPr="00315DCA">
      <w:fldChar w:fldCharType="begin"/>
    </w:r>
    <w:r w:rsidRPr="00315DCA">
      <w:instrText xml:space="preserve"> PAGE  \* Arabic  \* MERGEFORMAT </w:instrText>
    </w:r>
    <w:r w:rsidRPr="00315DCA">
      <w:fldChar w:fldCharType="separate"/>
    </w:r>
    <w:r w:rsidRPr="00315DCA">
      <w:t>1</w:t>
    </w:r>
    <w:r w:rsidRPr="00315DCA">
      <w:fldChar w:fldCharType="end"/>
    </w:r>
    <w:r w:rsidRPr="00315DC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CA" w:rsidRPr="003046EF" w:rsidRDefault="00315DCA" w:rsidP="00315DCA">
    <w:pPr>
      <w:pStyle w:val="En-tte"/>
      <w:spacing w:after="240"/>
      <w:jc w:val="center"/>
      <w:rPr>
        <w:lang w:val="en-GB"/>
      </w:rPr>
    </w:pPr>
    <w:r w:rsidRPr="003046EF">
      <w:rPr>
        <w:lang w:val="en-GB"/>
      </w:rPr>
      <w:t>G/SPS/N/AUS/460/Add.2</w:t>
    </w:r>
  </w:p>
  <w:p w:rsidR="00315DCA" w:rsidRPr="00315DCA" w:rsidRDefault="00315DCA" w:rsidP="00315DCA">
    <w:pPr>
      <w:pStyle w:val="En-tte"/>
      <w:pBdr>
        <w:bottom w:val="single" w:sz="4" w:space="1" w:color="auto"/>
      </w:pBdr>
      <w:jc w:val="center"/>
    </w:pPr>
    <w:r w:rsidRPr="00315DCA">
      <w:t xml:space="preserve">- </w:t>
    </w:r>
    <w:r w:rsidRPr="00315DCA">
      <w:fldChar w:fldCharType="begin"/>
    </w:r>
    <w:r w:rsidRPr="00315DCA">
      <w:instrText xml:space="preserve"> PAGE  \* Arabic  \* MERGEFORMAT </w:instrText>
    </w:r>
    <w:r w:rsidRPr="00315DCA">
      <w:fldChar w:fldCharType="separate"/>
    </w:r>
    <w:r w:rsidRPr="00315DCA">
      <w:t>1</w:t>
    </w:r>
    <w:r w:rsidRPr="00315DCA">
      <w:fldChar w:fldCharType="end"/>
    </w:r>
    <w:r w:rsidRPr="00315DC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15DCA" w:rsidRPr="00315DCA" w:rsidTr="00315D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DCA" w:rsidRPr="00315DCA" w:rsidRDefault="00315DCA" w:rsidP="00315DC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DCA" w:rsidRPr="00315DCA" w:rsidRDefault="00315DCA" w:rsidP="00315D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5DCA" w:rsidRPr="00315DCA" w:rsidTr="00315D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15DCA" w:rsidRPr="00315DCA" w:rsidRDefault="00315DCA" w:rsidP="00315DCA">
          <w:pPr>
            <w:jc w:val="left"/>
            <w:rPr>
              <w:rFonts w:eastAsia="Verdana" w:cs="Verdana"/>
              <w:szCs w:val="18"/>
            </w:rPr>
          </w:pPr>
          <w:r w:rsidRPr="00315DC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5DCA" w:rsidRPr="00315DCA" w:rsidRDefault="00315DCA" w:rsidP="00315D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5DCA" w:rsidRPr="003046EF" w:rsidTr="00315D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15DCA" w:rsidRPr="00315DCA" w:rsidRDefault="00315DCA" w:rsidP="00315D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5DCA" w:rsidRPr="003046EF" w:rsidRDefault="00315DCA" w:rsidP="00315DC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046EF">
            <w:rPr>
              <w:b/>
              <w:szCs w:val="18"/>
              <w:lang w:val="en-GB"/>
            </w:rPr>
            <w:t>G/SPS/N/AUS/460/Add.2</w:t>
          </w:r>
        </w:p>
      </w:tc>
    </w:tr>
    <w:tr w:rsidR="00315DCA" w:rsidRPr="00315DCA" w:rsidTr="00315D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15DCA" w:rsidRPr="003046EF" w:rsidRDefault="00315DCA" w:rsidP="00315DC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5DCA" w:rsidRPr="00315DCA" w:rsidRDefault="003046EF" w:rsidP="00315DC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315DCA" w:rsidRPr="00315DCA">
            <w:rPr>
              <w:rFonts w:eastAsia="Verdana" w:cs="Verdana"/>
              <w:szCs w:val="18"/>
            </w:rPr>
            <w:t> de julio de 2019</w:t>
          </w:r>
        </w:p>
      </w:tc>
    </w:tr>
    <w:tr w:rsidR="00315DCA" w:rsidRPr="00315DCA" w:rsidTr="00315D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5DCA" w:rsidRPr="00315DCA" w:rsidRDefault="00315DCA" w:rsidP="00315DCA">
          <w:pPr>
            <w:jc w:val="left"/>
            <w:rPr>
              <w:rFonts w:eastAsia="Verdana" w:cs="Verdana"/>
              <w:b/>
              <w:szCs w:val="18"/>
            </w:rPr>
          </w:pPr>
          <w:r w:rsidRPr="00315DCA">
            <w:rPr>
              <w:rFonts w:eastAsia="Verdana" w:cs="Verdana"/>
              <w:color w:val="FF0000"/>
              <w:szCs w:val="18"/>
            </w:rPr>
            <w:t>(19</w:t>
          </w:r>
          <w:r w:rsidRPr="00315DCA">
            <w:rPr>
              <w:rFonts w:eastAsia="Verdana" w:cs="Verdana"/>
              <w:color w:val="FF0000"/>
              <w:szCs w:val="18"/>
            </w:rPr>
            <w:noBreakHyphen/>
          </w:r>
          <w:r w:rsidR="003046EF">
            <w:rPr>
              <w:rFonts w:eastAsia="Verdana" w:cs="Verdana"/>
              <w:color w:val="FF0000"/>
              <w:szCs w:val="18"/>
            </w:rPr>
            <w:t>4510</w:t>
          </w:r>
          <w:r w:rsidRPr="00315D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5DCA" w:rsidRPr="00315DCA" w:rsidRDefault="00315DCA" w:rsidP="00315DCA">
          <w:pPr>
            <w:jc w:val="right"/>
            <w:rPr>
              <w:rFonts w:eastAsia="Verdana" w:cs="Verdana"/>
              <w:szCs w:val="18"/>
            </w:rPr>
          </w:pPr>
          <w:r w:rsidRPr="00315DCA">
            <w:rPr>
              <w:rFonts w:eastAsia="Verdana" w:cs="Verdana"/>
              <w:szCs w:val="18"/>
            </w:rPr>
            <w:t xml:space="preserve">Página: </w:t>
          </w:r>
          <w:r w:rsidRPr="00315DCA">
            <w:rPr>
              <w:rFonts w:eastAsia="Verdana" w:cs="Verdana"/>
              <w:szCs w:val="18"/>
            </w:rPr>
            <w:fldChar w:fldCharType="begin"/>
          </w:r>
          <w:r w:rsidRPr="00315D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5DCA">
            <w:rPr>
              <w:rFonts w:eastAsia="Verdana" w:cs="Verdana"/>
              <w:szCs w:val="18"/>
            </w:rPr>
            <w:fldChar w:fldCharType="separate"/>
          </w:r>
          <w:r w:rsidRPr="00315DCA">
            <w:rPr>
              <w:rFonts w:eastAsia="Verdana" w:cs="Verdana"/>
              <w:szCs w:val="18"/>
            </w:rPr>
            <w:t>1</w:t>
          </w:r>
          <w:r w:rsidRPr="00315DCA">
            <w:rPr>
              <w:rFonts w:eastAsia="Verdana" w:cs="Verdana"/>
              <w:szCs w:val="18"/>
            </w:rPr>
            <w:fldChar w:fldCharType="end"/>
          </w:r>
          <w:r w:rsidRPr="00315DCA">
            <w:rPr>
              <w:rFonts w:eastAsia="Verdana" w:cs="Verdana"/>
              <w:szCs w:val="18"/>
            </w:rPr>
            <w:t>/</w:t>
          </w:r>
          <w:r w:rsidRPr="00315DCA">
            <w:rPr>
              <w:rFonts w:eastAsia="Verdana" w:cs="Verdana"/>
              <w:szCs w:val="18"/>
            </w:rPr>
            <w:fldChar w:fldCharType="begin"/>
          </w:r>
          <w:r w:rsidRPr="00315D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5DCA">
            <w:rPr>
              <w:rFonts w:eastAsia="Verdana" w:cs="Verdana"/>
              <w:szCs w:val="18"/>
            </w:rPr>
            <w:fldChar w:fldCharType="separate"/>
          </w:r>
          <w:r w:rsidRPr="00315DCA">
            <w:rPr>
              <w:rFonts w:eastAsia="Verdana" w:cs="Verdana"/>
              <w:szCs w:val="18"/>
            </w:rPr>
            <w:t>2</w:t>
          </w:r>
          <w:r w:rsidRPr="00315DCA">
            <w:rPr>
              <w:rFonts w:eastAsia="Verdana" w:cs="Verdana"/>
              <w:szCs w:val="18"/>
            </w:rPr>
            <w:fldChar w:fldCharType="end"/>
          </w:r>
        </w:p>
      </w:tc>
    </w:tr>
    <w:tr w:rsidR="00315DCA" w:rsidRPr="00315DCA" w:rsidTr="00315D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15DCA" w:rsidRPr="00315DCA" w:rsidRDefault="00315DCA" w:rsidP="00315DCA">
          <w:pPr>
            <w:jc w:val="left"/>
            <w:rPr>
              <w:rFonts w:eastAsia="Verdana" w:cs="Verdana"/>
              <w:szCs w:val="18"/>
            </w:rPr>
          </w:pPr>
          <w:r w:rsidRPr="00315DC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15DCA" w:rsidRPr="00315DCA" w:rsidRDefault="00315DCA" w:rsidP="00315DCA">
          <w:pPr>
            <w:jc w:val="right"/>
            <w:rPr>
              <w:rFonts w:eastAsia="Verdana" w:cs="Verdana"/>
              <w:bCs/>
              <w:szCs w:val="18"/>
            </w:rPr>
          </w:pPr>
          <w:r w:rsidRPr="00315DC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15DCA" w:rsidRDefault="00ED54E0" w:rsidP="00315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7A8A15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4987FC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2A0D8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19C33C6"/>
    <w:numStyleLink w:val="LegalHeadings"/>
  </w:abstractNum>
  <w:abstractNum w:abstractNumId="12" w15:restartNumberingAfterBreak="0">
    <w:nsid w:val="57551E12"/>
    <w:multiLevelType w:val="multilevel"/>
    <w:tmpl w:val="619C33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47AF5"/>
    <w:rsid w:val="00080E5E"/>
    <w:rsid w:val="000A4945"/>
    <w:rsid w:val="000B31E1"/>
    <w:rsid w:val="000C31EB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046EF"/>
    <w:rsid w:val="00312AB5"/>
    <w:rsid w:val="00315DCA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B6B29"/>
    <w:rsid w:val="00BE5468"/>
    <w:rsid w:val="00C11EAC"/>
    <w:rsid w:val="00C305D7"/>
    <w:rsid w:val="00C30F2A"/>
    <w:rsid w:val="00C43456"/>
    <w:rsid w:val="00C5291D"/>
    <w:rsid w:val="00C52DE3"/>
    <w:rsid w:val="00C65C0C"/>
    <w:rsid w:val="00C736E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93000"/>
    <w:rsid w:val="00DA20BD"/>
    <w:rsid w:val="00DE0134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77BC9"/>
    <w:rsid w:val="00FA5EBC"/>
    <w:rsid w:val="00FD224A"/>
    <w:rsid w:val="00FF13FD"/>
    <w:rsid w:val="00FF4616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14B47D3"/>
  <w15:docId w15:val="{D19AAE80-678D-4BD3-BC3E-116EF3E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15DC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15DC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15DC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15DC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15DC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15DC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15D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15D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15D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15DC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315DC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315DC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315DC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315DC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315DC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315DC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315DC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315DC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15D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15D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315DC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15DC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15DC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15DC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15DCA"/>
    <w:pPr>
      <w:numPr>
        <w:numId w:val="6"/>
      </w:numPr>
    </w:pPr>
  </w:style>
  <w:style w:type="paragraph" w:styleId="Listepuces">
    <w:name w:val="List Bullet"/>
    <w:basedOn w:val="Normal"/>
    <w:uiPriority w:val="1"/>
    <w:rsid w:val="00315DC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15DC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15DC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15DC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15DC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15DC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5D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5DC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15D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15DC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15D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15DC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15DCA"/>
    <w:rPr>
      <w:szCs w:val="20"/>
    </w:rPr>
  </w:style>
  <w:style w:type="character" w:customStyle="1" w:styleId="NotedefinCar">
    <w:name w:val="Note de fin Car"/>
    <w:link w:val="Notedefin"/>
    <w:uiPriority w:val="49"/>
    <w:rsid w:val="00315DC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15D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5DC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15D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15DC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15DCA"/>
    <w:pPr>
      <w:ind w:left="567" w:right="567" w:firstLine="0"/>
    </w:pPr>
  </w:style>
  <w:style w:type="character" w:styleId="Appelnotedebasdep">
    <w:name w:val="footnote reference"/>
    <w:uiPriority w:val="5"/>
    <w:rsid w:val="00315DC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15D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15DC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15D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5D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5D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5D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5D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15D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15D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15DC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5D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DC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15D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15DC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15D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5D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5DC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15DC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15DC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15DC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5D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15D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5DC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15DC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15DCA"/>
  </w:style>
  <w:style w:type="paragraph" w:styleId="Normalcentr">
    <w:name w:val="Block Text"/>
    <w:basedOn w:val="Normal"/>
    <w:uiPriority w:val="99"/>
    <w:semiHidden/>
    <w:unhideWhenUsed/>
    <w:rsid w:val="00315D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15DC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15D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15DC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15DC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5DC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5DC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315DC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15DC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5DC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15D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5DCA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15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15DC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15DCA"/>
  </w:style>
  <w:style w:type="character" w:customStyle="1" w:styleId="DateCar">
    <w:name w:val="Date Car"/>
    <w:basedOn w:val="Policepardfaut"/>
    <w:link w:val="Date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5DC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5DC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15DC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315DC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15D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15DC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15DC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15DC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15DC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5DC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315DC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15DC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15DC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15DC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5DC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5DCA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315DC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15DC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15DC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5D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5D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5D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5D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5D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5D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5D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5D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5DC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15DC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15DC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15D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15D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315DC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15DCA"/>
    <w:rPr>
      <w:lang w:val="es-ES"/>
    </w:rPr>
  </w:style>
  <w:style w:type="paragraph" w:styleId="Liste">
    <w:name w:val="List"/>
    <w:basedOn w:val="Normal"/>
    <w:uiPriority w:val="99"/>
    <w:semiHidden/>
    <w:unhideWhenUsed/>
    <w:rsid w:val="00315DC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15DC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15DC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15DC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15DC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15DC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15DC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15DC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15DC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15DC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15DC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15DC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15DC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15DC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15DC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15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15DCA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15D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15DC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315D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5DC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15DC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15DC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315DC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15DC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15DC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15DC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15D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15DC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15DCA"/>
  </w:style>
  <w:style w:type="character" w:customStyle="1" w:styleId="SalutationsCar">
    <w:name w:val="Salutations Car"/>
    <w:basedOn w:val="Policepardfaut"/>
    <w:link w:val="Salutations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15DC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15DC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315DCA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15DCA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15DC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15D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15DC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B6B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B6B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B6B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B6B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B6B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B6B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B6B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B6B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B6B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B6B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B6B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B6B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B6B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B6B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B6B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B6B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B6B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B6B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B6B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B6B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B6B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B6B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B6B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B6B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B6B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B6B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B6B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B6B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B6B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B6B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B6B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B6B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B6B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B6B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B6B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B6B29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BB6B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B6B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B6B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B6B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B6B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B6B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B6B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B6B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B6B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B6B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B6B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B6B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B6B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B6B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B6B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B6B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B6B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B6B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B6B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B6B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B6B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B6B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B6B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B6B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B6B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B6B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B6B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B6B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B6B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B6B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B6B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B6B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B6B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B6B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B6B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B6B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B6B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B6B29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BB6B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B6B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B6B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B6B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B6B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B6B29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BB6B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B6B2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Laverriere, Chantal</cp:lastModifiedBy>
  <cp:revision>4</cp:revision>
  <dcterms:created xsi:type="dcterms:W3CDTF">2019-07-15T12:18:00Z</dcterms:created>
  <dcterms:modified xsi:type="dcterms:W3CDTF">2019-07-15T14:05:00Z</dcterms:modified>
</cp:coreProperties>
</file>