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6E410C" w:rsidP="008179F6">
      <w:pPr>
        <w:pStyle w:val="Title"/>
        <w:rPr>
          <w:caps w:val="0"/>
          <w:kern w:val="0"/>
        </w:rPr>
      </w:pPr>
      <w:r w:rsidRPr="008179F6">
        <w:rPr>
          <w:caps w:val="0"/>
          <w:kern w:val="0"/>
        </w:rPr>
        <w:t>NOTIFICACIÓN</w:t>
      </w:r>
    </w:p>
    <w:p w:rsidR="00730687" w:rsidRPr="008179F6" w:rsidRDefault="006E410C" w:rsidP="008179F6">
      <w:pPr>
        <w:pStyle w:val="Title3"/>
      </w:pPr>
      <w:r w:rsidRPr="008179F6">
        <w:t>Addendum</w:t>
      </w:r>
    </w:p>
    <w:p w:rsidR="00337700" w:rsidRPr="008179F6" w:rsidRDefault="006E410C" w:rsidP="008179F6">
      <w:pPr>
        <w:spacing w:after="120"/>
      </w:pPr>
      <w:r w:rsidRPr="008179F6">
        <w:t xml:space="preserve">La siguiente comunicación, recibida el </w:t>
      </w:r>
      <w:bookmarkStart w:id="0" w:name="spsDateReception"/>
      <w:r w:rsidRPr="008179F6">
        <w:t>17 de septiembre de 2020</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Costa Rica</w:t>
      </w:r>
      <w:bookmarkEnd w:id="3"/>
      <w:r w:rsidRPr="008179F6">
        <w:t>.</w:t>
      </w:r>
    </w:p>
    <w:p w:rsidR="00730687" w:rsidRPr="008179F6" w:rsidRDefault="00730687" w:rsidP="008179F6"/>
    <w:p w:rsidR="00730687" w:rsidRPr="008179F6" w:rsidRDefault="006E410C"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8B06C6" w:rsidTr="00085CD0">
        <w:tc>
          <w:tcPr>
            <w:tcW w:w="9242" w:type="dxa"/>
            <w:shd w:val="clear" w:color="auto" w:fill="auto"/>
          </w:tcPr>
          <w:p w:rsidR="00730687" w:rsidRPr="008179F6" w:rsidRDefault="006E410C" w:rsidP="008179F6">
            <w:pPr>
              <w:spacing w:after="240"/>
              <w:rPr>
                <w:u w:val="single"/>
              </w:rPr>
            </w:pPr>
            <w:r w:rsidRPr="008179F6">
              <w:rPr>
                <w:u w:val="single"/>
              </w:rPr>
              <w:t xml:space="preserve">Resolución No. 020-2020-ARP-SFE para regular la plaga </w:t>
            </w:r>
            <w:r w:rsidRPr="008179F6">
              <w:rPr>
                <w:i/>
                <w:iCs/>
                <w:u w:val="single"/>
              </w:rPr>
              <w:t>Aleurodicus destructor</w:t>
            </w:r>
            <w:r w:rsidRPr="008179F6">
              <w:rPr>
                <w:u w:val="single"/>
              </w:rPr>
              <w:t xml:space="preserve"> Mackie, 1912, en semillas de coco (</w:t>
            </w:r>
            <w:r w:rsidRPr="008179F6">
              <w:rPr>
                <w:i/>
                <w:iCs/>
                <w:u w:val="single"/>
              </w:rPr>
              <w:t>Cocos nucifera</w:t>
            </w:r>
            <w:r w:rsidRPr="008179F6">
              <w:rPr>
                <w:u w:val="single"/>
              </w:rPr>
              <w:t>) y en plantas para plantar (excepto semillas) de todos los hospedantes reportados y de todos los países en los que esté presente.</w:t>
            </w:r>
            <w:bookmarkStart w:id="4" w:name="spsTitle"/>
            <w:bookmarkEnd w:id="4"/>
          </w:p>
        </w:tc>
      </w:tr>
      <w:tr w:rsidR="008B06C6" w:rsidTr="00085CD0">
        <w:tc>
          <w:tcPr>
            <w:tcW w:w="9242" w:type="dxa"/>
            <w:shd w:val="clear" w:color="auto" w:fill="auto"/>
          </w:tcPr>
          <w:p w:rsidR="00730687" w:rsidRPr="008179F6" w:rsidRDefault="006E410C" w:rsidP="008179F6">
            <w:pPr>
              <w:spacing w:after="240"/>
            </w:pPr>
            <w:r w:rsidRPr="008179F6">
              <w:t>Costa Rica comunica la entrada en vigor de las medidas fitosanitarias notificadas</w:t>
            </w:r>
            <w:r>
              <w:t xml:space="preserve"> </w:t>
            </w:r>
            <w:r w:rsidRPr="008179F6">
              <w:t xml:space="preserve">en G/SPS/N/CRI/222, mediante la Resolución No. 020-2020-ARP-SFE para regular la plaga </w:t>
            </w:r>
            <w:r w:rsidRPr="008179F6">
              <w:rPr>
                <w:i/>
                <w:iCs/>
              </w:rPr>
              <w:t>Aleurodicus</w:t>
            </w:r>
            <w:r>
              <w:rPr>
                <w:i/>
                <w:iCs/>
              </w:rPr>
              <w:t> </w:t>
            </w:r>
            <w:r w:rsidRPr="008179F6">
              <w:rPr>
                <w:i/>
                <w:iCs/>
              </w:rPr>
              <w:t>destructor</w:t>
            </w:r>
            <w:r w:rsidRPr="008179F6">
              <w:t xml:space="preserve"> Mackie, 1912, en semillas de coco (</w:t>
            </w:r>
            <w:r w:rsidRPr="008179F6">
              <w:rPr>
                <w:i/>
                <w:iCs/>
              </w:rPr>
              <w:t>Cocos nucifera</w:t>
            </w:r>
            <w:r w:rsidRPr="008179F6">
              <w:t>) y en plantas para plantar (excepto semillas) de todos los hospedantes reportados y de todos los países en los que esté presente.</w:t>
            </w:r>
          </w:p>
          <w:p w:rsidR="008B06C6" w:rsidRPr="008179F6" w:rsidRDefault="00745C37" w:rsidP="008179F6">
            <w:pPr>
              <w:spacing w:after="240"/>
            </w:pPr>
            <w:hyperlink r:id="rId7" w:tgtFrame="_blank" w:history="1">
              <w:r w:rsidR="006E410C" w:rsidRPr="008179F6">
                <w:rPr>
                  <w:color w:val="0000FF"/>
                  <w:u w:val="single"/>
                </w:rPr>
                <w:t>https://members.wto.org/crnattachments/2020/SPS/CRI/20_5514_00_s.pdf</w:t>
              </w:r>
            </w:hyperlink>
            <w:bookmarkStart w:id="5" w:name="spsMeasure"/>
            <w:bookmarkEnd w:id="5"/>
          </w:p>
        </w:tc>
      </w:tr>
      <w:tr w:rsidR="008B06C6" w:rsidTr="00085CD0">
        <w:tc>
          <w:tcPr>
            <w:tcW w:w="9242" w:type="dxa"/>
            <w:shd w:val="clear" w:color="auto" w:fill="auto"/>
          </w:tcPr>
          <w:p w:rsidR="00730687" w:rsidRPr="008179F6" w:rsidRDefault="006E410C" w:rsidP="008179F6">
            <w:pPr>
              <w:spacing w:after="240"/>
              <w:rPr>
                <w:b/>
              </w:rPr>
            </w:pPr>
            <w:r w:rsidRPr="008179F6">
              <w:rPr>
                <w:b/>
              </w:rPr>
              <w:t>Este addendum se refiere a:</w:t>
            </w:r>
          </w:p>
        </w:tc>
      </w:tr>
      <w:tr w:rsidR="008B06C6" w:rsidTr="00085CD0">
        <w:tc>
          <w:tcPr>
            <w:tcW w:w="9242" w:type="dxa"/>
            <w:shd w:val="clear" w:color="auto" w:fill="auto"/>
          </w:tcPr>
          <w:p w:rsidR="00730687" w:rsidRPr="008179F6" w:rsidRDefault="006E410C"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8B06C6" w:rsidTr="00085CD0">
        <w:tc>
          <w:tcPr>
            <w:tcW w:w="9242" w:type="dxa"/>
            <w:shd w:val="clear" w:color="auto" w:fill="auto"/>
          </w:tcPr>
          <w:p w:rsidR="00730687" w:rsidRPr="008179F6" w:rsidRDefault="006E410C"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8B06C6" w:rsidTr="00085CD0">
        <w:tc>
          <w:tcPr>
            <w:tcW w:w="9242" w:type="dxa"/>
            <w:shd w:val="clear" w:color="auto" w:fill="auto"/>
          </w:tcPr>
          <w:p w:rsidR="00730687" w:rsidRPr="008179F6" w:rsidRDefault="006E410C"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8B06C6" w:rsidTr="00085CD0">
        <w:tc>
          <w:tcPr>
            <w:tcW w:w="9242" w:type="dxa"/>
            <w:shd w:val="clear" w:color="auto" w:fill="auto"/>
          </w:tcPr>
          <w:p w:rsidR="00730687" w:rsidRPr="008179F6" w:rsidRDefault="006E410C" w:rsidP="008179F6">
            <w:pPr>
              <w:ind w:left="1440" w:hanging="873"/>
            </w:pPr>
            <w:r w:rsidRPr="008179F6">
              <w:t>[ ]</w:t>
            </w:r>
            <w:bookmarkStart w:id="9" w:name="spsWithdraw"/>
            <w:bookmarkEnd w:id="9"/>
            <w:r w:rsidRPr="008179F6">
              <w:tab/>
              <w:t>el retiro del reglamento propuesto</w:t>
            </w:r>
          </w:p>
        </w:tc>
      </w:tr>
      <w:tr w:rsidR="008B06C6" w:rsidTr="00085CD0">
        <w:tc>
          <w:tcPr>
            <w:tcW w:w="9242" w:type="dxa"/>
            <w:shd w:val="clear" w:color="auto" w:fill="auto"/>
          </w:tcPr>
          <w:p w:rsidR="00730687" w:rsidRPr="008179F6" w:rsidRDefault="006E410C"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8B06C6" w:rsidTr="00085CD0">
        <w:tc>
          <w:tcPr>
            <w:tcW w:w="9242" w:type="dxa"/>
            <w:shd w:val="clear" w:color="auto" w:fill="auto"/>
          </w:tcPr>
          <w:p w:rsidR="00730687" w:rsidRPr="008179F6" w:rsidRDefault="006E410C"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8B06C6" w:rsidTr="00085CD0">
        <w:tc>
          <w:tcPr>
            <w:tcW w:w="9242" w:type="dxa"/>
            <w:shd w:val="clear" w:color="auto" w:fill="auto"/>
          </w:tcPr>
          <w:p w:rsidR="00730687" w:rsidRPr="008179F6" w:rsidRDefault="006E410C"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8B06C6" w:rsidTr="00085CD0">
        <w:tc>
          <w:tcPr>
            <w:tcW w:w="9242" w:type="dxa"/>
            <w:shd w:val="clear" w:color="auto" w:fill="auto"/>
          </w:tcPr>
          <w:p w:rsidR="00730687" w:rsidRPr="008179F6" w:rsidRDefault="006E410C"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bookmarkEnd w:id="15"/>
          </w:p>
        </w:tc>
      </w:tr>
      <w:tr w:rsidR="008B06C6" w:rsidTr="00085CD0">
        <w:tc>
          <w:tcPr>
            <w:tcW w:w="9242" w:type="dxa"/>
            <w:shd w:val="clear" w:color="auto" w:fill="auto"/>
          </w:tcPr>
          <w:p w:rsidR="00730687" w:rsidRPr="008179F6" w:rsidRDefault="006E410C"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8B06C6" w:rsidTr="00085CD0">
        <w:tc>
          <w:tcPr>
            <w:tcW w:w="9242" w:type="dxa"/>
            <w:shd w:val="clear" w:color="auto" w:fill="auto"/>
          </w:tcPr>
          <w:p w:rsidR="00730687" w:rsidRPr="008179F6" w:rsidRDefault="006E410C" w:rsidP="006E410C">
            <w:pPr>
              <w:keepNext/>
              <w:keepLines/>
              <w:spacing w:after="240"/>
              <w:rPr>
                <w:b/>
              </w:rPr>
            </w:pPr>
            <w:bookmarkStart w:id="18" w:name="spsCommentAddress"/>
            <w:bookmarkEnd w:id="18"/>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 ]</w:t>
            </w:r>
            <w:bookmarkStart w:id="20" w:name="spsTextAvailableNEP"/>
            <w:bookmarkEnd w:id="20"/>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8B06C6" w:rsidTr="00085CD0">
        <w:tc>
          <w:tcPr>
            <w:tcW w:w="9242" w:type="dxa"/>
            <w:shd w:val="clear" w:color="auto" w:fill="auto"/>
          </w:tcPr>
          <w:p w:rsidR="008B06C6" w:rsidRPr="008179F6" w:rsidRDefault="006E410C" w:rsidP="006E410C">
            <w:pPr>
              <w:keepNext/>
              <w:keepLines/>
            </w:pPr>
            <w:r w:rsidRPr="008179F6">
              <w:t>Ministerio de Agricultura y Ganadería (MAG)Servicio Fitosanitario del Estado (SFE)</w:t>
            </w:r>
          </w:p>
          <w:p w:rsidR="008B06C6" w:rsidRPr="008179F6" w:rsidRDefault="006E410C" w:rsidP="006E410C">
            <w:pPr>
              <w:keepNext/>
              <w:keepLines/>
            </w:pPr>
            <w:r w:rsidRPr="008179F6">
              <w:t>Centro de Información y Notificación en MSF</w:t>
            </w:r>
          </w:p>
          <w:p w:rsidR="008B06C6" w:rsidRPr="008179F6" w:rsidRDefault="006E410C" w:rsidP="006E410C">
            <w:pPr>
              <w:keepNext/>
              <w:keepLines/>
            </w:pPr>
            <w:r w:rsidRPr="008179F6">
              <w:t>Apartado postal 1521 - 1200</w:t>
            </w:r>
          </w:p>
          <w:p w:rsidR="008B06C6" w:rsidRPr="008179F6" w:rsidRDefault="006E410C" w:rsidP="006E410C">
            <w:pPr>
              <w:keepNext/>
              <w:keepLines/>
            </w:pPr>
            <w:r w:rsidRPr="008179F6">
              <w:t>San José, Costa Rica</w:t>
            </w:r>
          </w:p>
          <w:p w:rsidR="008B06C6" w:rsidRPr="008179F6" w:rsidRDefault="006E410C" w:rsidP="006E410C">
            <w:pPr>
              <w:keepNext/>
              <w:keepLines/>
            </w:pPr>
            <w:r w:rsidRPr="008179F6">
              <w:t>Tel: +(506) 2549 3407</w:t>
            </w:r>
          </w:p>
          <w:p w:rsidR="008B06C6" w:rsidRPr="008179F6" w:rsidRDefault="006E410C" w:rsidP="006E410C">
            <w:pPr>
              <w:keepNext/>
              <w:keepLines/>
            </w:pPr>
            <w:r w:rsidRPr="008179F6">
              <w:t>Fax: +(506) 2549 3598</w:t>
            </w:r>
          </w:p>
          <w:p w:rsidR="008B06C6" w:rsidRPr="008179F6" w:rsidRDefault="006E410C" w:rsidP="006E410C">
            <w:pPr>
              <w:keepNext/>
              <w:keepLines/>
              <w:spacing w:after="240"/>
            </w:pPr>
            <w:r w:rsidRPr="008179F6">
              <w:t xml:space="preserve">Correo electrónico: </w:t>
            </w:r>
            <w:hyperlink r:id="rId8" w:history="1">
              <w:r w:rsidRPr="00A26E97">
                <w:rPr>
                  <w:rStyle w:val="Hyperlink"/>
                </w:rPr>
                <w:t>puntocontactoMSF@sfe.go.cr</w:t>
              </w:r>
            </w:hyperlink>
            <w:bookmarkStart w:id="21" w:name="spsTextSupplierAddress"/>
            <w:bookmarkEnd w:id="21"/>
            <w:r>
              <w:t xml:space="preserve"> </w:t>
            </w:r>
          </w:p>
        </w:tc>
      </w:tr>
    </w:tbl>
    <w:p w:rsidR="00293E6A" w:rsidRPr="008179F6" w:rsidRDefault="00293E6A" w:rsidP="008179F6"/>
    <w:p w:rsidR="00293E6A" w:rsidRPr="008179F6" w:rsidRDefault="006E410C" w:rsidP="008179F6">
      <w:pPr>
        <w:jc w:val="center"/>
        <w:rPr>
          <w:b/>
        </w:rPr>
      </w:pPr>
      <w:r w:rsidRPr="008179F6">
        <w:rPr>
          <w:b/>
        </w:rPr>
        <w:t>__________</w:t>
      </w:r>
    </w:p>
    <w:sectPr w:rsidR="00293E6A" w:rsidRPr="008179F6" w:rsidSect="006E410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C2" w:rsidRDefault="006E410C">
      <w:r>
        <w:separator/>
      </w:r>
    </w:p>
  </w:endnote>
  <w:endnote w:type="continuationSeparator" w:id="0">
    <w:p w:rsidR="001E3BC2" w:rsidRDefault="006E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6E410C" w:rsidRDefault="006E410C" w:rsidP="006E410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E410C" w:rsidRDefault="006E410C" w:rsidP="006E410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6E410C"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C2" w:rsidRDefault="006E410C">
      <w:r>
        <w:separator/>
      </w:r>
    </w:p>
  </w:footnote>
  <w:footnote w:type="continuationSeparator" w:id="0">
    <w:p w:rsidR="001E3BC2" w:rsidRDefault="006E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10C" w:rsidRPr="006E410C" w:rsidRDefault="006E410C" w:rsidP="006E410C">
    <w:pPr>
      <w:pStyle w:val="Header"/>
      <w:pBdr>
        <w:bottom w:val="single" w:sz="4" w:space="1" w:color="auto"/>
      </w:pBdr>
      <w:tabs>
        <w:tab w:val="clear" w:pos="4513"/>
        <w:tab w:val="clear" w:pos="9027"/>
      </w:tabs>
      <w:jc w:val="center"/>
    </w:pPr>
    <w:r w:rsidRPr="006E410C">
      <w:t>G/SPS/N/CRI/222/Add.2</w:t>
    </w:r>
  </w:p>
  <w:p w:rsidR="006E410C" w:rsidRPr="006E410C" w:rsidRDefault="006E410C" w:rsidP="006E410C">
    <w:pPr>
      <w:pStyle w:val="Header"/>
      <w:pBdr>
        <w:bottom w:val="single" w:sz="4" w:space="1" w:color="auto"/>
      </w:pBdr>
      <w:tabs>
        <w:tab w:val="clear" w:pos="4513"/>
        <w:tab w:val="clear" w:pos="9027"/>
      </w:tabs>
      <w:jc w:val="center"/>
    </w:pPr>
  </w:p>
  <w:p w:rsidR="006E410C" w:rsidRPr="006E410C" w:rsidRDefault="006E410C" w:rsidP="006E410C">
    <w:pPr>
      <w:pStyle w:val="Header"/>
      <w:pBdr>
        <w:bottom w:val="single" w:sz="4" w:space="1" w:color="auto"/>
      </w:pBdr>
      <w:tabs>
        <w:tab w:val="clear" w:pos="4513"/>
        <w:tab w:val="clear" w:pos="9027"/>
      </w:tabs>
      <w:jc w:val="center"/>
    </w:pPr>
    <w:r w:rsidRPr="006E410C">
      <w:t xml:space="preserve">- </w:t>
    </w:r>
    <w:r w:rsidRPr="006E410C">
      <w:fldChar w:fldCharType="begin"/>
    </w:r>
    <w:r w:rsidRPr="006E410C">
      <w:instrText xml:space="preserve"> PAGE </w:instrText>
    </w:r>
    <w:r w:rsidRPr="006E410C">
      <w:fldChar w:fldCharType="separate"/>
    </w:r>
    <w:r w:rsidRPr="006E410C">
      <w:rPr>
        <w:noProof/>
      </w:rPr>
      <w:t>2</w:t>
    </w:r>
    <w:r w:rsidRPr="006E410C">
      <w:fldChar w:fldCharType="end"/>
    </w:r>
    <w:r w:rsidRPr="006E410C">
      <w:t xml:space="preserve"> -</w:t>
    </w:r>
  </w:p>
  <w:p w:rsidR="00730687" w:rsidRPr="006E410C" w:rsidRDefault="00730687" w:rsidP="006E410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10C" w:rsidRPr="006E410C" w:rsidRDefault="006E410C" w:rsidP="006E410C">
    <w:pPr>
      <w:pStyle w:val="Header"/>
      <w:pBdr>
        <w:bottom w:val="single" w:sz="4" w:space="1" w:color="auto"/>
      </w:pBdr>
      <w:tabs>
        <w:tab w:val="clear" w:pos="4513"/>
        <w:tab w:val="clear" w:pos="9027"/>
      </w:tabs>
      <w:jc w:val="center"/>
    </w:pPr>
    <w:r w:rsidRPr="006E410C">
      <w:t>G/SPS/N/CRI/222/Add.2</w:t>
    </w:r>
  </w:p>
  <w:p w:rsidR="006E410C" w:rsidRPr="006E410C" w:rsidRDefault="006E410C" w:rsidP="006E410C">
    <w:pPr>
      <w:pStyle w:val="Header"/>
      <w:pBdr>
        <w:bottom w:val="single" w:sz="4" w:space="1" w:color="auto"/>
      </w:pBdr>
      <w:tabs>
        <w:tab w:val="clear" w:pos="4513"/>
        <w:tab w:val="clear" w:pos="9027"/>
      </w:tabs>
      <w:jc w:val="center"/>
    </w:pPr>
  </w:p>
  <w:p w:rsidR="006E410C" w:rsidRPr="006E410C" w:rsidRDefault="006E410C" w:rsidP="006E410C">
    <w:pPr>
      <w:pStyle w:val="Header"/>
      <w:pBdr>
        <w:bottom w:val="single" w:sz="4" w:space="1" w:color="auto"/>
      </w:pBdr>
      <w:tabs>
        <w:tab w:val="clear" w:pos="4513"/>
        <w:tab w:val="clear" w:pos="9027"/>
      </w:tabs>
      <w:jc w:val="center"/>
    </w:pPr>
    <w:r w:rsidRPr="006E410C">
      <w:t xml:space="preserve">- </w:t>
    </w:r>
    <w:r w:rsidRPr="006E410C">
      <w:fldChar w:fldCharType="begin"/>
    </w:r>
    <w:r w:rsidRPr="006E410C">
      <w:instrText xml:space="preserve"> PAGE </w:instrText>
    </w:r>
    <w:r w:rsidRPr="006E410C">
      <w:fldChar w:fldCharType="separate"/>
    </w:r>
    <w:r w:rsidRPr="006E410C">
      <w:rPr>
        <w:noProof/>
      </w:rPr>
      <w:t>2</w:t>
    </w:r>
    <w:r w:rsidRPr="006E410C">
      <w:fldChar w:fldCharType="end"/>
    </w:r>
    <w:r w:rsidRPr="006E410C">
      <w:t xml:space="preserve"> -</w:t>
    </w:r>
  </w:p>
  <w:p w:rsidR="00DD65B2" w:rsidRPr="006E410C" w:rsidRDefault="00DD65B2" w:rsidP="006E410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8B06C6"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6E410C">
          <w:pPr>
            <w:jc w:val="right"/>
            <w:rPr>
              <w:b/>
              <w:color w:val="FF0000"/>
              <w:szCs w:val="18"/>
            </w:rPr>
          </w:pPr>
          <w:r>
            <w:rPr>
              <w:b/>
              <w:color w:val="FF0000"/>
              <w:szCs w:val="18"/>
            </w:rPr>
            <w:t xml:space="preserve"> </w:t>
          </w:r>
        </w:p>
      </w:tc>
    </w:tr>
    <w:bookmarkEnd w:id="22"/>
    <w:tr w:rsidR="008B06C6" w:rsidTr="00433BE0">
      <w:trPr>
        <w:trHeight w:val="213"/>
        <w:jc w:val="center"/>
      </w:trPr>
      <w:tc>
        <w:tcPr>
          <w:tcW w:w="3818" w:type="dxa"/>
          <w:vMerge w:val="restart"/>
          <w:shd w:val="clear" w:color="auto" w:fill="FFFFFF"/>
          <w:hideMark/>
        </w:tcPr>
        <w:p w:rsidR="005D4F0E" w:rsidRPr="00730687" w:rsidRDefault="006E410C">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657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8B06C6"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6E410C" w:rsidRDefault="006E410C" w:rsidP="00294BE1">
          <w:pPr>
            <w:jc w:val="right"/>
            <w:rPr>
              <w:b/>
              <w:szCs w:val="18"/>
            </w:rPr>
          </w:pPr>
          <w:bookmarkStart w:id="23" w:name="bmkSymbols"/>
          <w:r>
            <w:rPr>
              <w:b/>
              <w:szCs w:val="18"/>
            </w:rPr>
            <w:t>G/SPS/N/CRI/222/Add.2</w:t>
          </w:r>
        </w:p>
        <w:bookmarkEnd w:id="23"/>
        <w:p w:rsidR="005D4F0E" w:rsidRPr="008179F6" w:rsidRDefault="005D4F0E" w:rsidP="00294BE1">
          <w:pPr>
            <w:jc w:val="right"/>
            <w:rPr>
              <w:b/>
              <w:szCs w:val="18"/>
            </w:rPr>
          </w:pPr>
        </w:p>
      </w:tc>
    </w:tr>
    <w:tr w:rsidR="008B06C6" w:rsidTr="00433BE0">
      <w:trPr>
        <w:trHeight w:val="240"/>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EE2418" w:rsidP="005D4F0E">
          <w:pPr>
            <w:jc w:val="right"/>
            <w:rPr>
              <w:szCs w:val="18"/>
            </w:rPr>
          </w:pPr>
          <w:bookmarkStart w:id="24" w:name="bmkDate"/>
          <w:bookmarkStart w:id="25" w:name="spsDateDistribution"/>
          <w:bookmarkEnd w:id="24"/>
          <w:bookmarkEnd w:id="25"/>
          <w:r>
            <w:rPr>
              <w:szCs w:val="18"/>
            </w:rPr>
            <w:t>21 de septiembre de 2020</w:t>
          </w:r>
        </w:p>
      </w:tc>
    </w:tr>
    <w:tr w:rsidR="008B06C6"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E410C">
          <w:pPr>
            <w:jc w:val="left"/>
            <w:rPr>
              <w:b/>
              <w:szCs w:val="18"/>
            </w:rPr>
          </w:pPr>
          <w:bookmarkStart w:id="26" w:name="bmkSerial"/>
          <w:r w:rsidRPr="008179F6">
            <w:rPr>
              <w:color w:val="FF0000"/>
              <w:szCs w:val="18"/>
            </w:rPr>
            <w:t>(</w:t>
          </w:r>
          <w:bookmarkStart w:id="27" w:name="spsSerialNumber"/>
          <w:bookmarkEnd w:id="27"/>
          <w:r w:rsidR="00EE2418">
            <w:rPr>
              <w:color w:val="FF0000"/>
              <w:szCs w:val="18"/>
            </w:rPr>
            <w:t>20-</w:t>
          </w:r>
          <w:r w:rsidR="00745C37">
            <w:rPr>
              <w:color w:val="FF0000"/>
              <w:szCs w:val="18"/>
            </w:rPr>
            <w:t>6313</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6E410C"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8B06C6"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6E410C">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6E410C"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D88742">
      <w:start w:val="1"/>
      <w:numFmt w:val="decimal"/>
      <w:pStyle w:val="SummaryText"/>
      <w:lvlText w:val="%1."/>
      <w:lvlJc w:val="left"/>
      <w:pPr>
        <w:ind w:left="360" w:hanging="360"/>
      </w:pPr>
    </w:lvl>
    <w:lvl w:ilvl="1" w:tplc="5336A53A" w:tentative="1">
      <w:start w:val="1"/>
      <w:numFmt w:val="lowerLetter"/>
      <w:lvlText w:val="%2."/>
      <w:lvlJc w:val="left"/>
      <w:pPr>
        <w:ind w:left="1080" w:hanging="360"/>
      </w:pPr>
    </w:lvl>
    <w:lvl w:ilvl="2" w:tplc="564E89BC" w:tentative="1">
      <w:start w:val="1"/>
      <w:numFmt w:val="lowerRoman"/>
      <w:lvlText w:val="%3."/>
      <w:lvlJc w:val="right"/>
      <w:pPr>
        <w:ind w:left="1800" w:hanging="180"/>
      </w:pPr>
    </w:lvl>
    <w:lvl w:ilvl="3" w:tplc="753E3026" w:tentative="1">
      <w:start w:val="1"/>
      <w:numFmt w:val="decimal"/>
      <w:lvlText w:val="%4."/>
      <w:lvlJc w:val="left"/>
      <w:pPr>
        <w:ind w:left="2520" w:hanging="360"/>
      </w:pPr>
    </w:lvl>
    <w:lvl w:ilvl="4" w:tplc="74964130" w:tentative="1">
      <w:start w:val="1"/>
      <w:numFmt w:val="lowerLetter"/>
      <w:lvlText w:val="%5."/>
      <w:lvlJc w:val="left"/>
      <w:pPr>
        <w:ind w:left="3240" w:hanging="360"/>
      </w:pPr>
    </w:lvl>
    <w:lvl w:ilvl="5" w:tplc="24764A46" w:tentative="1">
      <w:start w:val="1"/>
      <w:numFmt w:val="lowerRoman"/>
      <w:lvlText w:val="%6."/>
      <w:lvlJc w:val="right"/>
      <w:pPr>
        <w:ind w:left="3960" w:hanging="180"/>
      </w:pPr>
    </w:lvl>
    <w:lvl w:ilvl="6" w:tplc="BB44CF10" w:tentative="1">
      <w:start w:val="1"/>
      <w:numFmt w:val="decimal"/>
      <w:lvlText w:val="%7."/>
      <w:lvlJc w:val="left"/>
      <w:pPr>
        <w:ind w:left="4680" w:hanging="360"/>
      </w:pPr>
    </w:lvl>
    <w:lvl w:ilvl="7" w:tplc="2B2ED5BA" w:tentative="1">
      <w:start w:val="1"/>
      <w:numFmt w:val="lowerLetter"/>
      <w:lvlText w:val="%8."/>
      <w:lvlJc w:val="left"/>
      <w:pPr>
        <w:ind w:left="5400" w:hanging="360"/>
      </w:pPr>
    </w:lvl>
    <w:lvl w:ilvl="8" w:tplc="F1CE1D9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1E3BC2"/>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E410C"/>
    <w:rsid w:val="006F1734"/>
    <w:rsid w:val="00727F5B"/>
    <w:rsid w:val="00730687"/>
    <w:rsid w:val="00735ADA"/>
    <w:rsid w:val="00745C37"/>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B06C6"/>
    <w:rsid w:val="00912133"/>
    <w:rsid w:val="0091417D"/>
    <w:rsid w:val="00917BFE"/>
    <w:rsid w:val="009304CB"/>
    <w:rsid w:val="0093775F"/>
    <w:rsid w:val="00950FAE"/>
    <w:rsid w:val="00984D93"/>
    <w:rsid w:val="00992059"/>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0E7"/>
    <w:rsid w:val="00EB1D8F"/>
    <w:rsid w:val="00EB4982"/>
    <w:rsid w:val="00EE2418"/>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F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6E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SF@sfe.go.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CRI/20_5514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2020-09-18T13:43:00Z</dcterms:created>
  <dcterms:modified xsi:type="dcterms:W3CDTF">2020-09-18T14:32:00Z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G/SPS/N/CRI/222/Add.2</vt:lpwstr>
  </property>
  <property fmtid="{D5CDD505-2E9C-101B-9397-08002B2CF9AE}" pid="3" name="TitusGUID">
    <vt:lpwstr>c627820f-b1da-4acb-b9fb-78d2643e3baa</vt:lpwstr>
  </property>
  <property fmtid="{D5CDD505-2E9C-101B-9397-08002B2CF9AE}" pid="4" name="WTOCLASSIFICATION">
    <vt:lpwstr>WTO OFFICIAL</vt:lpwstr>
  </property>
</Properties>
</file>