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2916C3" w:rsidRDefault="002916C3" w:rsidP="002916C3">
      <w:pPr>
        <w:pStyle w:val="Title"/>
        <w:rPr>
          <w:caps w:val="0"/>
          <w:kern w:val="0"/>
        </w:rPr>
      </w:pPr>
      <w:r w:rsidRPr="002916C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916C3" w:rsidRPr="002916C3" w:rsidTr="002916C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Cs/>
                <w:u w:val="single"/>
              </w:rPr>
            </w:pPr>
            <w:r w:rsidRPr="002916C3">
              <w:rPr>
                <w:b/>
              </w:rPr>
              <w:t>Miembro que notifica</w:t>
            </w:r>
            <w:r w:rsidR="002916C3" w:rsidRPr="002916C3">
              <w:rPr>
                <w:b/>
              </w:rPr>
              <w:t xml:space="preserve">: </w:t>
            </w:r>
            <w:r w:rsidR="002916C3" w:rsidRPr="002916C3">
              <w:rPr>
                <w:u w:val="single"/>
              </w:rPr>
              <w:t>M</w:t>
            </w:r>
            <w:r w:rsidRPr="002916C3">
              <w:rPr>
                <w:u w:val="single"/>
              </w:rPr>
              <w:t>ARRUECOS</w:t>
            </w:r>
          </w:p>
          <w:p w:rsidR="005E2B26" w:rsidRPr="002916C3" w:rsidRDefault="002D3789" w:rsidP="002916C3">
            <w:pPr>
              <w:spacing w:after="120"/>
              <w:jc w:val="left"/>
            </w:pPr>
            <w:r w:rsidRPr="002916C3">
              <w:rPr>
                <w:b/>
              </w:rPr>
              <w:t xml:space="preserve">Si procede, nombre del gobierno local de que se trate: 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</w:pPr>
            <w:r w:rsidRPr="002916C3">
              <w:rPr>
                <w:b/>
              </w:rPr>
              <w:t>Organismo responsable</w:t>
            </w:r>
            <w:r w:rsidR="002916C3" w:rsidRPr="002916C3">
              <w:rPr>
                <w:b/>
              </w:rPr>
              <w:t xml:space="preserve">: </w:t>
            </w:r>
            <w:r w:rsidR="002916C3" w:rsidRPr="002916C3">
              <w:t>O</w:t>
            </w:r>
            <w:r w:rsidRPr="002916C3">
              <w:t>ficina Nacional de Inocuidad Alimentaria</w:t>
            </w:r>
            <w:r w:rsidR="00C60822" w:rsidRPr="002916C3">
              <w:t>.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Productos abarcados (número de la(s) partida(s) arancelaria(s) según se especifica en las listas nacionales depositadas en la OMC</w:t>
            </w:r>
            <w:r w:rsidR="002916C3" w:rsidRPr="002916C3">
              <w:rPr>
                <w:b/>
              </w:rPr>
              <w:t>; d</w:t>
            </w:r>
            <w:r w:rsidRPr="002916C3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2916C3">
              <w:rPr>
                <w:b/>
              </w:rPr>
              <w:t>ICS</w:t>
            </w:r>
            <w:proofErr w:type="spellEnd"/>
            <w:r w:rsidRPr="002916C3">
              <w:rPr>
                <w:b/>
              </w:rPr>
              <w:t>)</w:t>
            </w:r>
            <w:r w:rsidR="002916C3" w:rsidRPr="002916C3">
              <w:rPr>
                <w:b/>
              </w:rPr>
              <w:t xml:space="preserve">: </w:t>
            </w:r>
            <w:r w:rsidR="002916C3" w:rsidRPr="002916C3">
              <w:t>p</w:t>
            </w:r>
            <w:r w:rsidRPr="002916C3">
              <w:t>roductos fitosanitarios.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Regiones o países que podrían verse afectados, en la medida en que sea procedente o factible:</w:t>
            </w:r>
          </w:p>
          <w:p w:rsidR="00F408A1" w:rsidRPr="002916C3" w:rsidRDefault="002D3789" w:rsidP="002916C3">
            <w:pPr>
              <w:spacing w:after="120"/>
              <w:ind w:left="607" w:hanging="607"/>
            </w:pPr>
            <w:r w:rsidRPr="002916C3">
              <w:rPr>
                <w:b/>
              </w:rPr>
              <w:t>[X]</w:t>
            </w:r>
            <w:r w:rsidRPr="002916C3">
              <w:rPr>
                <w:b/>
              </w:rPr>
              <w:tab/>
              <w:t>Todos los interlocutores comerciales</w:t>
            </w:r>
          </w:p>
          <w:p w:rsidR="005E2B26" w:rsidRPr="002916C3" w:rsidRDefault="002916C3" w:rsidP="002916C3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2916C3">
              <w:rPr>
                <w:b/>
              </w:rPr>
              <w:t>[ ]</w:t>
            </w:r>
            <w:r w:rsidR="00F408A1" w:rsidRPr="002916C3">
              <w:rPr>
                <w:b/>
              </w:rPr>
              <w:tab/>
              <w:t xml:space="preserve">Regiones o países específicos: 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Cs/>
              </w:rPr>
            </w:pPr>
            <w:r w:rsidRPr="002916C3">
              <w:rPr>
                <w:b/>
              </w:rPr>
              <w:t>Título del documento notificado</w:t>
            </w:r>
            <w:r w:rsidR="002916C3" w:rsidRPr="002916C3">
              <w:rPr>
                <w:b/>
              </w:rPr>
              <w:t xml:space="preserve">: </w:t>
            </w:r>
            <w:proofErr w:type="spellStart"/>
            <w:r w:rsidR="002916C3" w:rsidRPr="002916C3">
              <w:rPr>
                <w:i/>
              </w:rPr>
              <w:t>P</w:t>
            </w:r>
            <w:r w:rsidRPr="002916C3">
              <w:rPr>
                <w:i/>
              </w:rPr>
              <w:t>rojet</w:t>
            </w:r>
            <w:proofErr w:type="spellEnd"/>
            <w:r w:rsidRPr="002916C3">
              <w:rPr>
                <w:i/>
              </w:rPr>
              <w:t xml:space="preserve"> de </w:t>
            </w:r>
            <w:proofErr w:type="spellStart"/>
            <w:r w:rsidRPr="002916C3">
              <w:rPr>
                <w:i/>
              </w:rPr>
              <w:t>Loi</w:t>
            </w:r>
            <w:proofErr w:type="spellEnd"/>
            <w:r w:rsidRPr="002916C3">
              <w:rPr>
                <w:i/>
              </w:rPr>
              <w:t xml:space="preserve"> No. 34-18 </w:t>
            </w:r>
            <w:proofErr w:type="spellStart"/>
            <w:r w:rsidRPr="002916C3">
              <w:rPr>
                <w:i/>
              </w:rPr>
              <w:t>Relative</w:t>
            </w:r>
            <w:proofErr w:type="spellEnd"/>
            <w:r w:rsidRPr="002916C3">
              <w:rPr>
                <w:i/>
              </w:rPr>
              <w:t xml:space="preserve"> </w:t>
            </w:r>
            <w:proofErr w:type="spellStart"/>
            <w:r w:rsidRPr="002916C3">
              <w:rPr>
                <w:i/>
              </w:rPr>
              <w:t>aux</w:t>
            </w:r>
            <w:proofErr w:type="spellEnd"/>
            <w:r w:rsidRPr="002916C3">
              <w:rPr>
                <w:i/>
              </w:rPr>
              <w:t xml:space="preserve"> </w:t>
            </w:r>
            <w:proofErr w:type="spellStart"/>
            <w:r w:rsidRPr="002916C3">
              <w:rPr>
                <w:i/>
              </w:rPr>
              <w:t>produits</w:t>
            </w:r>
            <w:proofErr w:type="spellEnd"/>
            <w:r w:rsidRPr="002916C3">
              <w:rPr>
                <w:i/>
              </w:rPr>
              <w:t xml:space="preserve"> </w:t>
            </w:r>
            <w:proofErr w:type="spellStart"/>
            <w:r w:rsidRPr="002916C3">
              <w:rPr>
                <w:i/>
              </w:rPr>
              <w:t>phytopharmaceutiques</w:t>
            </w:r>
            <w:proofErr w:type="spellEnd"/>
            <w:r w:rsidR="00B25FE4" w:rsidRPr="002916C3">
              <w:t xml:space="preserve"> (Proyecto de Ley Nº 34-18 de Productos Fitosanitarios</w:t>
            </w:r>
            <w:r w:rsidRPr="002916C3">
              <w:t>)</w:t>
            </w:r>
            <w:r w:rsidR="002916C3" w:rsidRPr="002916C3">
              <w:t xml:space="preserve">. </w:t>
            </w:r>
            <w:r w:rsidR="002916C3" w:rsidRPr="002916C3">
              <w:rPr>
                <w:b/>
                <w:bCs/>
              </w:rPr>
              <w:t>I</w:t>
            </w:r>
            <w:r w:rsidRPr="002916C3">
              <w:rPr>
                <w:b/>
                <w:bCs/>
              </w:rPr>
              <w:t>dioma(s)</w:t>
            </w:r>
            <w:r w:rsidR="002916C3" w:rsidRPr="002916C3">
              <w:rPr>
                <w:b/>
                <w:bCs/>
              </w:rPr>
              <w:t xml:space="preserve">: </w:t>
            </w:r>
            <w:r w:rsidR="002916C3" w:rsidRPr="002916C3">
              <w:t>f</w:t>
            </w:r>
            <w:r w:rsidRPr="002916C3">
              <w:t>rancés</w:t>
            </w:r>
            <w:r w:rsidR="002916C3" w:rsidRPr="002916C3">
              <w:t xml:space="preserve">. </w:t>
            </w:r>
            <w:r w:rsidR="002916C3" w:rsidRPr="002916C3">
              <w:rPr>
                <w:b/>
                <w:bCs/>
              </w:rPr>
              <w:t>N</w:t>
            </w:r>
            <w:r w:rsidRPr="002916C3">
              <w:rPr>
                <w:b/>
                <w:bCs/>
              </w:rPr>
              <w:t>úmero de páginas</w:t>
            </w:r>
            <w:r w:rsidR="002916C3" w:rsidRPr="002916C3">
              <w:rPr>
                <w:b/>
                <w:bCs/>
              </w:rPr>
              <w:t xml:space="preserve">: </w:t>
            </w:r>
            <w:r w:rsidR="002916C3" w:rsidRPr="002916C3">
              <w:t>1</w:t>
            </w:r>
            <w:r w:rsidRPr="002916C3">
              <w:t>9.</w:t>
            </w:r>
          </w:p>
          <w:p w:rsidR="005E2B26" w:rsidRPr="002916C3" w:rsidRDefault="00D77AE4" w:rsidP="002916C3">
            <w:pPr>
              <w:spacing w:after="120"/>
              <w:rPr>
                <w:rStyle w:val="Hyperlink"/>
              </w:rPr>
            </w:pPr>
            <w:hyperlink r:id="rId9" w:tgtFrame="_blank" w:history="1">
              <w:r w:rsidR="002916C3" w:rsidRPr="002916C3">
                <w:rPr>
                  <w:rStyle w:val="Hyperlink"/>
                </w:rPr>
                <w:t>http://www.sgg.gov.ma/portals/0/AvantProjet/169/Avp_Loi_34.18_Fr.PDF</w:t>
              </w:r>
            </w:hyperlink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08A1" w:rsidRPr="002916C3" w:rsidRDefault="002D3789" w:rsidP="002916C3">
            <w:pPr>
              <w:spacing w:before="120" w:after="120"/>
            </w:pPr>
            <w:r w:rsidRPr="002916C3">
              <w:rPr>
                <w:b/>
              </w:rPr>
              <w:t>Descripción del contenido</w:t>
            </w:r>
            <w:r w:rsidR="002916C3" w:rsidRPr="002916C3">
              <w:rPr>
                <w:b/>
              </w:rPr>
              <w:t xml:space="preserve">: </w:t>
            </w:r>
            <w:r w:rsidR="002916C3" w:rsidRPr="002916C3">
              <w:t>e</w:t>
            </w:r>
            <w:r w:rsidRPr="002916C3">
              <w:t xml:space="preserve">l proyecto de Ley </w:t>
            </w:r>
            <w:r w:rsidR="00B25FE4" w:rsidRPr="002916C3">
              <w:t xml:space="preserve">notificado </w:t>
            </w:r>
            <w:r w:rsidRPr="002916C3">
              <w:t>prevé lo siguiente:</w:t>
            </w:r>
          </w:p>
          <w:p w:rsidR="00B605B1" w:rsidRPr="002916C3" w:rsidRDefault="00B605B1" w:rsidP="002916C3">
            <w:pPr>
              <w:numPr>
                <w:ilvl w:val="0"/>
                <w:numId w:val="38"/>
              </w:numPr>
              <w:tabs>
                <w:tab w:val="left" w:pos="410"/>
              </w:tabs>
              <w:spacing w:after="120"/>
              <w:ind w:left="408" w:hanging="380"/>
            </w:pPr>
            <w:r w:rsidRPr="002916C3">
              <w:t>Evaluar los productos fitosanitarios en dos etapas distintas:</w:t>
            </w:r>
          </w:p>
          <w:p w:rsidR="00F408A1" w:rsidRPr="002916C3" w:rsidRDefault="00B25FE4" w:rsidP="002916C3">
            <w:pPr>
              <w:numPr>
                <w:ilvl w:val="0"/>
                <w:numId w:val="37"/>
              </w:numPr>
              <w:tabs>
                <w:tab w:val="left" w:pos="836"/>
              </w:tabs>
              <w:ind w:left="836" w:hanging="426"/>
            </w:pPr>
            <w:r w:rsidRPr="002916C3">
              <w:t>l</w:t>
            </w:r>
            <w:r w:rsidR="002D3789" w:rsidRPr="002916C3">
              <w:t xml:space="preserve">a primera consiste en evaluar y aprobar las sustancias activas, </w:t>
            </w:r>
            <w:proofErr w:type="spellStart"/>
            <w:r w:rsidR="002D3789" w:rsidRPr="002916C3">
              <w:t>fitoprotectoras</w:t>
            </w:r>
            <w:proofErr w:type="spellEnd"/>
            <w:r w:rsidR="002D3789" w:rsidRPr="002916C3">
              <w:t xml:space="preserve"> y sinérgicas que pueden formar parte de la composición de los productos fitosanitarios;</w:t>
            </w:r>
          </w:p>
          <w:p w:rsidR="00445803" w:rsidRPr="002916C3" w:rsidRDefault="00B25FE4" w:rsidP="002916C3">
            <w:pPr>
              <w:numPr>
                <w:ilvl w:val="0"/>
                <w:numId w:val="37"/>
              </w:numPr>
              <w:tabs>
                <w:tab w:val="left" w:pos="836"/>
              </w:tabs>
              <w:spacing w:after="120"/>
              <w:ind w:left="833" w:hanging="425"/>
            </w:pPr>
            <w:r w:rsidRPr="002916C3">
              <w:t>l</w:t>
            </w:r>
            <w:r w:rsidR="002D3789" w:rsidRPr="002916C3">
              <w:t xml:space="preserve">a segunda consiste en evaluar y autorizar la </w:t>
            </w:r>
            <w:r w:rsidR="00434548" w:rsidRPr="002916C3">
              <w:t xml:space="preserve">introducción en el </w:t>
            </w:r>
            <w:r w:rsidR="002D3789" w:rsidRPr="002916C3">
              <w:t xml:space="preserve">mercado de las preparaciones comerciales que contienen las sustancias activas, </w:t>
            </w:r>
            <w:proofErr w:type="spellStart"/>
            <w:r w:rsidR="002D3789" w:rsidRPr="002916C3">
              <w:t>fitoprotectoras</w:t>
            </w:r>
            <w:proofErr w:type="spellEnd"/>
            <w:r w:rsidR="002D3789" w:rsidRPr="002916C3">
              <w:t xml:space="preserve"> y sinérgicas previamente aprobadas.</w:t>
            </w:r>
          </w:p>
          <w:p w:rsidR="00B605B1" w:rsidRPr="002916C3" w:rsidRDefault="00B605B1" w:rsidP="002916C3">
            <w:pPr>
              <w:numPr>
                <w:ilvl w:val="0"/>
                <w:numId w:val="38"/>
              </w:numPr>
              <w:tabs>
                <w:tab w:val="left" w:pos="410"/>
              </w:tabs>
              <w:spacing w:after="120"/>
              <w:ind w:left="408" w:hanging="380"/>
            </w:pPr>
            <w:r w:rsidRPr="002916C3">
              <w:t xml:space="preserve">Promover la </w:t>
            </w:r>
            <w:r w:rsidR="00434548" w:rsidRPr="002916C3">
              <w:t xml:space="preserve">introducción en el </w:t>
            </w:r>
            <w:r w:rsidRPr="002916C3">
              <w:t>mercado de los productos de bajo riesgo para la salud humana, la salud animal o el medio ambiente:</w:t>
            </w:r>
          </w:p>
          <w:p w:rsidR="00B605B1" w:rsidRPr="002916C3" w:rsidRDefault="002D3789" w:rsidP="002916C3">
            <w:pPr>
              <w:numPr>
                <w:ilvl w:val="0"/>
                <w:numId w:val="37"/>
              </w:numPr>
              <w:tabs>
                <w:tab w:val="left" w:pos="836"/>
              </w:tabs>
              <w:ind w:left="836" w:hanging="426"/>
            </w:pPr>
            <w:r w:rsidRPr="002916C3">
              <w:t xml:space="preserve">mediante prescripciones menos restrictivas que las </w:t>
            </w:r>
            <w:r w:rsidR="00B25FE4" w:rsidRPr="002916C3">
              <w:t xml:space="preserve">que se aplican a </w:t>
            </w:r>
            <w:r w:rsidRPr="002916C3">
              <w:t>los demás productos;</w:t>
            </w:r>
          </w:p>
          <w:p w:rsidR="00445803" w:rsidRPr="002916C3" w:rsidRDefault="002D3789" w:rsidP="002916C3">
            <w:pPr>
              <w:numPr>
                <w:ilvl w:val="0"/>
                <w:numId w:val="37"/>
              </w:numPr>
              <w:tabs>
                <w:tab w:val="left" w:pos="836"/>
              </w:tabs>
              <w:spacing w:after="120"/>
              <w:ind w:left="833" w:hanging="425"/>
            </w:pPr>
            <w:r w:rsidRPr="002916C3">
              <w:t xml:space="preserve">mediante la prórroga del período de validez de la aprobación y autorización de </w:t>
            </w:r>
            <w:r w:rsidR="00B25FE4" w:rsidRPr="002916C3">
              <w:t>comercialización</w:t>
            </w:r>
            <w:r w:rsidRPr="002916C3">
              <w:t xml:space="preserve"> a 15 años (mientras que para los demás productos es de 10 años).</w:t>
            </w:r>
          </w:p>
          <w:p w:rsidR="00445803" w:rsidRPr="002916C3" w:rsidRDefault="00B605B1" w:rsidP="002916C3">
            <w:pPr>
              <w:numPr>
                <w:ilvl w:val="0"/>
                <w:numId w:val="38"/>
              </w:numPr>
              <w:tabs>
                <w:tab w:val="left" w:pos="410"/>
              </w:tabs>
              <w:spacing w:after="120"/>
              <w:ind w:left="408" w:hanging="380"/>
            </w:pPr>
            <w:r w:rsidRPr="002916C3">
              <w:t>Reevaluar los productos que se comercializan siempre que haya elementos o informaciones que sugieran que las condiciones en las que fueron autorizados han cambiado, sobre todo en lo que respecta a su efecto en la salud humana y animal y en el medio ambiente;</w:t>
            </w:r>
          </w:p>
          <w:p w:rsidR="00445803" w:rsidRPr="002916C3" w:rsidRDefault="00B605B1" w:rsidP="002916C3">
            <w:pPr>
              <w:numPr>
                <w:ilvl w:val="0"/>
                <w:numId w:val="38"/>
              </w:numPr>
              <w:tabs>
                <w:tab w:val="left" w:pos="410"/>
              </w:tabs>
              <w:spacing w:after="120"/>
              <w:ind w:left="408" w:hanging="380"/>
            </w:pPr>
            <w:r w:rsidRPr="002916C3">
              <w:t>Exigir al titular de un producto fitosanitario que informe de los posibles efectos perjudiciales en cuanto tenga conocimiento de ellos, y a la autoridad competente que ponga a disposición del público la lista de los productos autorizados;</w:t>
            </w:r>
          </w:p>
          <w:p w:rsidR="00F408A1" w:rsidRPr="002916C3" w:rsidRDefault="00B605B1" w:rsidP="002916C3">
            <w:pPr>
              <w:numPr>
                <w:ilvl w:val="0"/>
                <w:numId w:val="38"/>
              </w:numPr>
              <w:tabs>
                <w:tab w:val="left" w:pos="410"/>
              </w:tabs>
              <w:spacing w:after="120"/>
              <w:ind w:left="408" w:hanging="380"/>
            </w:pPr>
            <w:r w:rsidRPr="002916C3">
              <w:t xml:space="preserve">Fijar las condiciones para ejercer las actividades de importación, reacondicionamiento, </w:t>
            </w:r>
            <w:r w:rsidRPr="002916C3">
              <w:lastRenderedPageBreak/>
              <w:t>distribución y utilización de los productos fitosanitarios</w:t>
            </w:r>
            <w:r w:rsidR="002916C3" w:rsidRPr="002916C3">
              <w:t>. E</w:t>
            </w:r>
            <w:r w:rsidRPr="002916C3">
              <w:t>n particular,</w:t>
            </w:r>
            <w:r w:rsidR="00B25FE4" w:rsidRPr="002916C3">
              <w:t xml:space="preserve"> el</w:t>
            </w:r>
            <w:r w:rsidRPr="002916C3">
              <w:t xml:space="preserve"> requisito de disponer de un local que cumpla las normas de seguridad y sanidad establecidas en el reglamento en vigor, y </w:t>
            </w:r>
            <w:r w:rsidR="00B25FE4" w:rsidRPr="002916C3">
              <w:t xml:space="preserve">el </w:t>
            </w:r>
            <w:r w:rsidRPr="002916C3">
              <w:t>requisito de emplear a personas que dispongan de un certificado individual expedido tras una formación adaptada a la actividad de que se trate</w:t>
            </w:r>
            <w:r w:rsidR="00C344A2" w:rsidRPr="002916C3">
              <w:t xml:space="preserve"> de un diploma que acredite sus competencias</w:t>
            </w:r>
            <w:r w:rsidRPr="002916C3">
              <w:t>;</w:t>
            </w:r>
          </w:p>
          <w:p w:rsidR="00DA1BCE" w:rsidRPr="002916C3" w:rsidRDefault="00C344A2" w:rsidP="002916C3">
            <w:pPr>
              <w:numPr>
                <w:ilvl w:val="0"/>
                <w:numId w:val="38"/>
              </w:numPr>
              <w:tabs>
                <w:tab w:val="left" w:pos="410"/>
              </w:tabs>
              <w:spacing w:before="120" w:after="120"/>
              <w:ind w:left="408" w:hanging="380"/>
            </w:pPr>
            <w:r w:rsidRPr="002916C3">
              <w:t>Controlar de manera má</w:t>
            </w:r>
            <w:r w:rsidR="002916C3" w:rsidRPr="002916C3">
              <w:t>s</w:t>
            </w:r>
            <w:r w:rsidRPr="002916C3">
              <w:t xml:space="preserve"> rigurosa el comercio</w:t>
            </w:r>
            <w:r w:rsidR="00B605B1" w:rsidRPr="002916C3">
              <w:t xml:space="preserve"> de los productos fitosanitarios para garantizar que se cumplen las disposiciones de la Ley en lo que respecta a la trazabilidad de dichos productos desde su importación o fabricación hasta su utilización;</w:t>
            </w:r>
          </w:p>
          <w:p w:rsidR="00445803" w:rsidRPr="002916C3" w:rsidRDefault="00B605B1" w:rsidP="002916C3">
            <w:pPr>
              <w:numPr>
                <w:ilvl w:val="0"/>
                <w:numId w:val="38"/>
              </w:numPr>
              <w:tabs>
                <w:tab w:val="left" w:pos="410"/>
              </w:tabs>
              <w:spacing w:after="120"/>
              <w:ind w:left="408" w:hanging="380"/>
            </w:pPr>
            <w:r w:rsidRPr="002916C3">
              <w:t xml:space="preserve">Incorporar el procedimiento de transacción a la Ley </w:t>
            </w:r>
            <w:r w:rsidR="00C344A2" w:rsidRPr="002916C3">
              <w:t xml:space="preserve">vigente </w:t>
            </w:r>
            <w:r w:rsidRPr="002916C3">
              <w:t>actual</w:t>
            </w:r>
            <w:r w:rsidR="00C344A2" w:rsidRPr="002916C3">
              <w:t>mente</w:t>
            </w:r>
            <w:r w:rsidRPr="002916C3">
              <w:t>, que se aplicará únicamente a las infracciones sancionadas con una multa.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</w:pPr>
            <w:r w:rsidRPr="002916C3">
              <w:rPr>
                <w:b/>
              </w:rPr>
              <w:t>Objetivo y razón de ser</w:t>
            </w:r>
            <w:r w:rsidR="002916C3" w:rsidRPr="002916C3">
              <w:rPr>
                <w:b/>
              </w:rPr>
              <w:t>: [ ]</w:t>
            </w:r>
            <w:r w:rsidRPr="002916C3">
              <w:rPr>
                <w:b/>
              </w:rPr>
              <w:t xml:space="preserve"> inocuidad de los alimentos, </w:t>
            </w:r>
            <w:r w:rsidR="002916C3" w:rsidRPr="002916C3">
              <w:rPr>
                <w:b/>
              </w:rPr>
              <w:t>[ ]</w:t>
            </w:r>
            <w:r w:rsidRPr="002916C3">
              <w:rPr>
                <w:b/>
              </w:rPr>
              <w:t xml:space="preserve"> sanidad animal, [X] preservación de los vegetales, [X] protección de la salud humana contra las enfermedades o plagas animales o vegetales, </w:t>
            </w:r>
            <w:r w:rsidR="002916C3" w:rsidRPr="002916C3">
              <w:rPr>
                <w:b/>
              </w:rPr>
              <w:t>[ ]</w:t>
            </w:r>
            <w:r w:rsidRPr="002916C3">
              <w:rPr>
                <w:b/>
              </w:rPr>
              <w:t xml:space="preserve"> protección del territorio contra otros daños causados por plagas. 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¿Existe una norma internacional pertinente</w:t>
            </w:r>
            <w:r w:rsidR="002916C3" w:rsidRPr="002916C3">
              <w:rPr>
                <w:b/>
              </w:rPr>
              <w:t>? D</w:t>
            </w:r>
            <w:r w:rsidRPr="002916C3">
              <w:rPr>
                <w:b/>
              </w:rPr>
              <w:t>e ser así, indíquese la norma:</w:t>
            </w:r>
          </w:p>
          <w:p w:rsidR="00F408A1" w:rsidRPr="002916C3" w:rsidRDefault="002916C3" w:rsidP="002916C3">
            <w:pPr>
              <w:spacing w:after="120"/>
              <w:ind w:left="720" w:hanging="720"/>
              <w:rPr>
                <w:b/>
              </w:rPr>
            </w:pPr>
            <w:r w:rsidRPr="002916C3">
              <w:rPr>
                <w:b/>
              </w:rPr>
              <w:t>[ ]</w:t>
            </w:r>
            <w:r w:rsidR="00F408A1" w:rsidRPr="002916C3">
              <w:rPr>
                <w:b/>
              </w:rPr>
              <w:tab/>
              <w:t xml:space="preserve">de la Comisión del Codex </w:t>
            </w:r>
            <w:proofErr w:type="spellStart"/>
            <w:r w:rsidR="00F408A1" w:rsidRPr="002916C3">
              <w:rPr>
                <w:b/>
              </w:rPr>
              <w:t>Alimentarius</w:t>
            </w:r>
            <w:proofErr w:type="spellEnd"/>
            <w:r w:rsidR="00F408A1" w:rsidRPr="002916C3">
              <w:rPr>
                <w:b/>
              </w:rPr>
              <w:t xml:space="preserve"> </w:t>
            </w:r>
            <w:r w:rsidR="00F408A1" w:rsidRPr="002916C3">
              <w:rPr>
                <w:b/>
                <w:i/>
              </w:rPr>
              <w:t>(por ejemplo, título o número de serie de la norma del Codex o texto conexo)</w:t>
            </w:r>
            <w:r w:rsidR="00F408A1" w:rsidRPr="002916C3">
              <w:rPr>
                <w:b/>
              </w:rPr>
              <w:t>:</w:t>
            </w:r>
          </w:p>
          <w:p w:rsidR="00F408A1" w:rsidRPr="002916C3" w:rsidRDefault="002916C3" w:rsidP="002916C3">
            <w:pPr>
              <w:spacing w:after="120"/>
              <w:ind w:left="720" w:hanging="720"/>
              <w:rPr>
                <w:b/>
              </w:rPr>
            </w:pPr>
            <w:r w:rsidRPr="002916C3">
              <w:rPr>
                <w:b/>
              </w:rPr>
              <w:t>[ ]</w:t>
            </w:r>
            <w:r w:rsidR="00F408A1" w:rsidRPr="002916C3">
              <w:rPr>
                <w:b/>
              </w:rPr>
              <w:tab/>
              <w:t>de la Organización Mundial de Sanidad Animal (</w:t>
            </w:r>
            <w:proofErr w:type="spellStart"/>
            <w:r w:rsidR="00F408A1" w:rsidRPr="002916C3">
              <w:rPr>
                <w:b/>
              </w:rPr>
              <w:t>OIE</w:t>
            </w:r>
            <w:proofErr w:type="spellEnd"/>
            <w:r w:rsidR="00F408A1" w:rsidRPr="002916C3">
              <w:rPr>
                <w:b/>
              </w:rPr>
              <w:t xml:space="preserve">) </w:t>
            </w:r>
            <w:r w:rsidR="00F408A1" w:rsidRPr="002916C3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F408A1" w:rsidRPr="002916C3">
              <w:rPr>
                <w:b/>
              </w:rPr>
              <w:t>:</w:t>
            </w:r>
          </w:p>
          <w:p w:rsidR="00F408A1" w:rsidRPr="002916C3" w:rsidRDefault="002916C3" w:rsidP="002916C3">
            <w:pPr>
              <w:spacing w:after="120"/>
              <w:ind w:left="720" w:hanging="720"/>
            </w:pPr>
            <w:r w:rsidRPr="002916C3">
              <w:rPr>
                <w:b/>
              </w:rPr>
              <w:t>[ ]</w:t>
            </w:r>
            <w:r w:rsidR="00F408A1" w:rsidRPr="002916C3">
              <w:rPr>
                <w:b/>
              </w:rPr>
              <w:tab/>
              <w:t xml:space="preserve">de la Convención Internacional de Protección Fitosanitaria </w:t>
            </w:r>
            <w:r w:rsidR="00F408A1" w:rsidRPr="002916C3">
              <w:rPr>
                <w:b/>
                <w:i/>
              </w:rPr>
              <w:t xml:space="preserve">(por ejemplo, número de </w:t>
            </w:r>
            <w:proofErr w:type="spellStart"/>
            <w:r w:rsidR="00F408A1" w:rsidRPr="002916C3">
              <w:rPr>
                <w:b/>
                <w:i/>
              </w:rPr>
              <w:t>NIMF</w:t>
            </w:r>
            <w:proofErr w:type="spellEnd"/>
            <w:r w:rsidR="00F408A1" w:rsidRPr="002916C3">
              <w:rPr>
                <w:b/>
                <w:i/>
              </w:rPr>
              <w:t>)</w:t>
            </w:r>
            <w:r w:rsidR="00F408A1" w:rsidRPr="002916C3">
              <w:rPr>
                <w:b/>
              </w:rPr>
              <w:t>:</w:t>
            </w:r>
          </w:p>
          <w:p w:rsidR="005E2B26" w:rsidRPr="002916C3" w:rsidRDefault="002D3789" w:rsidP="002916C3">
            <w:pPr>
              <w:spacing w:after="120"/>
              <w:ind w:left="720" w:hanging="720"/>
              <w:rPr>
                <w:b/>
              </w:rPr>
            </w:pPr>
            <w:r w:rsidRPr="002916C3">
              <w:rPr>
                <w:b/>
              </w:rPr>
              <w:t>[X]</w:t>
            </w:r>
            <w:r w:rsidRPr="002916C3">
              <w:rPr>
                <w:b/>
              </w:rPr>
              <w:tab/>
              <w:t>Ninguna</w:t>
            </w:r>
          </w:p>
          <w:p w:rsidR="005E2B26" w:rsidRPr="002916C3" w:rsidRDefault="002D3789" w:rsidP="002916C3">
            <w:pPr>
              <w:spacing w:after="120"/>
              <w:rPr>
                <w:b/>
              </w:rPr>
            </w:pPr>
            <w:r w:rsidRPr="002916C3">
              <w:rPr>
                <w:b/>
              </w:rPr>
              <w:t>¿Se ajusta la reglamentación que se propone a la norma internacional pertinente?</w:t>
            </w:r>
          </w:p>
          <w:p w:rsidR="005E2B26" w:rsidRPr="002916C3" w:rsidRDefault="002916C3" w:rsidP="002916C3">
            <w:pPr>
              <w:spacing w:after="120"/>
              <w:rPr>
                <w:b/>
              </w:rPr>
            </w:pPr>
            <w:r w:rsidRPr="002916C3">
              <w:rPr>
                <w:b/>
              </w:rPr>
              <w:t>[ ]</w:t>
            </w:r>
            <w:r w:rsidR="00F408A1" w:rsidRPr="002916C3">
              <w:rPr>
                <w:b/>
              </w:rPr>
              <w:t xml:space="preserve"> Sí </w:t>
            </w:r>
            <w:r w:rsidRPr="002916C3">
              <w:rPr>
                <w:b/>
              </w:rPr>
              <w:t>[ ]</w:t>
            </w:r>
            <w:r w:rsidR="00F408A1" w:rsidRPr="002916C3">
              <w:rPr>
                <w:b/>
              </w:rPr>
              <w:t xml:space="preserve"> No</w:t>
            </w:r>
          </w:p>
          <w:p w:rsidR="005E2B26" w:rsidRPr="002916C3" w:rsidRDefault="002D3789" w:rsidP="002916C3">
            <w:pPr>
              <w:spacing w:after="120"/>
              <w:rPr>
                <w:b/>
              </w:rPr>
            </w:pPr>
            <w:r w:rsidRPr="002916C3">
              <w:rPr>
                <w:b/>
                <w:bCs/>
              </w:rPr>
              <w:t>En caso negativo, indíquese, cuando sea posible, en qué medida y por qué razón se aparta de la norma internacional:</w:t>
            </w:r>
            <w:r w:rsidRPr="002916C3">
              <w:rPr>
                <w:b/>
              </w:rPr>
              <w:t xml:space="preserve"> 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</w:pPr>
            <w:r w:rsidRPr="002916C3">
              <w:rPr>
                <w:b/>
              </w:rPr>
              <w:t xml:space="preserve">Otros documentos pertinentes e idioma(s) en que están disponibles: 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Cs/>
              </w:rPr>
            </w:pPr>
            <w:r w:rsidRPr="002916C3">
              <w:rPr>
                <w:b/>
              </w:rPr>
              <w:t xml:space="preserve">Fecha propuesta de adopción </w:t>
            </w:r>
            <w:r w:rsidRPr="002916C3">
              <w:rPr>
                <w:b/>
                <w:i/>
              </w:rPr>
              <w:t>(día/mes/año)</w:t>
            </w:r>
            <w:r w:rsidR="002916C3" w:rsidRPr="002916C3">
              <w:rPr>
                <w:b/>
              </w:rPr>
              <w:t xml:space="preserve">: </w:t>
            </w:r>
            <w:r w:rsidR="002916C3" w:rsidRPr="002916C3">
              <w:t>3</w:t>
            </w:r>
            <w:r w:rsidRPr="002916C3">
              <w:t xml:space="preserve">1 de diciembre </w:t>
            </w:r>
            <w:r w:rsidR="002916C3" w:rsidRPr="002916C3">
              <w:t>de 2018</w:t>
            </w:r>
            <w:r w:rsidRPr="002916C3">
              <w:t>.</w:t>
            </w:r>
          </w:p>
          <w:p w:rsidR="005E2B26" w:rsidRPr="002916C3" w:rsidRDefault="002D3789" w:rsidP="002916C3">
            <w:pPr>
              <w:spacing w:after="120"/>
              <w:rPr>
                <w:b/>
              </w:rPr>
            </w:pPr>
            <w:r w:rsidRPr="002916C3">
              <w:rPr>
                <w:b/>
                <w:bCs/>
              </w:rPr>
              <w:t xml:space="preserve">Fecha propuesta de publicación </w:t>
            </w:r>
            <w:r w:rsidRPr="002916C3">
              <w:rPr>
                <w:b/>
                <w:bCs/>
                <w:i/>
              </w:rPr>
              <w:t>(día/mes/año)</w:t>
            </w:r>
            <w:r w:rsidR="002916C3" w:rsidRPr="002916C3">
              <w:rPr>
                <w:b/>
                <w:bCs/>
              </w:rPr>
              <w:t xml:space="preserve">: </w:t>
            </w:r>
            <w:r w:rsidR="002916C3" w:rsidRPr="002916C3">
              <w:t>3</w:t>
            </w:r>
            <w:r w:rsidRPr="002916C3">
              <w:t xml:space="preserve">0 de marzo </w:t>
            </w:r>
            <w:r w:rsidR="002916C3" w:rsidRPr="002916C3">
              <w:t>de 2019</w:t>
            </w:r>
            <w:r w:rsidRPr="002916C3">
              <w:t>.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Cs/>
              </w:rPr>
            </w:pPr>
            <w:r w:rsidRPr="002916C3">
              <w:rPr>
                <w:b/>
              </w:rPr>
              <w:t>Fecha propuesta de entrada en vigor</w:t>
            </w:r>
            <w:r w:rsidR="002916C3" w:rsidRPr="002916C3">
              <w:rPr>
                <w:b/>
              </w:rPr>
              <w:t>: [ ]</w:t>
            </w:r>
            <w:r w:rsidRPr="002916C3">
              <w:rPr>
                <w:b/>
              </w:rPr>
              <w:t xml:space="preserve"> Seis meses a partir de la fecha de publicación, y/o </w:t>
            </w:r>
            <w:r w:rsidRPr="002916C3">
              <w:rPr>
                <w:b/>
                <w:i/>
              </w:rPr>
              <w:t>(día/mes/año)</w:t>
            </w:r>
            <w:r w:rsidR="002916C3" w:rsidRPr="002916C3">
              <w:rPr>
                <w:b/>
              </w:rPr>
              <w:t xml:space="preserve">: </w:t>
            </w:r>
            <w:r w:rsidR="002916C3" w:rsidRPr="002916C3">
              <w:t>3</w:t>
            </w:r>
            <w:r w:rsidRPr="002916C3">
              <w:t xml:space="preserve">0 de marzo </w:t>
            </w:r>
            <w:r w:rsidR="002916C3" w:rsidRPr="002916C3">
              <w:t>de 2019</w:t>
            </w:r>
            <w:r w:rsidRPr="002916C3">
              <w:t>.</w:t>
            </w:r>
          </w:p>
          <w:p w:rsidR="005E2B26" w:rsidRPr="002916C3" w:rsidRDefault="002D3789" w:rsidP="002916C3">
            <w:pPr>
              <w:spacing w:after="120"/>
              <w:ind w:left="607" w:hanging="607"/>
              <w:rPr>
                <w:b/>
              </w:rPr>
            </w:pPr>
            <w:r w:rsidRPr="002916C3">
              <w:rPr>
                <w:b/>
              </w:rPr>
              <w:t>[X]</w:t>
            </w:r>
            <w:r w:rsidRPr="002916C3">
              <w:rPr>
                <w:b/>
              </w:rPr>
              <w:tab/>
              <w:t xml:space="preserve">Medida de facilitación del comercio </w:t>
            </w:r>
          </w:p>
        </w:tc>
      </w:tr>
      <w:tr w:rsidR="002916C3" w:rsidRPr="002916C3" w:rsidTr="002916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keepNext/>
              <w:spacing w:before="120" w:after="120"/>
              <w:rPr>
                <w:b/>
              </w:rPr>
            </w:pPr>
            <w:r w:rsidRPr="002916C3">
              <w:rPr>
                <w:b/>
              </w:rPr>
              <w:lastRenderedPageBreak/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spacing w:before="120" w:after="120"/>
              <w:rPr>
                <w:b/>
              </w:rPr>
            </w:pPr>
            <w:r w:rsidRPr="002916C3">
              <w:rPr>
                <w:b/>
              </w:rPr>
              <w:t>Fecha límite para la presentación de observaciones</w:t>
            </w:r>
            <w:r w:rsidR="002916C3" w:rsidRPr="002916C3">
              <w:rPr>
                <w:b/>
              </w:rPr>
              <w:t>: [</w:t>
            </w:r>
            <w:r w:rsidRPr="002916C3">
              <w:rPr>
                <w:b/>
              </w:rPr>
              <w:t xml:space="preserve">X] Sesenta días a partir de la fecha de distribución de la notificación y/o </w:t>
            </w:r>
            <w:r w:rsidRPr="002916C3">
              <w:rPr>
                <w:b/>
                <w:i/>
              </w:rPr>
              <w:t>(día/mes/año)</w:t>
            </w:r>
            <w:r w:rsidR="002916C3" w:rsidRPr="002916C3">
              <w:rPr>
                <w:b/>
              </w:rPr>
              <w:t xml:space="preserve">: </w:t>
            </w:r>
            <w:r w:rsidR="002916C3" w:rsidRPr="002916C3">
              <w:t>2</w:t>
            </w:r>
            <w:r w:rsidRPr="002916C3">
              <w:t xml:space="preserve">4 de julio </w:t>
            </w:r>
            <w:r w:rsidR="002916C3" w:rsidRPr="002916C3">
              <w:t>de 2018</w:t>
            </w:r>
            <w:r w:rsidRPr="002916C3">
              <w:t>.</w:t>
            </w:r>
          </w:p>
          <w:p w:rsidR="00F408A1" w:rsidRPr="002916C3" w:rsidRDefault="002D3789" w:rsidP="002916C3">
            <w:pPr>
              <w:spacing w:after="120"/>
              <w:rPr>
                <w:b/>
              </w:rPr>
            </w:pPr>
            <w:r w:rsidRPr="002916C3">
              <w:rPr>
                <w:b/>
              </w:rPr>
              <w:t>Organismo o autoridad encargado de tramitar las observaciones</w:t>
            </w:r>
            <w:r w:rsidR="002916C3" w:rsidRPr="002916C3">
              <w:rPr>
                <w:b/>
              </w:rPr>
              <w:t>: [</w:t>
            </w:r>
            <w:r w:rsidRPr="002916C3">
              <w:rPr>
                <w:b/>
              </w:rPr>
              <w:t>X] Organismo nacional encargado de la notificación, [X] Servicio nacional de información</w:t>
            </w:r>
            <w:r w:rsidR="002916C3" w:rsidRPr="002916C3">
              <w:rPr>
                <w:b/>
              </w:rPr>
              <w:t>. D</w:t>
            </w:r>
            <w:r w:rsidRPr="002916C3">
              <w:rPr>
                <w:b/>
              </w:rPr>
              <w:t>irección, número de fax y dirección de correo electrónico (en su caso) de otra institución:</w:t>
            </w:r>
          </w:p>
          <w:p w:rsidR="00445803" w:rsidRPr="00D77AE4" w:rsidRDefault="002D3789" w:rsidP="002916C3">
            <w:pPr>
              <w:rPr>
                <w:lang w:val="fr-CH"/>
              </w:rPr>
            </w:pPr>
            <w:r w:rsidRPr="00D77AE4">
              <w:rPr>
                <w:lang w:val="fr-CH"/>
              </w:rPr>
              <w:t>Office National de Sécurité Sanitaire des Produits Alimentaires (ONSSA) (Oficina Nacional de Inocuidad Alimentaria)</w:t>
            </w:r>
          </w:p>
          <w:p w:rsidR="00445803" w:rsidRPr="00D77AE4" w:rsidRDefault="002D3789" w:rsidP="002916C3">
            <w:pPr>
              <w:rPr>
                <w:lang w:val="fr-CH"/>
              </w:rPr>
            </w:pPr>
            <w:r w:rsidRPr="00D77AE4">
              <w:rPr>
                <w:lang w:val="fr-CH"/>
              </w:rPr>
              <w:t>Direction de l'Evaluation des Risques et des Affaires Juridiques (Dirección de Evaluación de Riesgos y Asuntos Jurídicos)</w:t>
            </w:r>
          </w:p>
          <w:p w:rsidR="00445803" w:rsidRPr="00D77AE4" w:rsidRDefault="002D3789" w:rsidP="002916C3">
            <w:pPr>
              <w:rPr>
                <w:lang w:val="fr-CH"/>
              </w:rPr>
            </w:pPr>
            <w:r w:rsidRPr="00D77AE4">
              <w:rPr>
                <w:lang w:val="fr-CH"/>
              </w:rPr>
              <w:t>Avenue Hadj Ahmed Cherkaoui</w:t>
            </w:r>
          </w:p>
          <w:p w:rsidR="00445803" w:rsidRPr="002916C3" w:rsidRDefault="002D3789" w:rsidP="002916C3">
            <w:proofErr w:type="spellStart"/>
            <w:r w:rsidRPr="002916C3">
              <w:t>Agdal</w:t>
            </w:r>
            <w:proofErr w:type="spellEnd"/>
            <w:r w:rsidRPr="002916C3">
              <w:t xml:space="preserve"> Rabat</w:t>
            </w:r>
          </w:p>
          <w:p w:rsidR="00DA1BCE" w:rsidRPr="002916C3" w:rsidRDefault="00DA1BCE" w:rsidP="002916C3">
            <w:r w:rsidRPr="002916C3">
              <w:t>MARRUECOS</w:t>
            </w:r>
          </w:p>
          <w:p w:rsidR="00445803" w:rsidRPr="002916C3" w:rsidRDefault="002D3789" w:rsidP="002916C3">
            <w:r w:rsidRPr="002916C3">
              <w:t>Teléfono</w:t>
            </w:r>
            <w:r w:rsidR="002916C3" w:rsidRPr="002916C3">
              <w:t>: +</w:t>
            </w:r>
            <w:r w:rsidRPr="002916C3">
              <w:t>(212) 53 767 6510/11/68/13</w:t>
            </w:r>
          </w:p>
          <w:p w:rsidR="00445803" w:rsidRPr="002916C3" w:rsidRDefault="002D3789" w:rsidP="002916C3">
            <w:r w:rsidRPr="002916C3">
              <w:t>Teléfono móvil</w:t>
            </w:r>
            <w:r w:rsidR="002916C3" w:rsidRPr="002916C3">
              <w:t>: +</w:t>
            </w:r>
            <w:r w:rsidRPr="002916C3">
              <w:t>(212) 67 399 7803</w:t>
            </w:r>
          </w:p>
          <w:p w:rsidR="00445803" w:rsidRPr="002916C3" w:rsidRDefault="002D3789" w:rsidP="002916C3">
            <w:pPr>
              <w:spacing w:after="120"/>
            </w:pPr>
            <w:r w:rsidRPr="002916C3">
              <w:t>Fax</w:t>
            </w:r>
            <w:r w:rsidR="002916C3" w:rsidRPr="002916C3">
              <w:t>: +</w:t>
            </w:r>
            <w:r w:rsidRPr="002916C3">
              <w:t>(212) 53 768 2049</w:t>
            </w:r>
          </w:p>
        </w:tc>
      </w:tr>
      <w:tr w:rsidR="00445803" w:rsidRPr="002916C3" w:rsidTr="002916C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2916C3" w:rsidRDefault="002D3789" w:rsidP="002916C3">
            <w:pPr>
              <w:keepNext/>
              <w:keepLines/>
              <w:spacing w:before="120" w:after="120"/>
              <w:rPr>
                <w:b/>
              </w:rPr>
            </w:pPr>
            <w:r w:rsidRPr="002916C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408A1" w:rsidRPr="002916C3" w:rsidRDefault="002D3789" w:rsidP="002916C3">
            <w:pPr>
              <w:keepNext/>
              <w:keepLines/>
              <w:spacing w:before="120" w:after="120"/>
            </w:pPr>
            <w:r w:rsidRPr="002916C3">
              <w:rPr>
                <w:b/>
              </w:rPr>
              <w:t>Texto(s) disponible(s) en</w:t>
            </w:r>
            <w:r w:rsidR="002916C3" w:rsidRPr="002916C3">
              <w:rPr>
                <w:b/>
              </w:rPr>
              <w:t>: [</w:t>
            </w:r>
            <w:r w:rsidRPr="002916C3">
              <w:rPr>
                <w:b/>
              </w:rPr>
              <w:t xml:space="preserve">X] Organismo nacional encargado de la notificación, </w:t>
            </w:r>
            <w:r w:rsidR="002916C3" w:rsidRPr="002916C3">
              <w:rPr>
                <w:b/>
              </w:rPr>
              <w:t>[ ]</w:t>
            </w:r>
            <w:r w:rsidRPr="002916C3">
              <w:rPr>
                <w:b/>
              </w:rPr>
              <w:t xml:space="preserve"> Servicio nacional de información</w:t>
            </w:r>
            <w:r w:rsidR="002916C3" w:rsidRPr="002916C3">
              <w:rPr>
                <w:b/>
              </w:rPr>
              <w:t>. D</w:t>
            </w:r>
            <w:r w:rsidRPr="002916C3">
              <w:rPr>
                <w:b/>
              </w:rPr>
              <w:t>irección, número de fax y dirección de correo electrónico (en su caso) de otra institución:</w:t>
            </w:r>
          </w:p>
          <w:p w:rsidR="00445803" w:rsidRPr="00D77AE4" w:rsidRDefault="002D3789" w:rsidP="002916C3">
            <w:pPr>
              <w:rPr>
                <w:lang w:val="fr-CH"/>
              </w:rPr>
            </w:pPr>
            <w:r w:rsidRPr="00D77AE4">
              <w:rPr>
                <w:lang w:val="fr-CH"/>
              </w:rPr>
              <w:t>Office National de Sécurité Sanitaire des Produits Alimentaires (ONSSA) (Oficina Nacional de Inocuidad Alimentaria)</w:t>
            </w:r>
          </w:p>
          <w:p w:rsidR="00445803" w:rsidRPr="00D77AE4" w:rsidRDefault="002D3789" w:rsidP="002916C3">
            <w:pPr>
              <w:rPr>
                <w:lang w:val="fr-CH"/>
              </w:rPr>
            </w:pPr>
            <w:r w:rsidRPr="00D77AE4">
              <w:rPr>
                <w:lang w:val="fr-CH"/>
              </w:rPr>
              <w:t>Direction de l'Evaluation des Risques et des Affaires Juridiques (Dirección de Evaluación de Riesgos y Asuntos Jurídicos)</w:t>
            </w:r>
          </w:p>
          <w:p w:rsidR="00445803" w:rsidRPr="00D77AE4" w:rsidRDefault="002D3789" w:rsidP="002916C3">
            <w:pPr>
              <w:rPr>
                <w:lang w:val="fr-CH"/>
              </w:rPr>
            </w:pPr>
            <w:r w:rsidRPr="00D77AE4">
              <w:rPr>
                <w:lang w:val="fr-CH"/>
              </w:rPr>
              <w:t>Avenue Hadj Ahmed Cherkaoui</w:t>
            </w:r>
          </w:p>
          <w:p w:rsidR="00445803" w:rsidRPr="002916C3" w:rsidRDefault="002D3789" w:rsidP="002916C3">
            <w:proofErr w:type="spellStart"/>
            <w:r w:rsidRPr="002916C3">
              <w:t>Agdal</w:t>
            </w:r>
            <w:proofErr w:type="spellEnd"/>
            <w:r w:rsidRPr="002916C3">
              <w:t xml:space="preserve"> Rabat</w:t>
            </w:r>
          </w:p>
          <w:p w:rsidR="00DA1BCE" w:rsidRPr="002916C3" w:rsidRDefault="00DA1BCE" w:rsidP="002916C3">
            <w:r w:rsidRPr="002916C3">
              <w:t>MARRUECOS</w:t>
            </w:r>
          </w:p>
          <w:p w:rsidR="00445803" w:rsidRPr="002916C3" w:rsidRDefault="002D3789" w:rsidP="002916C3">
            <w:r w:rsidRPr="002916C3">
              <w:t>Teléfono</w:t>
            </w:r>
            <w:r w:rsidR="002916C3" w:rsidRPr="002916C3">
              <w:t>: +</w:t>
            </w:r>
            <w:r w:rsidRPr="002916C3">
              <w:t>(212) 53 767 6510/11/13/68</w:t>
            </w:r>
          </w:p>
          <w:p w:rsidR="00445803" w:rsidRPr="002916C3" w:rsidRDefault="002D3789" w:rsidP="002916C3">
            <w:r w:rsidRPr="002916C3">
              <w:t>Teléfono móvil</w:t>
            </w:r>
            <w:r w:rsidR="002916C3" w:rsidRPr="002916C3">
              <w:t>: +</w:t>
            </w:r>
            <w:r w:rsidRPr="002916C3">
              <w:t>(212) 67 399 7803</w:t>
            </w:r>
          </w:p>
          <w:p w:rsidR="00445803" w:rsidRPr="002916C3" w:rsidRDefault="002D3789" w:rsidP="002916C3">
            <w:pPr>
              <w:spacing w:after="120"/>
            </w:pPr>
            <w:r w:rsidRPr="002916C3">
              <w:t>Fax</w:t>
            </w:r>
            <w:r w:rsidR="002916C3" w:rsidRPr="002916C3">
              <w:t>: +</w:t>
            </w:r>
            <w:r w:rsidRPr="002916C3">
              <w:t>(212) 53 768 2049</w:t>
            </w:r>
          </w:p>
        </w:tc>
      </w:tr>
    </w:tbl>
    <w:p w:rsidR="00337700" w:rsidRPr="002916C3" w:rsidRDefault="00D77AE4" w:rsidP="002916C3"/>
    <w:sectPr w:rsidR="00337700" w:rsidRPr="002916C3" w:rsidSect="00562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C" w:rsidRPr="002916C3" w:rsidRDefault="002D3789">
      <w:r w:rsidRPr="002916C3">
        <w:separator/>
      </w:r>
    </w:p>
  </w:endnote>
  <w:endnote w:type="continuationSeparator" w:id="0">
    <w:p w:rsidR="0020708C" w:rsidRPr="002916C3" w:rsidRDefault="002D3789">
      <w:r w:rsidRPr="002916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2916C3" w:rsidRDefault="002916C3" w:rsidP="002916C3">
    <w:pPr>
      <w:pStyle w:val="Footer"/>
    </w:pPr>
    <w:r w:rsidRPr="002916C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916C3" w:rsidRDefault="002916C3" w:rsidP="002916C3">
    <w:pPr>
      <w:pStyle w:val="Footer"/>
    </w:pPr>
    <w:r w:rsidRPr="002916C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916C3" w:rsidRDefault="002916C3" w:rsidP="002916C3">
    <w:pPr>
      <w:pStyle w:val="Footer"/>
    </w:pPr>
    <w:r w:rsidRPr="002916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C" w:rsidRPr="002916C3" w:rsidRDefault="002D3789">
      <w:r w:rsidRPr="002916C3">
        <w:separator/>
      </w:r>
    </w:p>
  </w:footnote>
  <w:footnote w:type="continuationSeparator" w:id="0">
    <w:p w:rsidR="0020708C" w:rsidRPr="002916C3" w:rsidRDefault="002D3789">
      <w:r w:rsidRPr="002916C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C3" w:rsidRPr="002916C3" w:rsidRDefault="002916C3" w:rsidP="002916C3">
    <w:pPr>
      <w:pStyle w:val="Header"/>
      <w:spacing w:after="240"/>
      <w:jc w:val="center"/>
    </w:pPr>
    <w:r w:rsidRPr="002916C3">
      <w:t>G/</w:t>
    </w:r>
    <w:proofErr w:type="spellStart"/>
    <w:r w:rsidRPr="002916C3">
      <w:t>SPS</w:t>
    </w:r>
    <w:proofErr w:type="spellEnd"/>
    <w:r w:rsidRPr="002916C3">
      <w:t>/N/MAR/55</w:t>
    </w:r>
  </w:p>
  <w:p w:rsidR="002916C3" w:rsidRPr="002916C3" w:rsidRDefault="002916C3" w:rsidP="002916C3">
    <w:pPr>
      <w:pStyle w:val="Header"/>
      <w:pBdr>
        <w:bottom w:val="single" w:sz="4" w:space="1" w:color="auto"/>
      </w:pBdr>
      <w:jc w:val="center"/>
    </w:pPr>
    <w:r w:rsidRPr="002916C3">
      <w:t xml:space="preserve">- </w:t>
    </w:r>
    <w:r w:rsidRPr="002916C3">
      <w:fldChar w:fldCharType="begin"/>
    </w:r>
    <w:r w:rsidRPr="002916C3">
      <w:instrText xml:space="preserve"> PAGE  \* Arabic  \* MERGEFORMAT </w:instrText>
    </w:r>
    <w:r w:rsidRPr="002916C3">
      <w:fldChar w:fldCharType="separate"/>
    </w:r>
    <w:r w:rsidRPr="002916C3">
      <w:t>1</w:t>
    </w:r>
    <w:r w:rsidRPr="002916C3">
      <w:fldChar w:fldCharType="end"/>
    </w:r>
    <w:r w:rsidRPr="002916C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C3" w:rsidRPr="002916C3" w:rsidRDefault="002916C3" w:rsidP="002916C3">
    <w:pPr>
      <w:pStyle w:val="Header"/>
      <w:spacing w:after="240"/>
      <w:jc w:val="center"/>
    </w:pPr>
    <w:r w:rsidRPr="002916C3">
      <w:t>G/</w:t>
    </w:r>
    <w:proofErr w:type="spellStart"/>
    <w:r w:rsidRPr="002916C3">
      <w:t>SPS</w:t>
    </w:r>
    <w:proofErr w:type="spellEnd"/>
    <w:r w:rsidRPr="002916C3">
      <w:t>/N/MAR/55</w:t>
    </w:r>
  </w:p>
  <w:p w:rsidR="002916C3" w:rsidRPr="002916C3" w:rsidRDefault="002916C3" w:rsidP="002916C3">
    <w:pPr>
      <w:pStyle w:val="Header"/>
      <w:pBdr>
        <w:bottom w:val="single" w:sz="4" w:space="1" w:color="auto"/>
      </w:pBdr>
      <w:jc w:val="center"/>
    </w:pPr>
    <w:r w:rsidRPr="002916C3">
      <w:t xml:space="preserve">- </w:t>
    </w:r>
    <w:r w:rsidRPr="002916C3">
      <w:fldChar w:fldCharType="begin"/>
    </w:r>
    <w:r w:rsidRPr="002916C3">
      <w:instrText xml:space="preserve"> PAGE  \* Arabic  \* MERGEFORMAT </w:instrText>
    </w:r>
    <w:r w:rsidRPr="002916C3">
      <w:fldChar w:fldCharType="separate"/>
    </w:r>
    <w:r w:rsidR="00D77AE4">
      <w:rPr>
        <w:noProof/>
      </w:rPr>
      <w:t>2</w:t>
    </w:r>
    <w:r w:rsidRPr="002916C3">
      <w:fldChar w:fldCharType="end"/>
    </w:r>
    <w:r w:rsidRPr="002916C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916C3" w:rsidRPr="002916C3" w:rsidTr="002916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916C3" w:rsidRPr="002916C3" w:rsidRDefault="002916C3" w:rsidP="002916C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916C3" w:rsidRPr="002916C3" w:rsidRDefault="002916C3" w:rsidP="002916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916C3" w:rsidRPr="002916C3" w:rsidTr="002916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916C3" w:rsidRPr="002916C3" w:rsidRDefault="002916C3" w:rsidP="002916C3">
          <w:pPr>
            <w:jc w:val="left"/>
            <w:rPr>
              <w:rFonts w:eastAsia="Verdana" w:cs="Verdana"/>
              <w:szCs w:val="18"/>
            </w:rPr>
          </w:pPr>
          <w:r w:rsidRPr="002916C3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03848C6" wp14:editId="3A4CBA0F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916C3" w:rsidRPr="002916C3" w:rsidRDefault="002916C3" w:rsidP="002916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916C3" w:rsidRPr="002916C3" w:rsidTr="002916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916C3" w:rsidRPr="002916C3" w:rsidRDefault="002916C3" w:rsidP="002916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916C3" w:rsidRPr="002916C3" w:rsidRDefault="002916C3" w:rsidP="002916C3">
          <w:pPr>
            <w:jc w:val="right"/>
            <w:rPr>
              <w:rFonts w:eastAsia="Verdana" w:cs="Verdana"/>
              <w:b/>
              <w:szCs w:val="18"/>
            </w:rPr>
          </w:pPr>
          <w:r w:rsidRPr="002916C3">
            <w:rPr>
              <w:b/>
              <w:szCs w:val="18"/>
            </w:rPr>
            <w:t>G/</w:t>
          </w:r>
          <w:proofErr w:type="spellStart"/>
          <w:r w:rsidRPr="002916C3">
            <w:rPr>
              <w:b/>
              <w:szCs w:val="18"/>
            </w:rPr>
            <w:t>SPS</w:t>
          </w:r>
          <w:proofErr w:type="spellEnd"/>
          <w:r w:rsidRPr="002916C3">
            <w:rPr>
              <w:b/>
              <w:szCs w:val="18"/>
            </w:rPr>
            <w:t>/N/MAR/55</w:t>
          </w:r>
        </w:p>
      </w:tc>
    </w:tr>
    <w:tr w:rsidR="002916C3" w:rsidRPr="002916C3" w:rsidTr="002916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16C3" w:rsidRPr="002916C3" w:rsidRDefault="002916C3" w:rsidP="002916C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916C3" w:rsidRPr="002916C3" w:rsidRDefault="002916C3" w:rsidP="002916C3">
          <w:pPr>
            <w:jc w:val="right"/>
            <w:rPr>
              <w:rFonts w:eastAsia="Verdana" w:cs="Verdana"/>
              <w:szCs w:val="18"/>
            </w:rPr>
          </w:pPr>
          <w:r w:rsidRPr="002916C3">
            <w:rPr>
              <w:rFonts w:eastAsia="Verdana" w:cs="Verdana"/>
              <w:szCs w:val="18"/>
            </w:rPr>
            <w:t>25 de mayo de 2018</w:t>
          </w:r>
        </w:p>
      </w:tc>
    </w:tr>
    <w:tr w:rsidR="002916C3" w:rsidRPr="002916C3" w:rsidTr="002916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916C3" w:rsidRPr="002916C3" w:rsidRDefault="002916C3" w:rsidP="002916C3">
          <w:pPr>
            <w:jc w:val="left"/>
            <w:rPr>
              <w:rFonts w:eastAsia="Verdana" w:cs="Verdana"/>
              <w:b/>
              <w:szCs w:val="18"/>
            </w:rPr>
          </w:pPr>
          <w:r w:rsidRPr="002916C3">
            <w:rPr>
              <w:rFonts w:eastAsia="Verdana" w:cs="Verdana"/>
              <w:color w:val="FF0000"/>
              <w:szCs w:val="18"/>
            </w:rPr>
            <w:t>(18</w:t>
          </w:r>
          <w:r w:rsidRPr="002916C3">
            <w:rPr>
              <w:rFonts w:eastAsia="Verdana" w:cs="Verdana"/>
              <w:color w:val="FF0000"/>
              <w:szCs w:val="18"/>
            </w:rPr>
            <w:noBreakHyphen/>
          </w:r>
          <w:r w:rsidR="00D77AE4">
            <w:rPr>
              <w:rFonts w:eastAsia="Verdana" w:cs="Verdana"/>
              <w:color w:val="FF0000"/>
              <w:szCs w:val="18"/>
            </w:rPr>
            <w:t>3136</w:t>
          </w:r>
          <w:bookmarkStart w:id="0" w:name="_GoBack"/>
          <w:bookmarkEnd w:id="0"/>
          <w:r w:rsidRPr="002916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916C3" w:rsidRPr="002916C3" w:rsidRDefault="002916C3" w:rsidP="002916C3">
          <w:pPr>
            <w:jc w:val="right"/>
            <w:rPr>
              <w:rFonts w:eastAsia="Verdana" w:cs="Verdana"/>
              <w:szCs w:val="18"/>
            </w:rPr>
          </w:pPr>
          <w:r w:rsidRPr="002916C3">
            <w:rPr>
              <w:rFonts w:eastAsia="Verdana" w:cs="Verdana"/>
              <w:szCs w:val="18"/>
            </w:rPr>
            <w:t xml:space="preserve">Página: </w:t>
          </w:r>
          <w:r w:rsidRPr="002916C3">
            <w:rPr>
              <w:rFonts w:eastAsia="Verdana" w:cs="Verdana"/>
              <w:szCs w:val="18"/>
            </w:rPr>
            <w:fldChar w:fldCharType="begin"/>
          </w:r>
          <w:r w:rsidRPr="002916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916C3">
            <w:rPr>
              <w:rFonts w:eastAsia="Verdana" w:cs="Verdana"/>
              <w:szCs w:val="18"/>
            </w:rPr>
            <w:fldChar w:fldCharType="separate"/>
          </w:r>
          <w:r w:rsidR="00D77AE4">
            <w:rPr>
              <w:rFonts w:eastAsia="Verdana" w:cs="Verdana"/>
              <w:noProof/>
              <w:szCs w:val="18"/>
            </w:rPr>
            <w:t>1</w:t>
          </w:r>
          <w:r w:rsidRPr="002916C3">
            <w:rPr>
              <w:rFonts w:eastAsia="Verdana" w:cs="Verdana"/>
              <w:szCs w:val="18"/>
            </w:rPr>
            <w:fldChar w:fldCharType="end"/>
          </w:r>
          <w:r w:rsidRPr="002916C3">
            <w:rPr>
              <w:rFonts w:eastAsia="Verdana" w:cs="Verdana"/>
              <w:szCs w:val="18"/>
            </w:rPr>
            <w:t>/</w:t>
          </w:r>
          <w:r w:rsidRPr="002916C3">
            <w:rPr>
              <w:rFonts w:eastAsia="Verdana" w:cs="Verdana"/>
              <w:szCs w:val="18"/>
            </w:rPr>
            <w:fldChar w:fldCharType="begin"/>
          </w:r>
          <w:r w:rsidRPr="002916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916C3">
            <w:rPr>
              <w:rFonts w:eastAsia="Verdana" w:cs="Verdana"/>
              <w:szCs w:val="18"/>
            </w:rPr>
            <w:fldChar w:fldCharType="separate"/>
          </w:r>
          <w:r w:rsidR="00D77AE4">
            <w:rPr>
              <w:rFonts w:eastAsia="Verdana" w:cs="Verdana"/>
              <w:noProof/>
              <w:szCs w:val="18"/>
            </w:rPr>
            <w:t>3</w:t>
          </w:r>
          <w:r w:rsidRPr="002916C3">
            <w:rPr>
              <w:rFonts w:eastAsia="Verdana" w:cs="Verdana"/>
              <w:szCs w:val="18"/>
            </w:rPr>
            <w:fldChar w:fldCharType="end"/>
          </w:r>
        </w:p>
      </w:tc>
    </w:tr>
    <w:tr w:rsidR="002916C3" w:rsidRPr="002916C3" w:rsidTr="002916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916C3" w:rsidRPr="002916C3" w:rsidRDefault="002916C3" w:rsidP="002916C3">
          <w:pPr>
            <w:jc w:val="left"/>
            <w:rPr>
              <w:rFonts w:eastAsia="Verdana" w:cs="Verdana"/>
              <w:szCs w:val="18"/>
            </w:rPr>
          </w:pPr>
          <w:r w:rsidRPr="002916C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916C3" w:rsidRPr="002916C3" w:rsidRDefault="002916C3" w:rsidP="002916C3">
          <w:pPr>
            <w:jc w:val="right"/>
            <w:rPr>
              <w:rFonts w:eastAsia="Verdana" w:cs="Verdana"/>
              <w:bCs/>
              <w:szCs w:val="18"/>
            </w:rPr>
          </w:pPr>
          <w:r w:rsidRPr="002916C3">
            <w:rPr>
              <w:rFonts w:eastAsia="Verdana" w:cs="Verdana"/>
              <w:bCs/>
              <w:szCs w:val="18"/>
            </w:rPr>
            <w:t>Original: francés</w:t>
          </w:r>
        </w:p>
      </w:tc>
    </w:tr>
  </w:tbl>
  <w:p w:rsidR="00DD65B2" w:rsidRPr="002916C3" w:rsidRDefault="00D77AE4" w:rsidP="00291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31E190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7F0519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57D8A"/>
    <w:multiLevelType w:val="hybridMultilevel"/>
    <w:tmpl w:val="EBCA49E0"/>
    <w:lvl w:ilvl="0" w:tplc="F46C5A8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53A3D"/>
    <w:multiLevelType w:val="hybridMultilevel"/>
    <w:tmpl w:val="FB1AD2C4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B3639"/>
    <w:multiLevelType w:val="hybridMultilevel"/>
    <w:tmpl w:val="CEC28CE8"/>
    <w:lvl w:ilvl="0" w:tplc="08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3">
    <w:nsid w:val="4CA46D73"/>
    <w:multiLevelType w:val="hybridMultilevel"/>
    <w:tmpl w:val="2C76F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42BA6A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F81E28B8"/>
    <w:numStyleLink w:val="LegalHeadings"/>
  </w:abstractNum>
  <w:abstractNum w:abstractNumId="16">
    <w:nsid w:val="57551E12"/>
    <w:multiLevelType w:val="multilevel"/>
    <w:tmpl w:val="F81E28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59CA593D"/>
    <w:multiLevelType w:val="hybridMultilevel"/>
    <w:tmpl w:val="902ECAE8"/>
    <w:lvl w:ilvl="0" w:tplc="1E701B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1413B"/>
    <w:multiLevelType w:val="hybridMultilevel"/>
    <w:tmpl w:val="8EF6FDEA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6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8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1"/>
  </w:num>
  <w:num w:numId="39">
    <w:abstractNumId w:val="17"/>
  </w:num>
  <w:num w:numId="40">
    <w:abstractNumId w:val="19"/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3"/>
    <w:rsid w:val="0020708C"/>
    <w:rsid w:val="002916C3"/>
    <w:rsid w:val="002D3789"/>
    <w:rsid w:val="00434548"/>
    <w:rsid w:val="00445803"/>
    <w:rsid w:val="00562617"/>
    <w:rsid w:val="006B1D61"/>
    <w:rsid w:val="0078799D"/>
    <w:rsid w:val="00B25FE4"/>
    <w:rsid w:val="00B605B1"/>
    <w:rsid w:val="00C344A2"/>
    <w:rsid w:val="00C60822"/>
    <w:rsid w:val="00CF13AC"/>
    <w:rsid w:val="00D77AE4"/>
    <w:rsid w:val="00D97F31"/>
    <w:rsid w:val="00DA1BCE"/>
    <w:rsid w:val="00DE7C14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16C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16C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16C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16C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16C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16C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16C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16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16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16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916C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916C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916C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916C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916C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916C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916C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916C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916C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C3"/>
    <w:rPr>
      <w:rFonts w:ascii="Tahoma" w:eastAsiaTheme="minorHAnsi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2916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916C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2916C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916C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916C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916C3"/>
    <w:rPr>
      <w:rFonts w:ascii="Verdana" w:eastAsiaTheme="minorHAnsi" w:hAnsi="Verdana" w:cstheme="minorBidi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2916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16C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916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16C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916C3"/>
    <w:rPr>
      <w:szCs w:val="20"/>
    </w:rPr>
  </w:style>
  <w:style w:type="character" w:customStyle="1" w:styleId="EndnoteTextChar">
    <w:name w:val="Endnote Text Char"/>
    <w:link w:val="EndnoteText"/>
    <w:uiPriority w:val="49"/>
    <w:rsid w:val="002916C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16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916C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916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916C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916C3"/>
    <w:pPr>
      <w:ind w:left="567" w:right="567" w:firstLine="0"/>
    </w:pPr>
  </w:style>
  <w:style w:type="character" w:styleId="FootnoteReference">
    <w:name w:val="footnote reference"/>
    <w:uiPriority w:val="5"/>
    <w:rsid w:val="002916C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916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916C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916C3"/>
    <w:pPr>
      <w:numPr>
        <w:numId w:val="6"/>
      </w:numPr>
    </w:pPr>
  </w:style>
  <w:style w:type="paragraph" w:styleId="ListBullet">
    <w:name w:val="List Bullet"/>
    <w:basedOn w:val="Normal"/>
    <w:uiPriority w:val="1"/>
    <w:rsid w:val="002916C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16C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16C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16C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16C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916C3"/>
    <w:pPr>
      <w:ind w:left="720"/>
      <w:contextualSpacing/>
    </w:pPr>
  </w:style>
  <w:style w:type="numbering" w:customStyle="1" w:styleId="ListBullets">
    <w:name w:val="ListBullets"/>
    <w:uiPriority w:val="99"/>
    <w:rsid w:val="002916C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916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16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16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916C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916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16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16C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916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916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2916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16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16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16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916C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16C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916C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916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16C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916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916C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916C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16C3"/>
  </w:style>
  <w:style w:type="paragraph" w:styleId="BlockText">
    <w:name w:val="Block Text"/>
    <w:basedOn w:val="Normal"/>
    <w:uiPriority w:val="99"/>
    <w:semiHidden/>
    <w:unhideWhenUsed/>
    <w:rsid w:val="002916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16C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6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16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16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16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16C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916C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916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916C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91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6C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1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916C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16C3"/>
  </w:style>
  <w:style w:type="character" w:customStyle="1" w:styleId="DateChar">
    <w:name w:val="Date Char"/>
    <w:basedOn w:val="DefaultParagraphFont"/>
    <w:link w:val="Date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16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6C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16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916C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916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16C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916C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916C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16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16C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916C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916C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916C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916C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6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6C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916C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916C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916C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916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16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16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16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16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16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16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16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16C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16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916C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16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916C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916C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916C3"/>
    <w:rPr>
      <w:lang w:val="es-ES"/>
    </w:rPr>
  </w:style>
  <w:style w:type="paragraph" w:styleId="List">
    <w:name w:val="List"/>
    <w:basedOn w:val="Normal"/>
    <w:uiPriority w:val="99"/>
    <w:semiHidden/>
    <w:unhideWhenUsed/>
    <w:rsid w:val="002916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16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16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16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16C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16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16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16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16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16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16C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16C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16C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16C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16C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16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16C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16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16C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916C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916C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16C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16C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916C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916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6C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916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916C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16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16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916C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916C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916C3"/>
    <w:rPr>
      <w:smallCaps/>
      <w:color w:val="C0504D" w:themeColor="accent2"/>
      <w:u w:val="single"/>
      <w:lang w:val="es-ES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16C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16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16C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16C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16C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16C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16C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16C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16C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16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16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16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916C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916C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916C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916C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916C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916C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916C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916C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916C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C3"/>
    <w:rPr>
      <w:rFonts w:ascii="Tahoma" w:eastAsiaTheme="minorHAnsi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2916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916C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2916C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916C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916C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916C3"/>
    <w:rPr>
      <w:rFonts w:ascii="Verdana" w:eastAsiaTheme="minorHAnsi" w:hAnsi="Verdana" w:cstheme="minorBidi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2916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16C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916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16C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916C3"/>
    <w:rPr>
      <w:szCs w:val="20"/>
    </w:rPr>
  </w:style>
  <w:style w:type="character" w:customStyle="1" w:styleId="EndnoteTextChar">
    <w:name w:val="Endnote Text Char"/>
    <w:link w:val="EndnoteText"/>
    <w:uiPriority w:val="49"/>
    <w:rsid w:val="002916C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16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916C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916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916C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916C3"/>
    <w:pPr>
      <w:ind w:left="567" w:right="567" w:firstLine="0"/>
    </w:pPr>
  </w:style>
  <w:style w:type="character" w:styleId="FootnoteReference">
    <w:name w:val="footnote reference"/>
    <w:uiPriority w:val="5"/>
    <w:rsid w:val="002916C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916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916C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916C3"/>
    <w:pPr>
      <w:numPr>
        <w:numId w:val="6"/>
      </w:numPr>
    </w:pPr>
  </w:style>
  <w:style w:type="paragraph" w:styleId="ListBullet">
    <w:name w:val="List Bullet"/>
    <w:basedOn w:val="Normal"/>
    <w:uiPriority w:val="1"/>
    <w:rsid w:val="002916C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16C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16C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16C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16C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916C3"/>
    <w:pPr>
      <w:ind w:left="720"/>
      <w:contextualSpacing/>
    </w:pPr>
  </w:style>
  <w:style w:type="numbering" w:customStyle="1" w:styleId="ListBullets">
    <w:name w:val="ListBullets"/>
    <w:uiPriority w:val="99"/>
    <w:rsid w:val="002916C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916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16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16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916C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916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16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16C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916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916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2916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16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16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1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16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916C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16C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916C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916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16C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916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916C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916C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16C3"/>
  </w:style>
  <w:style w:type="paragraph" w:styleId="BlockText">
    <w:name w:val="Block Text"/>
    <w:basedOn w:val="Normal"/>
    <w:uiPriority w:val="99"/>
    <w:semiHidden/>
    <w:unhideWhenUsed/>
    <w:rsid w:val="002916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16C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6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16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16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16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16C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916C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916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916C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91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6C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1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916C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16C3"/>
  </w:style>
  <w:style w:type="character" w:customStyle="1" w:styleId="DateChar">
    <w:name w:val="Date Char"/>
    <w:basedOn w:val="DefaultParagraphFont"/>
    <w:link w:val="Date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16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6C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16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916C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916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16C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916C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916C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16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16C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916C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916C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916C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916C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6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6C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916C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916C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916C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916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16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16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16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16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16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16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16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16C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16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916C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16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916C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916C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916C3"/>
    <w:rPr>
      <w:lang w:val="es-ES"/>
    </w:rPr>
  </w:style>
  <w:style w:type="paragraph" w:styleId="List">
    <w:name w:val="List"/>
    <w:basedOn w:val="Normal"/>
    <w:uiPriority w:val="99"/>
    <w:semiHidden/>
    <w:unhideWhenUsed/>
    <w:rsid w:val="002916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16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16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16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16C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16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16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16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16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16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16C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16C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16C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16C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16C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16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16C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16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16C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916C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916C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16C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16C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916C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916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6C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916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916C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16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16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916C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916C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916C3"/>
    <w:rPr>
      <w:smallCaps/>
      <w:color w:val="C0504D" w:themeColor="accent2"/>
      <w:u w:val="single"/>
      <w:lang w:val="es-ES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16C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16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16C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gg.gov.ma/portals/0/AvantProjet/169/Avp_Loi_34.18_Fr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09EB-DD49-4678-B389-B55D18AF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897</Words>
  <Characters>4994</Characters>
  <Application>Microsoft Office Word</Application>
  <DocSecurity>0</DocSecurity>
  <Lines>114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2018-05-25T05:46:00Z</cp:lastPrinted>
  <dcterms:created xsi:type="dcterms:W3CDTF">2018-06-05T07:53:00Z</dcterms:created>
  <dcterms:modified xsi:type="dcterms:W3CDTF">2018-06-05T08:12:00Z</dcterms:modified>
</cp:coreProperties>
</file>