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E026F6" w:rsidRDefault="00E026F6" w:rsidP="00E026F6">
      <w:pPr>
        <w:pStyle w:val="Titre"/>
        <w:rPr>
          <w:caps w:val="0"/>
          <w:kern w:val="0"/>
        </w:rPr>
      </w:pPr>
      <w:bookmarkStart w:id="8" w:name="_Hlk6486062"/>
      <w:r w:rsidRPr="00E026F6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E026F6" w:rsidRPr="00E026F6" w:rsidTr="00E026F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Cs/>
                <w:u w:val="single"/>
              </w:rPr>
            </w:pPr>
            <w:r w:rsidRPr="00E026F6">
              <w:rPr>
                <w:b/>
              </w:rPr>
              <w:t>Miembro que notifica</w:t>
            </w:r>
            <w:r w:rsidR="00E026F6" w:rsidRPr="00E026F6">
              <w:rPr>
                <w:b/>
              </w:rPr>
              <w:t xml:space="preserve">: </w:t>
            </w:r>
            <w:r w:rsidR="00E026F6" w:rsidRPr="00E026F6">
              <w:rPr>
                <w:u w:val="single"/>
              </w:rPr>
              <w:t>M</w:t>
            </w:r>
            <w:r w:rsidRPr="00E026F6">
              <w:rPr>
                <w:u w:val="single"/>
              </w:rPr>
              <w:t>ARRUECOS</w:t>
            </w:r>
          </w:p>
          <w:p w:rsidR="005E2B26" w:rsidRPr="00E026F6" w:rsidRDefault="00B25F29" w:rsidP="00E026F6">
            <w:pPr>
              <w:spacing w:after="120"/>
              <w:jc w:val="left"/>
            </w:pPr>
            <w:r w:rsidRPr="00E026F6">
              <w:rPr>
                <w:b/>
              </w:rPr>
              <w:t>Si procede, nombre del gobierno local de que se trate:</w:t>
            </w:r>
            <w:r w:rsidRPr="00E026F6">
              <w:t xml:space="preserve"> </w:t>
            </w:r>
          </w:p>
        </w:tc>
      </w:tr>
      <w:tr w:rsidR="00E026F6" w:rsidRPr="00E026F6" w:rsidTr="00E026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</w:pPr>
            <w:r w:rsidRPr="00E026F6">
              <w:rPr>
                <w:b/>
              </w:rPr>
              <w:t>Organismo responsable</w:t>
            </w:r>
            <w:r w:rsidR="00E026F6" w:rsidRPr="00E026F6">
              <w:rPr>
                <w:b/>
              </w:rPr>
              <w:t xml:space="preserve">: </w:t>
            </w:r>
            <w:r w:rsidR="00E026F6" w:rsidRPr="00E026F6">
              <w:rPr>
                <w:i/>
                <w:iCs/>
              </w:rPr>
              <w:t>O</w:t>
            </w:r>
            <w:r w:rsidRPr="00E026F6">
              <w:rPr>
                <w:i/>
                <w:iCs/>
              </w:rPr>
              <w:t xml:space="preserve">ffice </w:t>
            </w:r>
            <w:proofErr w:type="spellStart"/>
            <w:r w:rsidRPr="00E026F6">
              <w:rPr>
                <w:i/>
                <w:iCs/>
              </w:rPr>
              <w:t>National</w:t>
            </w:r>
            <w:proofErr w:type="spellEnd"/>
            <w:r w:rsidRPr="00E026F6">
              <w:rPr>
                <w:i/>
                <w:iCs/>
              </w:rPr>
              <w:t xml:space="preserve"> de </w:t>
            </w:r>
            <w:proofErr w:type="spellStart"/>
            <w:r w:rsidRPr="00E026F6">
              <w:rPr>
                <w:i/>
                <w:iCs/>
              </w:rPr>
              <w:t>Sécurité</w:t>
            </w:r>
            <w:proofErr w:type="spellEnd"/>
            <w:r w:rsidRPr="00E026F6">
              <w:rPr>
                <w:i/>
                <w:iCs/>
              </w:rPr>
              <w:t xml:space="preserve"> </w:t>
            </w:r>
            <w:proofErr w:type="spellStart"/>
            <w:r w:rsidRPr="00E026F6">
              <w:rPr>
                <w:i/>
                <w:iCs/>
              </w:rPr>
              <w:t>Sanitaire</w:t>
            </w:r>
            <w:proofErr w:type="spellEnd"/>
            <w:r w:rsidRPr="00E026F6">
              <w:rPr>
                <w:i/>
                <w:iCs/>
              </w:rPr>
              <w:t xml:space="preserve"> des </w:t>
            </w:r>
            <w:proofErr w:type="spellStart"/>
            <w:r w:rsidRPr="00E026F6">
              <w:rPr>
                <w:i/>
                <w:iCs/>
              </w:rPr>
              <w:t>Produits</w:t>
            </w:r>
            <w:proofErr w:type="spellEnd"/>
            <w:r w:rsidRPr="00E026F6">
              <w:rPr>
                <w:i/>
                <w:iCs/>
              </w:rPr>
              <w:t xml:space="preserve"> </w:t>
            </w:r>
            <w:proofErr w:type="spellStart"/>
            <w:r w:rsidRPr="00E026F6">
              <w:rPr>
                <w:i/>
                <w:iCs/>
              </w:rPr>
              <w:t>Alimentaires</w:t>
            </w:r>
            <w:proofErr w:type="spellEnd"/>
            <w:r w:rsidRPr="00E026F6">
              <w:t xml:space="preserve"> (</w:t>
            </w:r>
            <w:proofErr w:type="spellStart"/>
            <w:r w:rsidRPr="00E026F6">
              <w:t>ONSSA</w:t>
            </w:r>
            <w:proofErr w:type="spellEnd"/>
            <w:r w:rsidRPr="00E026F6">
              <w:t>) (Oficina Nacional de Inocuidad Alimentaria)</w:t>
            </w:r>
          </w:p>
        </w:tc>
      </w:tr>
      <w:tr w:rsidR="00E026F6" w:rsidRPr="00E026F6" w:rsidTr="00E026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t>Productos abarcados (número de la(s) partida(s) arancelaria(s) según se especifica en las listas nacionales depositadas en la OMC</w:t>
            </w:r>
            <w:r w:rsidR="00E026F6" w:rsidRPr="00E026F6">
              <w:rPr>
                <w:b/>
              </w:rPr>
              <w:t>; d</w:t>
            </w:r>
            <w:r w:rsidRPr="00E026F6">
              <w:rPr>
                <w:b/>
              </w:rPr>
              <w:t xml:space="preserve">eberá </w:t>
            </w:r>
            <w:proofErr w:type="gramStart"/>
            <w:r w:rsidRPr="00E026F6">
              <w:rPr>
                <w:b/>
              </w:rPr>
              <w:t>indicarse</w:t>
            </w:r>
            <w:proofErr w:type="gramEnd"/>
            <w:r w:rsidRPr="00E026F6">
              <w:rPr>
                <w:b/>
              </w:rPr>
              <w:t xml:space="preserve"> además, cuando proceda, el número de partida de la ICS)</w:t>
            </w:r>
            <w:r w:rsidR="00E026F6" w:rsidRPr="00E026F6">
              <w:rPr>
                <w:b/>
              </w:rPr>
              <w:t xml:space="preserve">: </w:t>
            </w:r>
            <w:r w:rsidR="00E026F6">
              <w:t>té</w:t>
            </w:r>
            <w:r w:rsidRPr="00E026F6">
              <w:t xml:space="preserve"> importado de China.</w:t>
            </w:r>
          </w:p>
        </w:tc>
      </w:tr>
      <w:tr w:rsidR="00E026F6" w:rsidRPr="00E026F6" w:rsidTr="00E026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t>Regiones o países que podrían verse afectados, en la medida en que sea procedente o factible:</w:t>
            </w:r>
          </w:p>
          <w:p w:rsidR="00AA6945" w:rsidRPr="00E026F6" w:rsidRDefault="00E026F6" w:rsidP="00E026F6">
            <w:pPr>
              <w:spacing w:after="120"/>
              <w:ind w:left="607" w:hanging="607"/>
            </w:pPr>
            <w:proofErr w:type="gramStart"/>
            <w:r w:rsidRPr="00E026F6">
              <w:rPr>
                <w:b/>
              </w:rPr>
              <w:t>[ ]</w:t>
            </w:r>
            <w:proofErr w:type="gramEnd"/>
            <w:r w:rsidR="00AA6945" w:rsidRPr="00E026F6">
              <w:rPr>
                <w:b/>
              </w:rPr>
              <w:tab/>
              <w:t>Todos los interlocutores comerciales</w:t>
            </w:r>
          </w:p>
          <w:p w:rsidR="005E2B26" w:rsidRPr="00E026F6" w:rsidRDefault="00B25F29" w:rsidP="00E026F6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E026F6">
              <w:rPr>
                <w:b/>
              </w:rPr>
              <w:t>[X]</w:t>
            </w:r>
            <w:r w:rsidRPr="00E026F6">
              <w:rPr>
                <w:b/>
              </w:rPr>
              <w:tab/>
              <w:t>Regiones o países específicos</w:t>
            </w:r>
            <w:r w:rsidR="00E026F6" w:rsidRPr="00E026F6">
              <w:rPr>
                <w:b/>
              </w:rPr>
              <w:t xml:space="preserve">: </w:t>
            </w:r>
            <w:r w:rsidR="00E026F6" w:rsidRPr="00E026F6">
              <w:t>C</w:t>
            </w:r>
            <w:r w:rsidRPr="00E026F6">
              <w:t>hina</w:t>
            </w:r>
            <w:r w:rsidR="006C0E35">
              <w:t>.</w:t>
            </w:r>
          </w:p>
        </w:tc>
      </w:tr>
      <w:tr w:rsidR="00E026F6" w:rsidRPr="00E026F6" w:rsidTr="00E026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Cs/>
              </w:rPr>
            </w:pPr>
            <w:r w:rsidRPr="00E026F6">
              <w:rPr>
                <w:b/>
              </w:rPr>
              <w:t>Título del documento notificado</w:t>
            </w:r>
            <w:r w:rsidR="00E026F6" w:rsidRPr="00E026F6">
              <w:rPr>
                <w:b/>
              </w:rPr>
              <w:t xml:space="preserve">: </w:t>
            </w:r>
            <w:r w:rsidR="00E026F6" w:rsidRPr="00E026F6">
              <w:rPr>
                <w:i/>
                <w:iCs/>
              </w:rPr>
              <w:t>L</w:t>
            </w:r>
            <w:r w:rsidRPr="00E026F6">
              <w:rPr>
                <w:i/>
                <w:iCs/>
              </w:rPr>
              <w:t xml:space="preserve">iste des </w:t>
            </w:r>
            <w:proofErr w:type="spellStart"/>
            <w:r w:rsidRPr="00E026F6">
              <w:rPr>
                <w:i/>
                <w:iCs/>
              </w:rPr>
              <w:t>LMR</w:t>
            </w:r>
            <w:proofErr w:type="spellEnd"/>
            <w:r w:rsidRPr="00E026F6">
              <w:rPr>
                <w:i/>
                <w:iCs/>
              </w:rPr>
              <w:t xml:space="preserve"> de </w:t>
            </w:r>
            <w:proofErr w:type="spellStart"/>
            <w:r w:rsidRPr="00E026F6">
              <w:rPr>
                <w:i/>
                <w:iCs/>
              </w:rPr>
              <w:t>pesticides</w:t>
            </w:r>
            <w:proofErr w:type="spellEnd"/>
            <w:r w:rsidRPr="00E026F6">
              <w:rPr>
                <w:i/>
                <w:iCs/>
              </w:rPr>
              <w:t xml:space="preserve"> </w:t>
            </w:r>
            <w:proofErr w:type="spellStart"/>
            <w:r w:rsidRPr="00E026F6">
              <w:rPr>
                <w:i/>
                <w:iCs/>
              </w:rPr>
              <w:t>applicables</w:t>
            </w:r>
            <w:proofErr w:type="spellEnd"/>
            <w:r w:rsidRPr="00E026F6">
              <w:rPr>
                <w:i/>
                <w:iCs/>
              </w:rPr>
              <w:t xml:space="preserve"> </w:t>
            </w:r>
            <w:proofErr w:type="spellStart"/>
            <w:r w:rsidRPr="00E026F6">
              <w:rPr>
                <w:i/>
                <w:iCs/>
              </w:rPr>
              <w:t>aux</w:t>
            </w:r>
            <w:proofErr w:type="spellEnd"/>
            <w:r w:rsidRPr="00E026F6">
              <w:rPr>
                <w:i/>
                <w:iCs/>
              </w:rPr>
              <w:t xml:space="preserve"> </w:t>
            </w:r>
            <w:proofErr w:type="spellStart"/>
            <w:r w:rsidRPr="00E026F6">
              <w:rPr>
                <w:i/>
                <w:iCs/>
              </w:rPr>
              <w:t>thés</w:t>
            </w:r>
            <w:proofErr w:type="spellEnd"/>
            <w:r w:rsidRPr="00E026F6">
              <w:rPr>
                <w:i/>
                <w:iCs/>
              </w:rPr>
              <w:t xml:space="preserve"> </w:t>
            </w:r>
            <w:proofErr w:type="spellStart"/>
            <w:r w:rsidRPr="00E026F6">
              <w:rPr>
                <w:i/>
                <w:iCs/>
              </w:rPr>
              <w:t>importés</w:t>
            </w:r>
            <w:proofErr w:type="spellEnd"/>
            <w:r w:rsidRPr="00E026F6">
              <w:rPr>
                <w:i/>
                <w:iCs/>
              </w:rPr>
              <w:t xml:space="preserve"> de la Chine</w:t>
            </w:r>
            <w:r w:rsidRPr="00E026F6">
              <w:t xml:space="preserve"> (Lista de </w:t>
            </w:r>
            <w:proofErr w:type="spellStart"/>
            <w:r w:rsidRPr="00E026F6">
              <w:t>LMR</w:t>
            </w:r>
            <w:proofErr w:type="spellEnd"/>
            <w:r w:rsidRPr="00E026F6">
              <w:t xml:space="preserve"> de plaguicidas aplicables al</w:t>
            </w:r>
            <w:r w:rsidR="00E026F6">
              <w:t xml:space="preserve"> </w:t>
            </w:r>
            <w:r w:rsidRPr="00E026F6">
              <w:t>té importado de China)</w:t>
            </w:r>
            <w:r w:rsidR="00E026F6" w:rsidRPr="00E026F6">
              <w:t xml:space="preserve">. </w:t>
            </w:r>
            <w:r w:rsidR="00E026F6" w:rsidRPr="00E026F6">
              <w:rPr>
                <w:b/>
                <w:bCs/>
              </w:rPr>
              <w:t>I</w:t>
            </w:r>
            <w:r w:rsidRPr="00E026F6">
              <w:rPr>
                <w:b/>
                <w:bCs/>
              </w:rPr>
              <w:t>dioma(s)</w:t>
            </w:r>
            <w:r w:rsidR="00E026F6" w:rsidRPr="00E026F6">
              <w:rPr>
                <w:b/>
                <w:bCs/>
              </w:rPr>
              <w:t xml:space="preserve">: </w:t>
            </w:r>
            <w:r w:rsidR="00E026F6" w:rsidRPr="00E026F6">
              <w:t>f</w:t>
            </w:r>
            <w:r w:rsidRPr="00E026F6">
              <w:t>rancés</w:t>
            </w:r>
            <w:r w:rsidR="00E026F6" w:rsidRPr="00E026F6">
              <w:t xml:space="preserve">. </w:t>
            </w:r>
            <w:r w:rsidR="00E026F6" w:rsidRPr="00E026F6">
              <w:rPr>
                <w:b/>
                <w:bCs/>
              </w:rPr>
              <w:t>N</w:t>
            </w:r>
            <w:r w:rsidRPr="00E026F6">
              <w:rPr>
                <w:b/>
                <w:bCs/>
              </w:rPr>
              <w:t>úmero de páginas</w:t>
            </w:r>
            <w:r w:rsidR="00E026F6" w:rsidRPr="00E026F6">
              <w:rPr>
                <w:b/>
                <w:bCs/>
              </w:rPr>
              <w:t xml:space="preserve">: </w:t>
            </w:r>
            <w:r w:rsidR="00E026F6" w:rsidRPr="00E026F6">
              <w:t>1</w:t>
            </w:r>
            <w:r w:rsidRPr="00E026F6">
              <w:t>.</w:t>
            </w:r>
          </w:p>
          <w:p w:rsidR="005E2B26" w:rsidRPr="00E026F6" w:rsidRDefault="00890DCB" w:rsidP="00E026F6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E026F6" w:rsidRPr="00E026F6">
                <w:rPr>
                  <w:rStyle w:val="Lienhypertexte"/>
                </w:rPr>
                <w:t>https://members.wto.org/crnattachments/2019/SPS/MAR/19_2169_00_f.pdf</w:t>
              </w:r>
            </w:hyperlink>
          </w:p>
        </w:tc>
      </w:tr>
      <w:tr w:rsidR="00E026F6" w:rsidRPr="00E026F6" w:rsidTr="00E026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</w:pPr>
            <w:r w:rsidRPr="00E026F6">
              <w:rPr>
                <w:b/>
              </w:rPr>
              <w:t>Descripción del contenido</w:t>
            </w:r>
            <w:r w:rsidR="00E026F6" w:rsidRPr="00E026F6">
              <w:rPr>
                <w:b/>
              </w:rPr>
              <w:t xml:space="preserve">: </w:t>
            </w:r>
            <w:r w:rsidR="00E026F6" w:rsidRPr="00E026F6">
              <w:t>D</w:t>
            </w:r>
            <w:r w:rsidRPr="00E026F6">
              <w:t xml:space="preserve">e conformidad con la Orden conjunta </w:t>
            </w:r>
            <w:proofErr w:type="spellStart"/>
            <w:r w:rsidRPr="00E026F6">
              <w:t>Nº</w:t>
            </w:r>
            <w:proofErr w:type="spellEnd"/>
            <w:r w:rsidRPr="00E026F6">
              <w:t xml:space="preserve"> 156-14 por la que se establecen límites máximos de residuos (</w:t>
            </w:r>
            <w:proofErr w:type="spellStart"/>
            <w:r w:rsidRPr="00E026F6">
              <w:t>LMR</w:t>
            </w:r>
            <w:proofErr w:type="spellEnd"/>
            <w:r w:rsidRPr="00E026F6">
              <w:t xml:space="preserve">) de plaguicidas en los productos alimenticios, </w:t>
            </w:r>
            <w:r w:rsidR="006C0E35">
              <w:t xml:space="preserve">y </w:t>
            </w:r>
            <w:r w:rsidRPr="00E026F6">
              <w:t xml:space="preserve">teniendo en cuenta el nivel de consumo de té en Marruecos y con el fin de proteger la salud de los consumidores, se consideró necesario fijar los </w:t>
            </w:r>
            <w:proofErr w:type="spellStart"/>
            <w:r w:rsidRPr="00E026F6">
              <w:t>LMR</w:t>
            </w:r>
            <w:proofErr w:type="spellEnd"/>
            <w:r w:rsidRPr="00E026F6">
              <w:t xml:space="preserve"> de las sustancias activas registradas para los tés importados de China</w:t>
            </w:r>
            <w:r w:rsidR="00E026F6" w:rsidRPr="00E026F6">
              <w:t>. P</w:t>
            </w:r>
            <w:r w:rsidRPr="00E026F6">
              <w:t>ara los ingredientes activos no autorizados para el cultivo de té en China, el límite aplicable es 0,01 mg/kg o el límite de cuantificación (</w:t>
            </w:r>
            <w:proofErr w:type="spellStart"/>
            <w:r w:rsidRPr="00E026F6">
              <w:t>LOQ</w:t>
            </w:r>
            <w:proofErr w:type="spellEnd"/>
            <w:r w:rsidRPr="00E026F6">
              <w:t>).</w:t>
            </w:r>
          </w:p>
        </w:tc>
      </w:tr>
      <w:tr w:rsidR="00E026F6" w:rsidRPr="00E026F6" w:rsidTr="00E026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</w:pPr>
            <w:r w:rsidRPr="00E026F6">
              <w:rPr>
                <w:b/>
              </w:rPr>
              <w:t>Objetivo y razón de ser</w:t>
            </w:r>
            <w:r w:rsidR="00E026F6" w:rsidRPr="00E026F6">
              <w:rPr>
                <w:b/>
              </w:rPr>
              <w:t>: [</w:t>
            </w:r>
            <w:r w:rsidRPr="00E026F6">
              <w:rPr>
                <w:b/>
              </w:rPr>
              <w:t xml:space="preserve">X] inocuidad de los alimentos, </w:t>
            </w:r>
            <w:proofErr w:type="gramStart"/>
            <w:r w:rsidR="00E026F6" w:rsidRPr="00E026F6">
              <w:rPr>
                <w:b/>
              </w:rPr>
              <w:t>[ ]</w:t>
            </w:r>
            <w:proofErr w:type="gramEnd"/>
            <w:r w:rsidRPr="00E026F6">
              <w:rPr>
                <w:b/>
              </w:rPr>
              <w:t xml:space="preserve"> sanidad animal, </w:t>
            </w:r>
            <w:r w:rsidR="00E026F6" w:rsidRPr="00E026F6">
              <w:rPr>
                <w:b/>
              </w:rPr>
              <w:t>[ ]</w:t>
            </w:r>
            <w:r w:rsidRPr="00E026F6">
              <w:rPr>
                <w:b/>
              </w:rPr>
              <w:t xml:space="preserve"> preservación de los vegetales, </w:t>
            </w:r>
            <w:r w:rsidR="00E026F6" w:rsidRPr="00E026F6">
              <w:rPr>
                <w:b/>
              </w:rPr>
              <w:t>[ ]</w:t>
            </w:r>
            <w:r w:rsidRPr="00E026F6">
              <w:rPr>
                <w:b/>
              </w:rPr>
              <w:t xml:space="preserve"> protección de la salud humana contra las enfermedades o plagas animales o vegetales, </w:t>
            </w:r>
            <w:r w:rsidR="00E026F6" w:rsidRPr="00E026F6">
              <w:rPr>
                <w:b/>
              </w:rPr>
              <w:t>[ ]</w:t>
            </w:r>
            <w:r w:rsidRPr="00E026F6">
              <w:rPr>
                <w:b/>
              </w:rPr>
              <w:t xml:space="preserve"> protección del territorio contra otros daños causados por plagas.</w:t>
            </w:r>
            <w:r w:rsidRPr="00E026F6">
              <w:t xml:space="preserve"> </w:t>
            </w:r>
          </w:p>
        </w:tc>
      </w:tr>
      <w:tr w:rsidR="00E026F6" w:rsidRPr="00E026F6" w:rsidTr="00E026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t>¿Existe una norma internacional pertinente</w:t>
            </w:r>
            <w:r w:rsidR="00E026F6" w:rsidRPr="00E026F6">
              <w:rPr>
                <w:b/>
              </w:rPr>
              <w:t>? D</w:t>
            </w:r>
            <w:r w:rsidRPr="00E026F6">
              <w:rPr>
                <w:b/>
              </w:rPr>
              <w:t>e ser así, indíquese la norma:</w:t>
            </w:r>
          </w:p>
          <w:p w:rsidR="00AA6945" w:rsidRPr="00E026F6" w:rsidRDefault="00E026F6" w:rsidP="00E026F6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E026F6">
              <w:rPr>
                <w:b/>
              </w:rPr>
              <w:t>[ ]</w:t>
            </w:r>
            <w:proofErr w:type="gramEnd"/>
            <w:r w:rsidR="00AA6945" w:rsidRPr="00E026F6">
              <w:rPr>
                <w:b/>
              </w:rPr>
              <w:tab/>
              <w:t xml:space="preserve">de la Comisión del Codex </w:t>
            </w:r>
            <w:proofErr w:type="spellStart"/>
            <w:r w:rsidR="00AA6945" w:rsidRPr="00E026F6">
              <w:rPr>
                <w:b/>
              </w:rPr>
              <w:t>Alimentarius</w:t>
            </w:r>
            <w:proofErr w:type="spellEnd"/>
            <w:r w:rsidR="00AA6945" w:rsidRPr="00E026F6">
              <w:rPr>
                <w:b/>
              </w:rPr>
              <w:t xml:space="preserve"> </w:t>
            </w:r>
            <w:r w:rsidR="00AA6945" w:rsidRPr="00E026F6">
              <w:rPr>
                <w:b/>
                <w:i/>
              </w:rPr>
              <w:t>(por ejemplo, título o número de serie de la norma del Codex o texto conexo)</w:t>
            </w:r>
            <w:r w:rsidR="00AA6945" w:rsidRPr="00E026F6">
              <w:rPr>
                <w:b/>
              </w:rPr>
              <w:t>:</w:t>
            </w:r>
          </w:p>
          <w:p w:rsidR="00AA6945" w:rsidRPr="00E026F6" w:rsidRDefault="00E026F6" w:rsidP="00E026F6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E026F6">
              <w:rPr>
                <w:b/>
              </w:rPr>
              <w:t>[ ]</w:t>
            </w:r>
            <w:proofErr w:type="gramEnd"/>
            <w:r w:rsidR="00AA6945" w:rsidRPr="00E026F6">
              <w:rPr>
                <w:b/>
              </w:rPr>
              <w:tab/>
              <w:t>de la Organización Mundial de Sanidad Animal (</w:t>
            </w:r>
            <w:proofErr w:type="spellStart"/>
            <w:r w:rsidR="00AA6945" w:rsidRPr="00E026F6">
              <w:rPr>
                <w:b/>
              </w:rPr>
              <w:t>OIE</w:t>
            </w:r>
            <w:proofErr w:type="spellEnd"/>
            <w:r w:rsidR="00AA6945" w:rsidRPr="00E026F6">
              <w:rPr>
                <w:b/>
              </w:rPr>
              <w:t xml:space="preserve">) </w:t>
            </w:r>
            <w:r w:rsidR="00AA6945" w:rsidRPr="00E026F6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AA6945" w:rsidRPr="00E026F6">
              <w:rPr>
                <w:b/>
              </w:rPr>
              <w:t>:</w:t>
            </w:r>
          </w:p>
          <w:p w:rsidR="00AA6945" w:rsidRPr="00E026F6" w:rsidRDefault="00E026F6" w:rsidP="00E026F6">
            <w:pPr>
              <w:spacing w:after="120"/>
              <w:ind w:left="720" w:hanging="720"/>
            </w:pPr>
            <w:proofErr w:type="gramStart"/>
            <w:r w:rsidRPr="00E026F6">
              <w:rPr>
                <w:b/>
              </w:rPr>
              <w:t>[ ]</w:t>
            </w:r>
            <w:proofErr w:type="gramEnd"/>
            <w:r w:rsidR="00AA6945" w:rsidRPr="00E026F6">
              <w:rPr>
                <w:b/>
              </w:rPr>
              <w:tab/>
              <w:t xml:space="preserve">de la Convención Internacional de Protección Fitosanitaria </w:t>
            </w:r>
            <w:r w:rsidR="00AA6945" w:rsidRPr="00E026F6">
              <w:rPr>
                <w:b/>
                <w:i/>
              </w:rPr>
              <w:t xml:space="preserve">(por ejemplo, número de </w:t>
            </w:r>
            <w:proofErr w:type="spellStart"/>
            <w:r w:rsidR="00AA6945" w:rsidRPr="00E026F6">
              <w:rPr>
                <w:b/>
                <w:i/>
              </w:rPr>
              <w:t>NIMF</w:t>
            </w:r>
            <w:proofErr w:type="spellEnd"/>
            <w:r w:rsidR="00AA6945" w:rsidRPr="00E026F6">
              <w:rPr>
                <w:b/>
                <w:i/>
              </w:rPr>
              <w:t>)</w:t>
            </w:r>
            <w:r w:rsidR="00AA6945" w:rsidRPr="00E026F6">
              <w:rPr>
                <w:b/>
              </w:rPr>
              <w:t>:</w:t>
            </w:r>
          </w:p>
          <w:p w:rsidR="005E2B26" w:rsidRPr="00E026F6" w:rsidRDefault="00B25F29" w:rsidP="00E026F6">
            <w:pPr>
              <w:spacing w:after="120"/>
              <w:ind w:left="720" w:hanging="720"/>
              <w:rPr>
                <w:b/>
              </w:rPr>
            </w:pPr>
            <w:r w:rsidRPr="00E026F6">
              <w:rPr>
                <w:b/>
              </w:rPr>
              <w:t>[X]</w:t>
            </w:r>
            <w:r w:rsidRPr="00E026F6">
              <w:rPr>
                <w:b/>
              </w:rPr>
              <w:tab/>
              <w:t>Ninguna</w:t>
            </w:r>
          </w:p>
          <w:p w:rsidR="005E2B26" w:rsidRPr="00E026F6" w:rsidRDefault="00B25F29" w:rsidP="00E026F6">
            <w:pPr>
              <w:spacing w:after="120"/>
              <w:rPr>
                <w:b/>
              </w:rPr>
            </w:pPr>
            <w:r w:rsidRPr="00E026F6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5E2B26" w:rsidRPr="00E026F6" w:rsidRDefault="00E026F6" w:rsidP="00890DCB">
            <w:pPr>
              <w:spacing w:before="120" w:after="120"/>
              <w:rPr>
                <w:b/>
              </w:rPr>
            </w:pPr>
            <w:proofErr w:type="gramStart"/>
            <w:r w:rsidRPr="00E026F6">
              <w:rPr>
                <w:b/>
              </w:rPr>
              <w:t>[ ]</w:t>
            </w:r>
            <w:proofErr w:type="gramEnd"/>
            <w:r w:rsidR="00AA6945" w:rsidRPr="00E026F6">
              <w:rPr>
                <w:b/>
              </w:rPr>
              <w:t xml:space="preserve"> Sí </w:t>
            </w:r>
            <w:r w:rsidRPr="00E026F6">
              <w:rPr>
                <w:b/>
              </w:rPr>
              <w:t>[ ]</w:t>
            </w:r>
            <w:r w:rsidR="00AA6945" w:rsidRPr="00E026F6">
              <w:rPr>
                <w:b/>
              </w:rPr>
              <w:t xml:space="preserve"> No</w:t>
            </w:r>
          </w:p>
          <w:p w:rsidR="005E2B26" w:rsidRPr="00E026F6" w:rsidRDefault="00B25F29" w:rsidP="00E026F6">
            <w:pPr>
              <w:spacing w:after="120"/>
              <w:rPr>
                <w:b/>
              </w:rPr>
            </w:pPr>
            <w:r w:rsidRPr="00E026F6">
              <w:rPr>
                <w:b/>
                <w:bCs/>
              </w:rPr>
              <w:t>En caso negativo, indíquese, cuando sea posible, en qué medida y por qué razón se aparta de la norma internacional:</w:t>
            </w:r>
            <w:r w:rsidRPr="00E026F6">
              <w:t xml:space="preserve"> </w:t>
            </w:r>
          </w:p>
        </w:tc>
      </w:tr>
      <w:tr w:rsidR="00E026F6" w:rsidRPr="00E026F6" w:rsidTr="00E026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</w:pPr>
            <w:r w:rsidRPr="00E026F6">
              <w:rPr>
                <w:b/>
              </w:rPr>
              <w:t>Otros documentos pertinentes e idioma(s) en que están disponibles:</w:t>
            </w:r>
            <w:r w:rsidRPr="00E026F6">
              <w:t xml:space="preserve"> </w:t>
            </w:r>
          </w:p>
        </w:tc>
      </w:tr>
      <w:tr w:rsidR="00E026F6" w:rsidRPr="00E026F6" w:rsidTr="00E026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Cs/>
              </w:rPr>
            </w:pPr>
            <w:r w:rsidRPr="00E026F6">
              <w:rPr>
                <w:b/>
              </w:rPr>
              <w:t xml:space="preserve">Fecha propuesta de adopción </w:t>
            </w:r>
            <w:r w:rsidRPr="00E026F6">
              <w:rPr>
                <w:b/>
                <w:i/>
              </w:rPr>
              <w:t>(día/mes/año)</w:t>
            </w:r>
            <w:r w:rsidR="00E026F6" w:rsidRPr="00E026F6">
              <w:rPr>
                <w:b/>
              </w:rPr>
              <w:t xml:space="preserve">: </w:t>
            </w:r>
            <w:r w:rsidR="00E026F6" w:rsidRPr="00E026F6">
              <w:t>N</w:t>
            </w:r>
            <w:r w:rsidRPr="00E026F6">
              <w:t>o se ha determinado.</w:t>
            </w:r>
          </w:p>
          <w:p w:rsidR="005E2B26" w:rsidRPr="00E026F6" w:rsidRDefault="00B25F29" w:rsidP="00E026F6">
            <w:pPr>
              <w:spacing w:after="120"/>
              <w:rPr>
                <w:b/>
              </w:rPr>
            </w:pPr>
            <w:r w:rsidRPr="00E026F6">
              <w:rPr>
                <w:b/>
                <w:bCs/>
              </w:rPr>
              <w:t xml:space="preserve">Fecha propuesta de publicación </w:t>
            </w:r>
            <w:r w:rsidRPr="00E026F6">
              <w:rPr>
                <w:b/>
                <w:bCs/>
                <w:i/>
              </w:rPr>
              <w:t>(día/mes/año)</w:t>
            </w:r>
            <w:r w:rsidR="00E026F6" w:rsidRPr="00E026F6">
              <w:rPr>
                <w:b/>
                <w:bCs/>
              </w:rPr>
              <w:t xml:space="preserve">: </w:t>
            </w:r>
            <w:r w:rsidR="00E026F6" w:rsidRPr="00E026F6">
              <w:t>N</w:t>
            </w:r>
            <w:r w:rsidRPr="00E026F6">
              <w:t>o se ha determinado.</w:t>
            </w:r>
          </w:p>
        </w:tc>
      </w:tr>
      <w:tr w:rsidR="00E026F6" w:rsidRPr="00E026F6" w:rsidTr="00E026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Cs/>
              </w:rPr>
            </w:pPr>
            <w:r w:rsidRPr="00E026F6">
              <w:rPr>
                <w:b/>
              </w:rPr>
              <w:t>Fecha propuesta de entrada en vigor</w:t>
            </w:r>
            <w:r w:rsidR="00E026F6" w:rsidRPr="00E026F6">
              <w:rPr>
                <w:b/>
              </w:rPr>
              <w:t xml:space="preserve">: </w:t>
            </w:r>
            <w:proofErr w:type="gramStart"/>
            <w:r w:rsidR="00E026F6" w:rsidRPr="00E026F6">
              <w:rPr>
                <w:b/>
              </w:rPr>
              <w:t>[ ]</w:t>
            </w:r>
            <w:proofErr w:type="gramEnd"/>
            <w:r w:rsidRPr="00E026F6">
              <w:rPr>
                <w:b/>
              </w:rPr>
              <w:t xml:space="preserve"> Seis meses a partir de la fecha de publicación, y/o </w:t>
            </w:r>
            <w:r w:rsidRPr="00E026F6">
              <w:rPr>
                <w:b/>
                <w:i/>
              </w:rPr>
              <w:t>(día/mes/año)</w:t>
            </w:r>
            <w:r w:rsidR="00E026F6" w:rsidRPr="00E026F6">
              <w:rPr>
                <w:b/>
              </w:rPr>
              <w:t xml:space="preserve">: </w:t>
            </w:r>
            <w:r w:rsidR="00E026F6" w:rsidRPr="00E026F6">
              <w:t>1</w:t>
            </w:r>
            <w:r w:rsidRPr="00E026F6">
              <w:t xml:space="preserve">º de julio </w:t>
            </w:r>
            <w:r w:rsidR="00E026F6" w:rsidRPr="00E026F6">
              <w:t>de 2019</w:t>
            </w:r>
          </w:p>
          <w:p w:rsidR="005E2B26" w:rsidRPr="00E026F6" w:rsidRDefault="00B25F29" w:rsidP="00E026F6">
            <w:pPr>
              <w:spacing w:after="120"/>
              <w:ind w:left="607" w:hanging="607"/>
              <w:rPr>
                <w:b/>
              </w:rPr>
            </w:pPr>
            <w:r w:rsidRPr="00E026F6">
              <w:rPr>
                <w:b/>
              </w:rPr>
              <w:t>[X]</w:t>
            </w:r>
            <w:r w:rsidRPr="00E026F6">
              <w:rPr>
                <w:b/>
              </w:rPr>
              <w:tab/>
              <w:t>Medida de facilitación del comercio</w:t>
            </w:r>
            <w:r w:rsidRPr="00E026F6">
              <w:t xml:space="preserve"> </w:t>
            </w:r>
          </w:p>
        </w:tc>
      </w:tr>
      <w:tr w:rsidR="00E026F6" w:rsidRPr="00E026F6" w:rsidTr="00E026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spacing w:before="120" w:after="120"/>
              <w:rPr>
                <w:b/>
              </w:rPr>
            </w:pPr>
            <w:r w:rsidRPr="00E026F6">
              <w:rPr>
                <w:b/>
              </w:rPr>
              <w:t>Fecha límite para la presentación de observaciones</w:t>
            </w:r>
            <w:r w:rsidR="00E026F6" w:rsidRPr="00E026F6">
              <w:rPr>
                <w:b/>
              </w:rPr>
              <w:t>: [</w:t>
            </w:r>
            <w:r w:rsidRPr="00E026F6">
              <w:rPr>
                <w:b/>
              </w:rPr>
              <w:t xml:space="preserve">X] Sesenta días a partir de la fecha de distribución de la notificación y/o </w:t>
            </w:r>
            <w:r w:rsidRPr="00E026F6">
              <w:rPr>
                <w:b/>
                <w:i/>
              </w:rPr>
              <w:t>(día/mes/año)</w:t>
            </w:r>
            <w:r w:rsidR="00E026F6" w:rsidRPr="00E026F6">
              <w:rPr>
                <w:b/>
              </w:rPr>
              <w:t xml:space="preserve">: </w:t>
            </w:r>
            <w:r w:rsidR="00E026F6" w:rsidRPr="00E026F6">
              <w:t>m</w:t>
            </w:r>
            <w:r w:rsidRPr="00E026F6">
              <w:t xml:space="preserve">artes, 11 de junio </w:t>
            </w:r>
            <w:r w:rsidR="00E026F6" w:rsidRPr="00E026F6">
              <w:t>de 2019</w:t>
            </w:r>
          </w:p>
          <w:p w:rsidR="00AA6945" w:rsidRPr="00E026F6" w:rsidRDefault="00B25F29" w:rsidP="00E026F6">
            <w:pPr>
              <w:spacing w:after="120"/>
              <w:rPr>
                <w:b/>
              </w:rPr>
            </w:pPr>
            <w:r w:rsidRPr="00E026F6">
              <w:rPr>
                <w:b/>
              </w:rPr>
              <w:t>Organismo o autoridad encargado de tramitar las observaciones</w:t>
            </w:r>
            <w:r w:rsidR="00E026F6" w:rsidRPr="00E026F6">
              <w:rPr>
                <w:b/>
              </w:rPr>
              <w:t>: [</w:t>
            </w:r>
            <w:r w:rsidRPr="00E026F6">
              <w:rPr>
                <w:b/>
              </w:rPr>
              <w:t>X] Organismo nacional encargado de la notificación, [X] Servicio nacional de información</w:t>
            </w:r>
            <w:r w:rsidR="00E026F6" w:rsidRPr="00E026F6">
              <w:rPr>
                <w:b/>
              </w:rPr>
              <w:t>. D</w:t>
            </w:r>
            <w:r w:rsidRPr="00E026F6">
              <w:rPr>
                <w:b/>
              </w:rPr>
              <w:t>irección, número de fax y dirección de correo electrónico (en su caso) de otra institución:</w:t>
            </w:r>
          </w:p>
          <w:p w:rsidR="00746177" w:rsidRPr="00890DCB" w:rsidRDefault="00B25F29" w:rsidP="00890DCB">
            <w:pPr>
              <w:jc w:val="left"/>
              <w:rPr>
                <w:lang w:val="fr-FR"/>
              </w:rPr>
            </w:pPr>
            <w:r w:rsidRPr="00890DCB">
              <w:rPr>
                <w:i/>
                <w:iCs/>
                <w:lang w:val="fr-FR"/>
              </w:rPr>
              <w:t>Office National de Sécurité Sanitaire des Produits Alimentaires</w:t>
            </w:r>
            <w:r w:rsidRPr="00890DCB">
              <w:rPr>
                <w:lang w:val="fr-FR"/>
              </w:rPr>
              <w:t xml:space="preserve"> (ONSSA) (Oficina Nacional de Inocuidad Alimentaria)</w:t>
            </w:r>
          </w:p>
          <w:p w:rsidR="00746177" w:rsidRPr="00890DCB" w:rsidRDefault="00B25F29" w:rsidP="00890DCB">
            <w:pPr>
              <w:jc w:val="left"/>
              <w:rPr>
                <w:lang w:val="fr-FR"/>
              </w:rPr>
            </w:pPr>
            <w:r w:rsidRPr="00890DCB">
              <w:rPr>
                <w:i/>
                <w:iCs/>
                <w:lang w:val="fr-FR"/>
              </w:rPr>
              <w:t>Direction de l'Évaluation des Risques et des Affaires Juridiques</w:t>
            </w:r>
            <w:r w:rsidRPr="00890DCB">
              <w:rPr>
                <w:lang w:val="fr-FR"/>
              </w:rPr>
              <w:t xml:space="preserve"> (Dirección de Evaluación de Riesgos y Asuntos Jurídicos)</w:t>
            </w:r>
          </w:p>
          <w:p w:rsidR="00746177" w:rsidRPr="00890DCB" w:rsidRDefault="00B25F29" w:rsidP="00890DCB">
            <w:pPr>
              <w:jc w:val="left"/>
              <w:rPr>
                <w:lang w:val="fr-FR"/>
              </w:rPr>
            </w:pPr>
            <w:r w:rsidRPr="00890DCB">
              <w:rPr>
                <w:i/>
                <w:iCs/>
                <w:lang w:val="fr-FR"/>
              </w:rPr>
              <w:t>Division de la Normalisation et des Questions SPS</w:t>
            </w:r>
            <w:r w:rsidRPr="00890DCB">
              <w:rPr>
                <w:lang w:val="fr-FR"/>
              </w:rPr>
              <w:t xml:space="preserve"> (División de Normalización y de Cuestiones sobre MSF)</w:t>
            </w:r>
          </w:p>
          <w:p w:rsidR="00746177" w:rsidRPr="00890DCB" w:rsidRDefault="00B25F29" w:rsidP="00890DCB">
            <w:pPr>
              <w:jc w:val="left"/>
              <w:rPr>
                <w:lang w:val="en-GB"/>
              </w:rPr>
            </w:pPr>
            <w:r w:rsidRPr="00890DCB">
              <w:rPr>
                <w:lang w:val="en-GB"/>
              </w:rPr>
              <w:t>Avenue Hadj Ahmed Cherkaoui</w:t>
            </w:r>
          </w:p>
          <w:p w:rsidR="00746177" w:rsidRPr="00890DCB" w:rsidRDefault="00B25F29" w:rsidP="00890DCB">
            <w:pPr>
              <w:jc w:val="left"/>
              <w:rPr>
                <w:lang w:val="en-GB"/>
              </w:rPr>
            </w:pPr>
            <w:r w:rsidRPr="00890DCB">
              <w:rPr>
                <w:lang w:val="en-GB"/>
              </w:rPr>
              <w:t>Agdal, Rabat</w:t>
            </w:r>
          </w:p>
          <w:p w:rsidR="00746177" w:rsidRPr="00E026F6" w:rsidRDefault="00B25F29" w:rsidP="00890DCB">
            <w:pPr>
              <w:jc w:val="left"/>
            </w:pPr>
            <w:r w:rsidRPr="00E026F6">
              <w:t>Teléfono</w:t>
            </w:r>
            <w:r w:rsidR="00E026F6" w:rsidRPr="00E026F6">
              <w:t>: +</w:t>
            </w:r>
            <w:r w:rsidRPr="00E026F6">
              <w:t>(212) 53 767 6510/13</w:t>
            </w:r>
          </w:p>
          <w:p w:rsidR="00746177" w:rsidRPr="00E026F6" w:rsidRDefault="00B25F29" w:rsidP="00890DCB">
            <w:pPr>
              <w:jc w:val="left"/>
            </w:pPr>
            <w:r w:rsidRPr="00E026F6">
              <w:t>Teléfono móvil</w:t>
            </w:r>
            <w:r w:rsidR="00E026F6" w:rsidRPr="00E026F6">
              <w:t>: +</w:t>
            </w:r>
            <w:r w:rsidRPr="00E026F6">
              <w:t>(212) 67 399 7803</w:t>
            </w:r>
          </w:p>
          <w:p w:rsidR="00746177" w:rsidRPr="00E026F6" w:rsidRDefault="00B25F29" w:rsidP="00890DCB">
            <w:pPr>
              <w:jc w:val="left"/>
            </w:pPr>
            <w:r w:rsidRPr="00E026F6">
              <w:t>Fax</w:t>
            </w:r>
            <w:r w:rsidR="00E026F6" w:rsidRPr="00E026F6">
              <w:t>: +</w:t>
            </w:r>
            <w:r w:rsidRPr="00E026F6">
              <w:t>(212) 53 768 2049</w:t>
            </w:r>
          </w:p>
          <w:p w:rsidR="00746177" w:rsidRPr="00E026F6" w:rsidRDefault="00B25F29" w:rsidP="00890DCB">
            <w:pPr>
              <w:spacing w:after="120"/>
              <w:jc w:val="left"/>
            </w:pPr>
            <w:r w:rsidRPr="00E026F6">
              <w:t>Correo electrónico</w:t>
            </w:r>
            <w:r w:rsidR="00E026F6" w:rsidRPr="00E026F6">
              <w:t>: m</w:t>
            </w:r>
            <w:r w:rsidRPr="00E026F6">
              <w:t>a.sps.enquirypoint@onssa.gov.ma</w:t>
            </w:r>
          </w:p>
        </w:tc>
      </w:tr>
      <w:tr w:rsidR="00746177" w:rsidRPr="00E026F6" w:rsidTr="00E026F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E2B26" w:rsidRPr="00E026F6" w:rsidRDefault="00B25F29" w:rsidP="00E026F6">
            <w:pPr>
              <w:keepNext/>
              <w:keepLines/>
              <w:spacing w:before="120" w:after="120"/>
              <w:rPr>
                <w:b/>
              </w:rPr>
            </w:pPr>
            <w:r w:rsidRPr="00E026F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A6945" w:rsidRPr="00E026F6" w:rsidRDefault="00B25F29" w:rsidP="00E026F6">
            <w:pPr>
              <w:keepNext/>
              <w:keepLines/>
              <w:spacing w:before="120" w:after="120"/>
            </w:pPr>
            <w:r w:rsidRPr="00E026F6">
              <w:rPr>
                <w:b/>
              </w:rPr>
              <w:t>Texto(s) disponible(s) en</w:t>
            </w:r>
            <w:r w:rsidR="00E026F6" w:rsidRPr="00E026F6">
              <w:rPr>
                <w:b/>
              </w:rPr>
              <w:t>: [</w:t>
            </w:r>
            <w:r w:rsidRPr="00E026F6">
              <w:rPr>
                <w:b/>
              </w:rPr>
              <w:t>X] Organismo nacional encargado de la notificación, [X] Servicio nacional de información</w:t>
            </w:r>
            <w:r w:rsidR="00E026F6" w:rsidRPr="00E026F6">
              <w:rPr>
                <w:b/>
              </w:rPr>
              <w:t>. D</w:t>
            </w:r>
            <w:r w:rsidRPr="00E026F6">
              <w:rPr>
                <w:b/>
              </w:rPr>
              <w:t>irección, número de fax y dirección de correo electrónico (en su caso) de otra institución:</w:t>
            </w:r>
          </w:p>
          <w:p w:rsidR="005E2B26" w:rsidRPr="00890DCB" w:rsidRDefault="00B25F29" w:rsidP="00890DCB">
            <w:pPr>
              <w:keepNext/>
              <w:keepLines/>
              <w:jc w:val="left"/>
              <w:rPr>
                <w:lang w:val="fr-FR"/>
              </w:rPr>
            </w:pPr>
            <w:r w:rsidRPr="00890DCB">
              <w:rPr>
                <w:i/>
                <w:iCs/>
                <w:lang w:val="fr-FR"/>
              </w:rPr>
              <w:t>Office National de Sécurité Sanitaire des Produits Alimentaires</w:t>
            </w:r>
            <w:r w:rsidRPr="00890DCB">
              <w:rPr>
                <w:lang w:val="fr-FR"/>
              </w:rPr>
              <w:t xml:space="preserve"> (ONSSA) (Oficina Nacional de Inocuidad Alimentaria)</w:t>
            </w:r>
          </w:p>
          <w:p w:rsidR="005E2B26" w:rsidRPr="00890DCB" w:rsidRDefault="00B25F29" w:rsidP="00890DCB">
            <w:pPr>
              <w:keepNext/>
              <w:keepLines/>
              <w:jc w:val="left"/>
              <w:rPr>
                <w:lang w:val="fr-FR"/>
              </w:rPr>
            </w:pPr>
            <w:r w:rsidRPr="00890DCB">
              <w:rPr>
                <w:i/>
                <w:iCs/>
                <w:lang w:val="fr-FR"/>
              </w:rPr>
              <w:t>Direction de l'Évaluation des Risques et des Affaires Juridiques</w:t>
            </w:r>
            <w:r w:rsidRPr="00890DCB">
              <w:rPr>
                <w:lang w:val="fr-FR"/>
              </w:rPr>
              <w:t xml:space="preserve"> (Dirección de Evaluación de Riesgos y Asuntos Jurídicos)</w:t>
            </w:r>
          </w:p>
          <w:p w:rsidR="005E2B26" w:rsidRPr="00890DCB" w:rsidRDefault="00B25F29" w:rsidP="00890DCB">
            <w:pPr>
              <w:keepNext/>
              <w:keepLines/>
              <w:jc w:val="left"/>
              <w:rPr>
                <w:lang w:val="fr-FR"/>
              </w:rPr>
            </w:pPr>
            <w:r w:rsidRPr="00890DCB">
              <w:rPr>
                <w:i/>
                <w:iCs/>
                <w:lang w:val="fr-FR"/>
              </w:rPr>
              <w:t>Division de la Normal</w:t>
            </w:r>
            <w:bookmarkStart w:id="9" w:name="_GoBack"/>
            <w:bookmarkEnd w:id="9"/>
            <w:r w:rsidRPr="00890DCB">
              <w:rPr>
                <w:i/>
                <w:iCs/>
                <w:lang w:val="fr-FR"/>
              </w:rPr>
              <w:t>isation et des Questions SPS</w:t>
            </w:r>
            <w:r w:rsidRPr="00890DCB">
              <w:rPr>
                <w:lang w:val="fr-FR"/>
              </w:rPr>
              <w:t xml:space="preserve"> (División de Normalización y de Cuestiones sobre MSF)</w:t>
            </w:r>
          </w:p>
          <w:p w:rsidR="005E2B26" w:rsidRPr="00890DCB" w:rsidRDefault="00B25F29" w:rsidP="00890DCB">
            <w:pPr>
              <w:keepNext/>
              <w:keepLines/>
              <w:jc w:val="left"/>
              <w:rPr>
                <w:lang w:val="en-GB"/>
              </w:rPr>
            </w:pPr>
            <w:r w:rsidRPr="00890DCB">
              <w:rPr>
                <w:lang w:val="en-GB"/>
              </w:rPr>
              <w:t>Avenue Hadj Ahmed Cherkaoui</w:t>
            </w:r>
          </w:p>
          <w:p w:rsidR="005E2B26" w:rsidRPr="00890DCB" w:rsidRDefault="00B25F29" w:rsidP="00890DCB">
            <w:pPr>
              <w:keepNext/>
              <w:keepLines/>
              <w:jc w:val="left"/>
              <w:rPr>
                <w:lang w:val="en-GB"/>
              </w:rPr>
            </w:pPr>
            <w:r w:rsidRPr="00890DCB">
              <w:rPr>
                <w:lang w:val="en-GB"/>
              </w:rPr>
              <w:t>Agdal, Rabat</w:t>
            </w:r>
          </w:p>
          <w:p w:rsidR="005E2B26" w:rsidRPr="00E026F6" w:rsidRDefault="00B25F29" w:rsidP="00890DCB">
            <w:pPr>
              <w:keepNext/>
              <w:keepLines/>
              <w:jc w:val="left"/>
            </w:pPr>
            <w:r w:rsidRPr="00E026F6">
              <w:t>Teléfono</w:t>
            </w:r>
            <w:r w:rsidR="00E026F6" w:rsidRPr="00E026F6">
              <w:t>: +</w:t>
            </w:r>
            <w:r w:rsidRPr="00E026F6">
              <w:t>(212) 53 767 6510/13</w:t>
            </w:r>
          </w:p>
          <w:p w:rsidR="005E2B26" w:rsidRPr="00E026F6" w:rsidRDefault="00B25F29" w:rsidP="00890DCB">
            <w:pPr>
              <w:keepNext/>
              <w:keepLines/>
              <w:jc w:val="left"/>
            </w:pPr>
            <w:r w:rsidRPr="00E026F6">
              <w:t>Teléfono móvil</w:t>
            </w:r>
            <w:r w:rsidR="00E026F6" w:rsidRPr="00E026F6">
              <w:t>: +</w:t>
            </w:r>
            <w:r w:rsidRPr="00E026F6">
              <w:t>(212) 67 399 7803</w:t>
            </w:r>
          </w:p>
          <w:p w:rsidR="005E2B26" w:rsidRPr="00E026F6" w:rsidRDefault="00B25F29" w:rsidP="00890DCB">
            <w:pPr>
              <w:keepNext/>
              <w:keepLines/>
              <w:jc w:val="left"/>
            </w:pPr>
            <w:r w:rsidRPr="00E026F6">
              <w:t>Fax</w:t>
            </w:r>
            <w:r w:rsidR="00E026F6" w:rsidRPr="00E026F6">
              <w:t>: +</w:t>
            </w:r>
            <w:r w:rsidRPr="00E026F6">
              <w:t>(212) 53 768 2049</w:t>
            </w:r>
          </w:p>
          <w:p w:rsidR="005E2B26" w:rsidRPr="00E026F6" w:rsidRDefault="00B25F29" w:rsidP="00890DCB">
            <w:pPr>
              <w:keepNext/>
              <w:keepLines/>
              <w:spacing w:after="120"/>
              <w:jc w:val="left"/>
            </w:pPr>
            <w:r w:rsidRPr="00E026F6">
              <w:t>Correo electrónico</w:t>
            </w:r>
            <w:r w:rsidR="00E026F6" w:rsidRPr="00E026F6">
              <w:t>: m</w:t>
            </w:r>
            <w:r w:rsidRPr="00E026F6">
              <w:t>a.sps.enquirypoint@onssa.gov.ma</w:t>
            </w:r>
          </w:p>
        </w:tc>
      </w:tr>
      <w:bookmarkEnd w:id="8"/>
    </w:tbl>
    <w:p w:rsidR="00337700" w:rsidRPr="00E026F6" w:rsidRDefault="00337700" w:rsidP="00E026F6"/>
    <w:sectPr w:rsidR="00337700" w:rsidRPr="00E026F6" w:rsidSect="002F2E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5F3" w:rsidRPr="00E026F6" w:rsidRDefault="00B25F29">
      <w:bookmarkStart w:id="4" w:name="_Hlk6486079"/>
      <w:bookmarkStart w:id="5" w:name="_Hlk6486080"/>
      <w:r w:rsidRPr="00E026F6">
        <w:separator/>
      </w:r>
      <w:bookmarkEnd w:id="4"/>
      <w:bookmarkEnd w:id="5"/>
    </w:p>
  </w:endnote>
  <w:endnote w:type="continuationSeparator" w:id="0">
    <w:p w:rsidR="00D945F3" w:rsidRPr="00E026F6" w:rsidRDefault="00B25F29">
      <w:bookmarkStart w:id="6" w:name="_Hlk6486081"/>
      <w:bookmarkStart w:id="7" w:name="_Hlk6486082"/>
      <w:r w:rsidRPr="00E026F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E026F6" w:rsidRDefault="00E026F6" w:rsidP="00E026F6">
    <w:pPr>
      <w:pStyle w:val="Pieddepage"/>
    </w:pPr>
    <w:bookmarkStart w:id="14" w:name="_Hlk6486067"/>
    <w:bookmarkStart w:id="15" w:name="_Hlk6486068"/>
    <w:r w:rsidRPr="00E026F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026F6" w:rsidRDefault="00E026F6" w:rsidP="00E026F6">
    <w:pPr>
      <w:pStyle w:val="Pieddepage"/>
    </w:pPr>
    <w:bookmarkStart w:id="16" w:name="_Hlk6486069"/>
    <w:bookmarkStart w:id="17" w:name="_Hlk6486070"/>
    <w:r w:rsidRPr="00E026F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026F6" w:rsidRDefault="00E026F6" w:rsidP="00E026F6">
    <w:pPr>
      <w:pStyle w:val="Pieddepage"/>
    </w:pPr>
    <w:bookmarkStart w:id="20" w:name="_Hlk6486073"/>
    <w:bookmarkStart w:id="21" w:name="_Hlk6486074"/>
    <w:r w:rsidRPr="00E026F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5F3" w:rsidRPr="00E026F6" w:rsidRDefault="00B25F29">
      <w:bookmarkStart w:id="0" w:name="_Hlk6486075"/>
      <w:bookmarkStart w:id="1" w:name="_Hlk6486076"/>
      <w:r w:rsidRPr="00E026F6">
        <w:separator/>
      </w:r>
      <w:bookmarkEnd w:id="0"/>
      <w:bookmarkEnd w:id="1"/>
    </w:p>
  </w:footnote>
  <w:footnote w:type="continuationSeparator" w:id="0">
    <w:p w:rsidR="00D945F3" w:rsidRPr="00E026F6" w:rsidRDefault="00B25F29">
      <w:bookmarkStart w:id="2" w:name="_Hlk6486077"/>
      <w:bookmarkStart w:id="3" w:name="_Hlk6486078"/>
      <w:r w:rsidRPr="00E026F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6F6" w:rsidRPr="00E026F6" w:rsidRDefault="00E026F6" w:rsidP="00E026F6">
    <w:pPr>
      <w:pStyle w:val="En-tte"/>
      <w:spacing w:after="240"/>
      <w:jc w:val="center"/>
    </w:pPr>
    <w:bookmarkStart w:id="10" w:name="_Hlk6486063"/>
    <w:bookmarkStart w:id="11" w:name="_Hlk6486064"/>
    <w:r w:rsidRPr="00E026F6">
      <w:t>G/</w:t>
    </w:r>
    <w:proofErr w:type="spellStart"/>
    <w:r w:rsidRPr="00E026F6">
      <w:t>SPS</w:t>
    </w:r>
    <w:proofErr w:type="spellEnd"/>
    <w:r w:rsidRPr="00E026F6">
      <w:t>/N/MAR/62</w:t>
    </w:r>
  </w:p>
  <w:p w:rsidR="00E026F6" w:rsidRPr="00E026F6" w:rsidRDefault="00E026F6" w:rsidP="00E026F6">
    <w:pPr>
      <w:pStyle w:val="En-tte"/>
      <w:pBdr>
        <w:bottom w:val="single" w:sz="4" w:space="1" w:color="auto"/>
      </w:pBdr>
      <w:jc w:val="center"/>
    </w:pPr>
    <w:r w:rsidRPr="00E026F6">
      <w:t xml:space="preserve">- </w:t>
    </w:r>
    <w:r w:rsidRPr="00E026F6">
      <w:fldChar w:fldCharType="begin"/>
    </w:r>
    <w:r w:rsidRPr="00E026F6">
      <w:instrText xml:space="preserve"> PAGE  \* Arabic  \* MERGEFORMAT </w:instrText>
    </w:r>
    <w:r w:rsidRPr="00E026F6">
      <w:fldChar w:fldCharType="separate"/>
    </w:r>
    <w:r w:rsidRPr="00E026F6">
      <w:t>1</w:t>
    </w:r>
    <w:r w:rsidRPr="00E026F6">
      <w:fldChar w:fldCharType="end"/>
    </w:r>
    <w:r w:rsidRPr="00E026F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6F6" w:rsidRPr="00E026F6" w:rsidRDefault="00E026F6" w:rsidP="00E026F6">
    <w:pPr>
      <w:pStyle w:val="En-tte"/>
      <w:spacing w:after="240"/>
      <w:jc w:val="center"/>
    </w:pPr>
    <w:bookmarkStart w:id="12" w:name="_Hlk6486065"/>
    <w:bookmarkStart w:id="13" w:name="_Hlk6486066"/>
    <w:r w:rsidRPr="00E026F6">
      <w:t>G/</w:t>
    </w:r>
    <w:proofErr w:type="spellStart"/>
    <w:r w:rsidRPr="00E026F6">
      <w:t>SPS</w:t>
    </w:r>
    <w:proofErr w:type="spellEnd"/>
    <w:r w:rsidRPr="00E026F6">
      <w:t>/N/MAR/62</w:t>
    </w:r>
  </w:p>
  <w:p w:rsidR="00E026F6" w:rsidRPr="00E026F6" w:rsidRDefault="00E026F6" w:rsidP="00E026F6">
    <w:pPr>
      <w:pStyle w:val="En-tte"/>
      <w:pBdr>
        <w:bottom w:val="single" w:sz="4" w:space="1" w:color="auto"/>
      </w:pBdr>
      <w:jc w:val="center"/>
    </w:pPr>
    <w:r w:rsidRPr="00E026F6">
      <w:t xml:space="preserve">- </w:t>
    </w:r>
    <w:r w:rsidRPr="00E026F6">
      <w:fldChar w:fldCharType="begin"/>
    </w:r>
    <w:r w:rsidRPr="00E026F6">
      <w:instrText xml:space="preserve"> PAGE  \* Arabic  \* MERGEFORMAT </w:instrText>
    </w:r>
    <w:r w:rsidRPr="00E026F6">
      <w:fldChar w:fldCharType="separate"/>
    </w:r>
    <w:r w:rsidRPr="00E026F6">
      <w:t>1</w:t>
    </w:r>
    <w:r w:rsidRPr="00E026F6">
      <w:fldChar w:fldCharType="end"/>
    </w:r>
    <w:r w:rsidRPr="00E026F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026F6" w:rsidRPr="00E026F6" w:rsidTr="00E026F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026F6" w:rsidRPr="00E026F6" w:rsidRDefault="00E026F6" w:rsidP="00E026F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6486071"/>
          <w:bookmarkStart w:id="19" w:name="_Hlk648607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026F6" w:rsidRPr="00E026F6" w:rsidRDefault="00E026F6" w:rsidP="00E026F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026F6" w:rsidRPr="00E026F6" w:rsidTr="00E026F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026F6" w:rsidRPr="00E026F6" w:rsidRDefault="00E026F6" w:rsidP="00E026F6">
          <w:pPr>
            <w:jc w:val="left"/>
            <w:rPr>
              <w:rFonts w:eastAsia="Verdana" w:cs="Verdana"/>
              <w:szCs w:val="18"/>
            </w:rPr>
          </w:pPr>
          <w:r w:rsidRPr="00E026F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026F6" w:rsidRPr="00E026F6" w:rsidRDefault="00E026F6" w:rsidP="00E026F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026F6" w:rsidRPr="00E026F6" w:rsidTr="00E026F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026F6" w:rsidRPr="00E026F6" w:rsidRDefault="00E026F6" w:rsidP="00E026F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026F6" w:rsidRPr="00E026F6" w:rsidRDefault="00E026F6" w:rsidP="00E026F6">
          <w:pPr>
            <w:jc w:val="right"/>
            <w:rPr>
              <w:rFonts w:eastAsia="Verdana" w:cs="Verdana"/>
              <w:b/>
              <w:szCs w:val="18"/>
            </w:rPr>
          </w:pPr>
          <w:r w:rsidRPr="00E026F6">
            <w:rPr>
              <w:b/>
              <w:szCs w:val="18"/>
            </w:rPr>
            <w:t>G/</w:t>
          </w:r>
          <w:proofErr w:type="spellStart"/>
          <w:r w:rsidRPr="00E026F6">
            <w:rPr>
              <w:b/>
              <w:szCs w:val="18"/>
            </w:rPr>
            <w:t>SPS</w:t>
          </w:r>
          <w:proofErr w:type="spellEnd"/>
          <w:r w:rsidRPr="00E026F6">
            <w:rPr>
              <w:b/>
              <w:szCs w:val="18"/>
            </w:rPr>
            <w:t>/N/MAR/62</w:t>
          </w:r>
        </w:p>
      </w:tc>
    </w:tr>
    <w:tr w:rsidR="00E026F6" w:rsidRPr="00E026F6" w:rsidTr="00E026F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026F6" w:rsidRPr="00E026F6" w:rsidRDefault="00E026F6" w:rsidP="00E026F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026F6" w:rsidRPr="00E026F6" w:rsidRDefault="00E026F6" w:rsidP="00E026F6">
          <w:pPr>
            <w:jc w:val="right"/>
            <w:rPr>
              <w:rFonts w:eastAsia="Verdana" w:cs="Verdana"/>
              <w:szCs w:val="18"/>
            </w:rPr>
          </w:pPr>
          <w:r w:rsidRPr="00E026F6">
            <w:rPr>
              <w:rFonts w:eastAsia="Verdana" w:cs="Verdana"/>
              <w:szCs w:val="18"/>
            </w:rPr>
            <w:t>12 de abril de 2019</w:t>
          </w:r>
        </w:p>
      </w:tc>
    </w:tr>
    <w:tr w:rsidR="00E026F6" w:rsidRPr="00E026F6" w:rsidTr="00E026F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026F6" w:rsidRPr="00E026F6" w:rsidRDefault="00E026F6" w:rsidP="00E026F6">
          <w:pPr>
            <w:jc w:val="left"/>
            <w:rPr>
              <w:rFonts w:eastAsia="Verdana" w:cs="Verdana"/>
              <w:b/>
              <w:szCs w:val="18"/>
            </w:rPr>
          </w:pPr>
          <w:r w:rsidRPr="00E026F6">
            <w:rPr>
              <w:rFonts w:eastAsia="Verdana" w:cs="Verdana"/>
              <w:color w:val="FF0000"/>
              <w:szCs w:val="18"/>
            </w:rPr>
            <w:t>(19</w:t>
          </w:r>
          <w:r w:rsidRPr="00E026F6">
            <w:rPr>
              <w:rFonts w:eastAsia="Verdana" w:cs="Verdana"/>
              <w:color w:val="FF0000"/>
              <w:szCs w:val="18"/>
            </w:rPr>
            <w:noBreakHyphen/>
          </w:r>
          <w:r w:rsidR="00890DCB">
            <w:rPr>
              <w:rFonts w:eastAsia="Verdana" w:cs="Verdana"/>
              <w:color w:val="FF0000"/>
              <w:szCs w:val="18"/>
            </w:rPr>
            <w:t>2458</w:t>
          </w:r>
          <w:r w:rsidRPr="00E026F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026F6" w:rsidRPr="00E026F6" w:rsidRDefault="00E026F6" w:rsidP="00E026F6">
          <w:pPr>
            <w:jc w:val="right"/>
            <w:rPr>
              <w:rFonts w:eastAsia="Verdana" w:cs="Verdana"/>
              <w:szCs w:val="18"/>
            </w:rPr>
          </w:pPr>
          <w:r w:rsidRPr="00E026F6">
            <w:rPr>
              <w:rFonts w:eastAsia="Verdana" w:cs="Verdana"/>
              <w:szCs w:val="18"/>
            </w:rPr>
            <w:t xml:space="preserve">Página: </w:t>
          </w:r>
          <w:r w:rsidRPr="00E026F6">
            <w:rPr>
              <w:rFonts w:eastAsia="Verdana" w:cs="Verdana"/>
              <w:szCs w:val="18"/>
            </w:rPr>
            <w:fldChar w:fldCharType="begin"/>
          </w:r>
          <w:r w:rsidRPr="00E026F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026F6">
            <w:rPr>
              <w:rFonts w:eastAsia="Verdana" w:cs="Verdana"/>
              <w:szCs w:val="18"/>
            </w:rPr>
            <w:fldChar w:fldCharType="separate"/>
          </w:r>
          <w:r w:rsidRPr="00E026F6">
            <w:rPr>
              <w:rFonts w:eastAsia="Verdana" w:cs="Verdana"/>
              <w:szCs w:val="18"/>
            </w:rPr>
            <w:t>1</w:t>
          </w:r>
          <w:r w:rsidRPr="00E026F6">
            <w:rPr>
              <w:rFonts w:eastAsia="Verdana" w:cs="Verdana"/>
              <w:szCs w:val="18"/>
            </w:rPr>
            <w:fldChar w:fldCharType="end"/>
          </w:r>
          <w:r w:rsidRPr="00E026F6">
            <w:rPr>
              <w:rFonts w:eastAsia="Verdana" w:cs="Verdana"/>
              <w:szCs w:val="18"/>
            </w:rPr>
            <w:t>/</w:t>
          </w:r>
          <w:r w:rsidRPr="00E026F6">
            <w:rPr>
              <w:rFonts w:eastAsia="Verdana" w:cs="Verdana"/>
              <w:szCs w:val="18"/>
            </w:rPr>
            <w:fldChar w:fldCharType="begin"/>
          </w:r>
          <w:r w:rsidRPr="00E026F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026F6">
            <w:rPr>
              <w:rFonts w:eastAsia="Verdana" w:cs="Verdana"/>
              <w:szCs w:val="18"/>
            </w:rPr>
            <w:fldChar w:fldCharType="separate"/>
          </w:r>
          <w:r w:rsidRPr="00E026F6">
            <w:rPr>
              <w:rFonts w:eastAsia="Verdana" w:cs="Verdana"/>
              <w:szCs w:val="18"/>
            </w:rPr>
            <w:t>2</w:t>
          </w:r>
          <w:r w:rsidRPr="00E026F6">
            <w:rPr>
              <w:rFonts w:eastAsia="Verdana" w:cs="Verdana"/>
              <w:szCs w:val="18"/>
            </w:rPr>
            <w:fldChar w:fldCharType="end"/>
          </w:r>
        </w:p>
      </w:tc>
    </w:tr>
    <w:tr w:rsidR="00E026F6" w:rsidRPr="00E026F6" w:rsidTr="00E026F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026F6" w:rsidRPr="00E026F6" w:rsidRDefault="00E026F6" w:rsidP="00E026F6">
          <w:pPr>
            <w:jc w:val="left"/>
            <w:rPr>
              <w:rFonts w:eastAsia="Verdana" w:cs="Verdana"/>
              <w:szCs w:val="18"/>
            </w:rPr>
          </w:pPr>
          <w:r w:rsidRPr="00E026F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026F6" w:rsidRPr="00E026F6" w:rsidRDefault="00E026F6" w:rsidP="00E026F6">
          <w:pPr>
            <w:jc w:val="right"/>
            <w:rPr>
              <w:rFonts w:eastAsia="Verdana" w:cs="Verdana"/>
              <w:bCs/>
              <w:szCs w:val="18"/>
            </w:rPr>
          </w:pPr>
          <w:r w:rsidRPr="00E026F6">
            <w:rPr>
              <w:rFonts w:eastAsia="Verdana" w:cs="Verdana"/>
              <w:bCs/>
              <w:szCs w:val="18"/>
            </w:rPr>
            <w:t>Original: francés</w:t>
          </w:r>
        </w:p>
      </w:tc>
    </w:tr>
    <w:bookmarkEnd w:id="18"/>
    <w:bookmarkEnd w:id="19"/>
  </w:tbl>
  <w:p w:rsidR="00DD65B2" w:rsidRPr="00E026F6" w:rsidRDefault="00DD65B2" w:rsidP="00E026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6A6CA0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102CE8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F3661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97E350E"/>
    <w:numStyleLink w:val="LegalHeadings"/>
  </w:abstractNum>
  <w:abstractNum w:abstractNumId="12" w15:restartNumberingAfterBreak="0">
    <w:nsid w:val="57551E12"/>
    <w:multiLevelType w:val="multilevel"/>
    <w:tmpl w:val="897E35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2F2E18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C01B3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52751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4C4F"/>
    <w:rsid w:val="00696FAD"/>
    <w:rsid w:val="006A2661"/>
    <w:rsid w:val="006A41F1"/>
    <w:rsid w:val="006A4BAD"/>
    <w:rsid w:val="006C02BB"/>
    <w:rsid w:val="006C0E35"/>
    <w:rsid w:val="006E0C67"/>
    <w:rsid w:val="006E5050"/>
    <w:rsid w:val="00701984"/>
    <w:rsid w:val="00727F5B"/>
    <w:rsid w:val="00735ADA"/>
    <w:rsid w:val="00746177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0DCB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A6945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25F29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945F3"/>
    <w:rsid w:val="00DB47DD"/>
    <w:rsid w:val="00DB7CB0"/>
    <w:rsid w:val="00DD1BF7"/>
    <w:rsid w:val="00DD65B2"/>
    <w:rsid w:val="00DE2B06"/>
    <w:rsid w:val="00E026F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FAE80B"/>
  <w15:docId w15:val="{ABD31C72-79F0-44EA-B543-B42867A8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F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026F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026F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026F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026F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026F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026F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026F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026F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026F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026F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E026F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E026F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E026F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E026F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E026F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E026F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E026F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E026F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6F6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026F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026F6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E026F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026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E026F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026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E026F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026F6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Lgende">
    <w:name w:val="caption"/>
    <w:basedOn w:val="Normal"/>
    <w:next w:val="Normal"/>
    <w:uiPriority w:val="6"/>
    <w:qFormat/>
    <w:rsid w:val="00E026F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026F6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E026F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026F6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E026F6"/>
    <w:rPr>
      <w:szCs w:val="20"/>
    </w:rPr>
  </w:style>
  <w:style w:type="character" w:customStyle="1" w:styleId="NotedefinCar">
    <w:name w:val="Note de fin Car"/>
    <w:link w:val="Notedefin"/>
    <w:uiPriority w:val="49"/>
    <w:rsid w:val="00E026F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026F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026F6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E026F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026F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E026F6"/>
    <w:pPr>
      <w:ind w:left="567" w:right="567" w:firstLine="0"/>
    </w:pPr>
  </w:style>
  <w:style w:type="character" w:styleId="Appelnotedebasdep">
    <w:name w:val="footnote reference"/>
    <w:uiPriority w:val="5"/>
    <w:rsid w:val="00E026F6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E026F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026F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E026F6"/>
    <w:pPr>
      <w:numPr>
        <w:numId w:val="6"/>
      </w:numPr>
    </w:pPr>
  </w:style>
  <w:style w:type="paragraph" w:styleId="Listepuces">
    <w:name w:val="List Bullet"/>
    <w:basedOn w:val="Normal"/>
    <w:uiPriority w:val="1"/>
    <w:rsid w:val="00E026F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026F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026F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026F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026F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E026F6"/>
    <w:pPr>
      <w:ind w:left="720"/>
      <w:contextualSpacing/>
    </w:pPr>
  </w:style>
  <w:style w:type="numbering" w:customStyle="1" w:styleId="ListBullets">
    <w:name w:val="ListBullets"/>
    <w:uiPriority w:val="99"/>
    <w:rsid w:val="00E026F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026F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026F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026F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026F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026F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026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026F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E026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026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E026F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026F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E026F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026F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026F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026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026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026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026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026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026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026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026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026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026F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E026F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026F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E026F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026F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026F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E026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E026F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026F6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026F6"/>
  </w:style>
  <w:style w:type="paragraph" w:styleId="Normalcentr">
    <w:name w:val="Block Text"/>
    <w:basedOn w:val="Normal"/>
    <w:uiPriority w:val="99"/>
    <w:semiHidden/>
    <w:unhideWhenUsed/>
    <w:rsid w:val="00E026F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026F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026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026F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026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026F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026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026F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026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026F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026F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E026F6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026F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026F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026F6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E026F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026F6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02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026F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026F6"/>
  </w:style>
  <w:style w:type="character" w:customStyle="1" w:styleId="DateCar">
    <w:name w:val="Date Car"/>
    <w:basedOn w:val="Policepardfaut"/>
    <w:link w:val="Date"/>
    <w:uiPriority w:val="99"/>
    <w:semiHidden/>
    <w:rsid w:val="00E026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026F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026F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026F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026F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E026F6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E026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026F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026F6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E026F6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026F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026F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E026F6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E026F6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E026F6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E026F6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026F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026F6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E026F6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E026F6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E026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026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026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026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026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026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026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026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026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026F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026F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026F6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026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026F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E026F6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E026F6"/>
    <w:rPr>
      <w:lang w:val="es-ES"/>
    </w:rPr>
  </w:style>
  <w:style w:type="paragraph" w:styleId="Liste">
    <w:name w:val="List"/>
    <w:basedOn w:val="Normal"/>
    <w:uiPriority w:val="99"/>
    <w:semiHidden/>
    <w:unhideWhenUsed/>
    <w:rsid w:val="00E026F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026F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026F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026F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026F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026F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026F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026F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026F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026F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026F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026F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026F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026F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026F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026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026F6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026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026F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E026F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26F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026F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026F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026F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E026F6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E026F6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E026F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026F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026F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026F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026F6"/>
  </w:style>
  <w:style w:type="character" w:customStyle="1" w:styleId="SalutationsCar">
    <w:name w:val="Salutations Car"/>
    <w:basedOn w:val="Policepardfaut"/>
    <w:link w:val="Salutations"/>
    <w:uiPriority w:val="99"/>
    <w:semiHidden/>
    <w:rsid w:val="00E026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026F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026F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E026F6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E026F6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E026F6"/>
    <w:rPr>
      <w:smallCaps/>
      <w:color w:val="C0504D" w:themeColor="accent2"/>
      <w:u w:val="single"/>
      <w:lang w:val="es-ES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026F6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A69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A69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A694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A694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A694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A694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A694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A69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A694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A694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A694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A694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A694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A694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A69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A69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A694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A694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A694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A69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A69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A69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A69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A694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A694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A694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A69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A69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A69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A69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A69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A69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A69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A69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A69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A694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A694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A694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A69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A694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A694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A694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A694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A694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A694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A69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A694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A694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A694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A6945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AA69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A69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A69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A69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A69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A69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A69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A694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A694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A694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A694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A694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A694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A694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A694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A694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A694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A694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A694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A694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A694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A69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A69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A694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A694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A694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A69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A694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A694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A694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A694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A694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A694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A694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A694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A694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A694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A694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A694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A694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A694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A694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A694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A694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A694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A694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A694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A694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A694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A6945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AA694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A69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A69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A69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A69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A6945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AA69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A694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MAR/19_2169_00_f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FC04-5D11-4646-92AA-37385C01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Armando, Alejandro</dc:creator>
  <dc:description>LDIMD - DTU</dc:description>
  <cp:lastModifiedBy>Laverriere, Chantal</cp:lastModifiedBy>
  <cp:revision>3</cp:revision>
  <dcterms:created xsi:type="dcterms:W3CDTF">2019-04-18T11:21:00Z</dcterms:created>
  <dcterms:modified xsi:type="dcterms:W3CDTF">2019-04-23T07:53:00Z</dcterms:modified>
</cp:coreProperties>
</file>