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857D" w14:textId="7178FC56" w:rsidR="00EA4725" w:rsidRPr="002A1DDC" w:rsidRDefault="002A1DDC" w:rsidP="002A1DDC">
      <w:pPr>
        <w:pStyle w:val="Title"/>
        <w:rPr>
          <w:caps w:val="0"/>
          <w:kern w:val="0"/>
        </w:rPr>
      </w:pPr>
      <w:bookmarkStart w:id="0" w:name="_GoBack"/>
      <w:bookmarkEnd w:id="0"/>
      <w:r w:rsidRPr="002A1DD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A1DDC" w:rsidRPr="002A1DDC" w14:paraId="3413FEFB" w14:textId="77777777" w:rsidTr="002A1DD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16BFF6D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732CB79" w14:textId="4D3E69AF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Miembro que notifica</w:t>
            </w:r>
            <w:r w:rsidR="002A1DDC" w:rsidRPr="002A1DDC">
              <w:rPr>
                <w:b/>
              </w:rPr>
              <w:t xml:space="preserve">: </w:t>
            </w:r>
            <w:r w:rsidR="002A1DDC" w:rsidRPr="002A1DDC">
              <w:rPr>
                <w:u w:val="single"/>
              </w:rPr>
              <w:t>R</w:t>
            </w:r>
            <w:r w:rsidRPr="002A1DDC">
              <w:rPr>
                <w:u w:val="single"/>
              </w:rPr>
              <w:t>EINO DE LA ARABIA SAUDITA</w:t>
            </w:r>
          </w:p>
          <w:p w14:paraId="12B49064" w14:textId="263F1B52" w:rsidR="00EA4725" w:rsidRPr="002A1DDC" w:rsidRDefault="007F2DE6" w:rsidP="002A1DDC">
            <w:pPr>
              <w:spacing w:after="120"/>
            </w:pPr>
            <w:r w:rsidRPr="002A1DDC">
              <w:rPr>
                <w:b/>
                <w:bCs/>
              </w:rPr>
              <w:t>Si procede, nombre del gobierno local de que se trate:</w:t>
            </w:r>
          </w:p>
        </w:tc>
      </w:tr>
      <w:tr w:rsidR="002A1DDC" w:rsidRPr="002A1DDC" w14:paraId="54ECB88B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9B4ED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EEED2" w14:textId="76588AA5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Organismo responsable</w:t>
            </w:r>
            <w:r w:rsidR="002A1DDC" w:rsidRPr="002A1DDC">
              <w:rPr>
                <w:b/>
              </w:rPr>
              <w:t xml:space="preserve">: </w:t>
            </w:r>
            <w:proofErr w:type="spellStart"/>
            <w:r w:rsidR="002A1DDC" w:rsidRPr="002A1DDC">
              <w:rPr>
                <w:i/>
                <w:iCs/>
              </w:rPr>
              <w:t>S</w:t>
            </w:r>
            <w:r w:rsidRPr="002A1DDC">
              <w:rPr>
                <w:i/>
                <w:iCs/>
              </w:rPr>
              <w:t>audi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Food</w:t>
            </w:r>
            <w:proofErr w:type="spellEnd"/>
            <w:r w:rsidRPr="002A1DDC">
              <w:rPr>
                <w:i/>
                <w:iCs/>
              </w:rPr>
              <w:t xml:space="preserve"> and </w:t>
            </w:r>
            <w:proofErr w:type="spellStart"/>
            <w:r w:rsidRPr="002A1DDC">
              <w:rPr>
                <w:i/>
                <w:iCs/>
              </w:rPr>
              <w:t>Drug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Authority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r w:rsidRPr="002A1DDC">
              <w:t>(SFDA) (Organismo de Productos Alimenticios y Farmacéuticos de la Arabia Saudita)</w:t>
            </w:r>
          </w:p>
        </w:tc>
      </w:tr>
      <w:tr w:rsidR="002A1DDC" w:rsidRPr="002A1DDC" w14:paraId="4C58C212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08690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70287" w14:textId="256B331C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Productos abarcados (número de la(s) partida(s) arancelaria(s) según se especifica en las listas nacionales depositadas en la OMC</w:t>
            </w:r>
            <w:r w:rsidR="002A1DDC" w:rsidRPr="002A1DDC">
              <w:rPr>
                <w:b/>
              </w:rPr>
              <w:t>; d</w:t>
            </w:r>
            <w:r w:rsidRPr="002A1DDC">
              <w:rPr>
                <w:b/>
              </w:rPr>
              <w:t xml:space="preserve">eberá </w:t>
            </w:r>
            <w:proofErr w:type="gramStart"/>
            <w:r w:rsidRPr="002A1DDC">
              <w:rPr>
                <w:b/>
              </w:rPr>
              <w:t>indicarse</w:t>
            </w:r>
            <w:proofErr w:type="gramEnd"/>
            <w:r w:rsidRPr="002A1DDC">
              <w:rPr>
                <w:b/>
              </w:rPr>
              <w:t xml:space="preserve"> además, cuando proceda, el número de partida de la ICS)</w:t>
            </w:r>
            <w:r w:rsidR="002A1DDC" w:rsidRPr="002A1DDC">
              <w:rPr>
                <w:b/>
              </w:rPr>
              <w:t xml:space="preserve">: </w:t>
            </w:r>
            <w:r w:rsidR="002A1DDC" w:rsidRPr="002A1DDC">
              <w:t>p</w:t>
            </w:r>
            <w:r w:rsidRPr="002A1DDC">
              <w:t>roductos alimenticios en general.</w:t>
            </w:r>
          </w:p>
        </w:tc>
      </w:tr>
      <w:tr w:rsidR="002A1DDC" w:rsidRPr="002A1DDC" w14:paraId="66D1A319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9FBE4" w14:textId="77777777" w:rsidR="00EA4725" w:rsidRPr="002A1DDC" w:rsidRDefault="007F2DE6" w:rsidP="002A1DDC">
            <w:pPr>
              <w:spacing w:before="120" w:after="120"/>
              <w:jc w:val="left"/>
              <w:rPr>
                <w:b/>
              </w:rPr>
            </w:pPr>
            <w:r w:rsidRPr="002A1DD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11B03" w14:textId="77777777" w:rsidR="00EA4725" w:rsidRPr="002A1DDC" w:rsidRDefault="007F2DE6" w:rsidP="002A1DDC">
            <w:pPr>
              <w:spacing w:before="120" w:after="120"/>
              <w:rPr>
                <w:b/>
                <w:bCs/>
              </w:rPr>
            </w:pPr>
            <w:r w:rsidRPr="002A1DDC">
              <w:rPr>
                <w:b/>
              </w:rPr>
              <w:t>Regiones o países que podrían verse afectados, en la medida en que sea procedente o factible:</w:t>
            </w:r>
          </w:p>
          <w:p w14:paraId="2D180034" w14:textId="77777777" w:rsidR="007C4925" w:rsidRPr="002A1DDC" w:rsidRDefault="007F2DE6" w:rsidP="002A1DDC">
            <w:pPr>
              <w:spacing w:after="120"/>
              <w:ind w:left="607" w:hanging="607"/>
              <w:rPr>
                <w:b/>
              </w:rPr>
            </w:pPr>
            <w:r w:rsidRPr="002A1DDC">
              <w:rPr>
                <w:b/>
              </w:rPr>
              <w:t>[X]</w:t>
            </w:r>
            <w:r w:rsidRPr="002A1DDC">
              <w:rPr>
                <w:b/>
              </w:rPr>
              <w:tab/>
              <w:t>Todos los interlocutores comerciales</w:t>
            </w:r>
          </w:p>
          <w:p w14:paraId="3FE2472F" w14:textId="61ACB083" w:rsidR="00EA4725" w:rsidRPr="002A1DDC" w:rsidRDefault="002A1DDC" w:rsidP="002A1DD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A1DDC">
              <w:rPr>
                <w:b/>
                <w:bCs/>
              </w:rPr>
              <w:t>[ ]</w:t>
            </w:r>
            <w:proofErr w:type="gramEnd"/>
            <w:r w:rsidR="007C4925" w:rsidRPr="002A1DDC">
              <w:rPr>
                <w:b/>
                <w:bCs/>
              </w:rPr>
              <w:tab/>
              <w:t>Regiones o países específicos:</w:t>
            </w:r>
          </w:p>
        </w:tc>
      </w:tr>
      <w:tr w:rsidR="002A1DDC" w:rsidRPr="002A1DDC" w14:paraId="641C36A3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AEBCC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4B24D" w14:textId="48363B2C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Título del documento notificado</w:t>
            </w:r>
            <w:r w:rsidR="002A1DDC" w:rsidRPr="002A1DDC">
              <w:rPr>
                <w:b/>
              </w:rPr>
              <w:t xml:space="preserve">: </w:t>
            </w:r>
            <w:proofErr w:type="spellStart"/>
            <w:r w:rsidR="002A1DDC" w:rsidRPr="002A1DDC">
              <w:rPr>
                <w:i/>
                <w:iCs/>
              </w:rPr>
              <w:t>T</w:t>
            </w:r>
            <w:r w:rsidRPr="002A1DDC">
              <w:rPr>
                <w:i/>
                <w:iCs/>
              </w:rPr>
              <w:t>he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Kingdom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of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Saudi</w:t>
            </w:r>
            <w:proofErr w:type="spellEnd"/>
            <w:r w:rsidRPr="002A1DDC">
              <w:rPr>
                <w:i/>
                <w:iCs/>
              </w:rPr>
              <w:t xml:space="preserve"> Arabia/ </w:t>
            </w:r>
            <w:proofErr w:type="spellStart"/>
            <w:r w:rsidRPr="002A1DDC">
              <w:rPr>
                <w:i/>
                <w:iCs/>
              </w:rPr>
              <w:t>Expiration</w:t>
            </w:r>
            <w:proofErr w:type="spellEnd"/>
            <w:r w:rsidRPr="002A1DDC">
              <w:rPr>
                <w:i/>
                <w:iCs/>
              </w:rPr>
              <w:t xml:space="preserve"> dates </w:t>
            </w:r>
            <w:proofErr w:type="spellStart"/>
            <w:r w:rsidRPr="002A1DDC">
              <w:rPr>
                <w:i/>
                <w:iCs/>
              </w:rPr>
              <w:t>for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food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products</w:t>
            </w:r>
            <w:proofErr w:type="spellEnd"/>
            <w:r w:rsidRPr="002A1DDC">
              <w:rPr>
                <w:i/>
                <w:iCs/>
              </w:rPr>
              <w:t xml:space="preserve"> - </w:t>
            </w:r>
            <w:proofErr w:type="spellStart"/>
            <w:r w:rsidRPr="002A1DDC">
              <w:rPr>
                <w:i/>
                <w:iCs/>
              </w:rPr>
              <w:t>Part</w:t>
            </w:r>
            <w:proofErr w:type="spellEnd"/>
            <w:r w:rsidRPr="002A1DDC">
              <w:rPr>
                <w:i/>
                <w:iCs/>
              </w:rPr>
              <w:t xml:space="preserve"> 1</w:t>
            </w:r>
            <w:r w:rsidR="002A1DDC" w:rsidRPr="002A1DDC">
              <w:rPr>
                <w:i/>
                <w:iCs/>
              </w:rPr>
              <w:t xml:space="preserve">: </w:t>
            </w:r>
            <w:proofErr w:type="spellStart"/>
            <w:r w:rsidR="002A1DDC" w:rsidRPr="002A1DDC">
              <w:rPr>
                <w:i/>
                <w:iCs/>
              </w:rPr>
              <w:t>M</w:t>
            </w:r>
            <w:r w:rsidRPr="002A1DDC">
              <w:rPr>
                <w:i/>
                <w:iCs/>
              </w:rPr>
              <w:t>andatory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expiration</w:t>
            </w:r>
            <w:proofErr w:type="spellEnd"/>
            <w:r w:rsidRPr="002A1DDC">
              <w:rPr>
                <w:i/>
                <w:iCs/>
              </w:rPr>
              <w:t xml:space="preserve"> dates</w:t>
            </w:r>
            <w:r w:rsidRPr="002A1DDC">
              <w:t xml:space="preserve"> (Reino de la Arabia Saudita / Fechas de caducidad de productos alimenticios</w:t>
            </w:r>
            <w:r w:rsidR="002A1DDC" w:rsidRPr="002A1DDC">
              <w:t>. P</w:t>
            </w:r>
            <w:r w:rsidRPr="002A1DDC">
              <w:t>arte</w:t>
            </w:r>
            <w:r w:rsidR="002A1DDC" w:rsidRPr="002A1DDC">
              <w:t xml:space="preserve"> </w:t>
            </w:r>
            <w:r w:rsidRPr="002A1DDC">
              <w:t>1</w:t>
            </w:r>
            <w:r w:rsidR="002A1DDC" w:rsidRPr="002A1DDC">
              <w:t>: T</w:t>
            </w:r>
            <w:r w:rsidRPr="002A1DDC">
              <w:t>iempo de caducidad obligatorio)</w:t>
            </w:r>
            <w:r w:rsidR="002A1DDC" w:rsidRPr="002A1DDC">
              <w:t xml:space="preserve">. </w:t>
            </w:r>
            <w:r w:rsidR="002A1DDC" w:rsidRPr="002A1DDC">
              <w:rPr>
                <w:b/>
              </w:rPr>
              <w:t>I</w:t>
            </w:r>
            <w:r w:rsidRPr="002A1DDC">
              <w:rPr>
                <w:b/>
              </w:rPr>
              <w:t>dioma(s)</w:t>
            </w:r>
            <w:r w:rsidR="002A1DDC" w:rsidRPr="002A1DDC">
              <w:rPr>
                <w:b/>
              </w:rPr>
              <w:t xml:space="preserve">: </w:t>
            </w:r>
            <w:r w:rsidR="002A1DDC" w:rsidRPr="002A1DDC">
              <w:t>á</w:t>
            </w:r>
            <w:r w:rsidRPr="002A1DDC">
              <w:t>rabe</w:t>
            </w:r>
            <w:r w:rsidR="002A1DDC" w:rsidRPr="002A1DDC">
              <w:t xml:space="preserve">. </w:t>
            </w:r>
            <w:r w:rsidR="002A1DDC" w:rsidRPr="002A1DDC">
              <w:rPr>
                <w:b/>
              </w:rPr>
              <w:t>N</w:t>
            </w:r>
            <w:r w:rsidRPr="002A1DDC">
              <w:rPr>
                <w:b/>
              </w:rPr>
              <w:t>úmero de páginas</w:t>
            </w:r>
            <w:r w:rsidR="002A1DDC" w:rsidRPr="002A1DDC">
              <w:rPr>
                <w:b/>
              </w:rPr>
              <w:t xml:space="preserve">: </w:t>
            </w:r>
            <w:r w:rsidR="002A1DDC" w:rsidRPr="002A1DDC">
              <w:t>1</w:t>
            </w:r>
            <w:r w:rsidRPr="002A1DDC">
              <w:t>1.</w:t>
            </w:r>
          </w:p>
          <w:p w14:paraId="6B98E87F" w14:textId="14073DEA" w:rsidR="00EA4725" w:rsidRPr="002A1DDC" w:rsidRDefault="001B6B3C" w:rsidP="002A1DDC">
            <w:pPr>
              <w:spacing w:after="120"/>
              <w:rPr>
                <w:rStyle w:val="Hyperlink"/>
              </w:rPr>
            </w:pPr>
            <w:hyperlink r:id="rId8" w:tgtFrame="_blank" w:history="1">
              <w:r w:rsidR="002A1DDC" w:rsidRPr="002A1DDC">
                <w:rPr>
                  <w:rStyle w:val="Hyperlink"/>
                </w:rPr>
                <w:t>https://members.wto.org/crnattachments/2020/SPS/SAU/20_5677_00_x.pdf</w:t>
              </w:r>
            </w:hyperlink>
          </w:p>
        </w:tc>
      </w:tr>
      <w:tr w:rsidR="002A1DDC" w:rsidRPr="002A1DDC" w14:paraId="49F44FC0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8F7A3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0FBB0" w14:textId="5F76EC21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Descripción del contenido</w:t>
            </w:r>
            <w:r w:rsidR="002A1DDC" w:rsidRPr="002A1DDC">
              <w:rPr>
                <w:b/>
              </w:rPr>
              <w:t xml:space="preserve">: </w:t>
            </w:r>
            <w:r w:rsidR="002A1DDC" w:rsidRPr="002A1DDC">
              <w:t>E</w:t>
            </w:r>
            <w:r w:rsidRPr="002A1DDC">
              <w:t>l Proyecto de Reglamento Técnico notificado se refiere al tiempo máximo de conservación permitido para los productos alimenticios que pueden estropearse con un envasado adecuado y en condiciones específicas de almacenamiento</w:t>
            </w:r>
            <w:r w:rsidR="002A1DDC" w:rsidRPr="002A1DDC">
              <w:t>. T</w:t>
            </w:r>
            <w:r w:rsidRPr="002A1DDC">
              <w:t>ambién establece los requisitos más importantes para la inclusión del tiempo de conservación en el etiquetado de todos los productos alimenticios.</w:t>
            </w:r>
          </w:p>
        </w:tc>
      </w:tr>
      <w:tr w:rsidR="002A1DDC" w:rsidRPr="002A1DDC" w14:paraId="1C431BC4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45729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094A4" w14:textId="212738E4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Objetivo y razón de ser</w:t>
            </w:r>
            <w:r w:rsidR="002A1DDC" w:rsidRPr="002A1DDC">
              <w:rPr>
                <w:b/>
              </w:rPr>
              <w:t>: [</w:t>
            </w:r>
            <w:r w:rsidRPr="002A1DDC">
              <w:rPr>
                <w:b/>
              </w:rPr>
              <w:t xml:space="preserve">X] inocuidad de los alimentos, </w:t>
            </w:r>
            <w:proofErr w:type="gramStart"/>
            <w:r w:rsidR="002A1DDC" w:rsidRPr="002A1DDC">
              <w:rPr>
                <w:b/>
              </w:rPr>
              <w:t>[ ]</w:t>
            </w:r>
            <w:proofErr w:type="gramEnd"/>
            <w:r w:rsidRPr="002A1DDC">
              <w:rPr>
                <w:b/>
              </w:rPr>
              <w:t xml:space="preserve"> sanidad animal, </w:t>
            </w:r>
            <w:r w:rsidR="002A1DDC" w:rsidRPr="002A1DDC">
              <w:rPr>
                <w:b/>
              </w:rPr>
              <w:t>[</w:t>
            </w:r>
            <w:r w:rsidR="00051177">
              <w:rPr>
                <w:b/>
              </w:rPr>
              <w:t> </w:t>
            </w:r>
            <w:r w:rsidR="002A1DDC" w:rsidRPr="002A1DDC">
              <w:rPr>
                <w:b/>
              </w:rPr>
              <w:t>]</w:t>
            </w:r>
            <w:r w:rsidR="00051177">
              <w:rPr>
                <w:b/>
              </w:rPr>
              <w:t> </w:t>
            </w:r>
            <w:r w:rsidRPr="002A1DDC">
              <w:rPr>
                <w:b/>
              </w:rPr>
              <w:t xml:space="preserve">preservación de los vegetales, </w:t>
            </w:r>
            <w:r w:rsidR="002A1DDC" w:rsidRPr="002A1DDC">
              <w:rPr>
                <w:b/>
              </w:rPr>
              <w:t>[ ]</w:t>
            </w:r>
            <w:r w:rsidRPr="002A1DDC">
              <w:rPr>
                <w:b/>
              </w:rPr>
              <w:t xml:space="preserve"> protección de la salud humana contra las enfermedades o plagas animales o vegetales, </w:t>
            </w:r>
            <w:r w:rsidR="002A1DDC" w:rsidRPr="002A1DDC">
              <w:rPr>
                <w:b/>
              </w:rPr>
              <w:t>[ ]</w:t>
            </w:r>
            <w:r w:rsidRPr="002A1DDC">
              <w:rPr>
                <w:b/>
              </w:rPr>
              <w:t xml:space="preserve"> protección del territorio contra otros daños causados por plagas.</w:t>
            </w:r>
          </w:p>
        </w:tc>
      </w:tr>
      <w:tr w:rsidR="002A1DDC" w:rsidRPr="002A1DDC" w14:paraId="4FABA5F3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CECEB" w14:textId="77777777" w:rsidR="00EA4725" w:rsidRPr="002A1DDC" w:rsidRDefault="007F2DE6" w:rsidP="00162A0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A1DDC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9CE7D" w14:textId="6FF753F0" w:rsidR="00EA4725" w:rsidRPr="002A1DDC" w:rsidRDefault="007F2DE6" w:rsidP="00162A0C">
            <w:pPr>
              <w:keepNext/>
              <w:keepLines/>
              <w:spacing w:before="120" w:after="120"/>
            </w:pPr>
            <w:r w:rsidRPr="002A1DDC">
              <w:rPr>
                <w:b/>
              </w:rPr>
              <w:t>¿Existe una norma internacional pertinente</w:t>
            </w:r>
            <w:r w:rsidR="002A1DDC" w:rsidRPr="002A1DDC">
              <w:rPr>
                <w:b/>
              </w:rPr>
              <w:t>? D</w:t>
            </w:r>
            <w:r w:rsidRPr="002A1DDC">
              <w:rPr>
                <w:b/>
              </w:rPr>
              <w:t>e ser así, indíquese la norma:</w:t>
            </w:r>
          </w:p>
          <w:p w14:paraId="68234017" w14:textId="308C4615" w:rsidR="00EA4725" w:rsidRPr="002A1DDC" w:rsidRDefault="007F2DE6" w:rsidP="00162A0C">
            <w:pPr>
              <w:keepNext/>
              <w:keepLines/>
              <w:spacing w:after="120"/>
              <w:ind w:left="720" w:hanging="720"/>
            </w:pPr>
            <w:r w:rsidRPr="002A1DDC">
              <w:rPr>
                <w:b/>
                <w:bCs/>
              </w:rPr>
              <w:t>[X]</w:t>
            </w:r>
            <w:r w:rsidRPr="002A1DD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2A1DDC">
              <w:rPr>
                <w:b/>
                <w:bCs/>
              </w:rPr>
              <w:t>Alimentarius</w:t>
            </w:r>
            <w:proofErr w:type="spellEnd"/>
            <w:r w:rsidRPr="002A1DDC">
              <w:rPr>
                <w:b/>
                <w:bCs/>
              </w:rPr>
              <w:t xml:space="preserve"> </w:t>
            </w:r>
            <w:r w:rsidRPr="002A1DD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A1DDC" w:rsidRPr="002A1DDC">
              <w:rPr>
                <w:b/>
                <w:bCs/>
              </w:rPr>
              <w:t xml:space="preserve">: </w:t>
            </w:r>
            <w:r w:rsidR="002A1DDC" w:rsidRPr="002A1DDC">
              <w:t>CXS 1</w:t>
            </w:r>
            <w:r w:rsidRPr="002A1DDC">
              <w:t>, Norma general para el etiquetado de los alimentos preenvasados.</w:t>
            </w:r>
          </w:p>
          <w:p w14:paraId="2752DDDF" w14:textId="352102B8" w:rsidR="007C4925" w:rsidRPr="002A1DDC" w:rsidRDefault="002A1DDC" w:rsidP="00162A0C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2A1DDC">
              <w:rPr>
                <w:b/>
                <w:bCs/>
              </w:rPr>
              <w:t>[ ]</w:t>
            </w:r>
            <w:proofErr w:type="gramEnd"/>
            <w:r w:rsidR="007C4925" w:rsidRPr="002A1DDC">
              <w:rPr>
                <w:b/>
                <w:bCs/>
              </w:rPr>
              <w:tab/>
              <w:t xml:space="preserve">de la Organización Mundial de Sanidad Animal (OIE) </w:t>
            </w:r>
            <w:r w:rsidR="007C4925" w:rsidRPr="002A1DD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C4925" w:rsidRPr="002A1DDC">
              <w:rPr>
                <w:b/>
                <w:bCs/>
              </w:rPr>
              <w:t>:</w:t>
            </w:r>
          </w:p>
          <w:p w14:paraId="0404D0D3" w14:textId="0A153257" w:rsidR="007C4925" w:rsidRPr="002A1DDC" w:rsidRDefault="002A1DDC" w:rsidP="00162A0C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2A1DDC">
              <w:rPr>
                <w:b/>
                <w:bCs/>
              </w:rPr>
              <w:t>[ ]</w:t>
            </w:r>
            <w:proofErr w:type="gramEnd"/>
            <w:r w:rsidR="007C4925" w:rsidRPr="002A1DDC">
              <w:rPr>
                <w:b/>
                <w:bCs/>
              </w:rPr>
              <w:tab/>
              <w:t xml:space="preserve">de la Convención Internacional de Protección Fitosanitaria </w:t>
            </w:r>
            <w:r w:rsidR="007C4925" w:rsidRPr="002A1DDC">
              <w:rPr>
                <w:b/>
                <w:bCs/>
                <w:i/>
                <w:iCs/>
              </w:rPr>
              <w:t>(por ejemplo, número de NIMF)</w:t>
            </w:r>
            <w:r w:rsidR="007C4925" w:rsidRPr="002A1DDC">
              <w:rPr>
                <w:b/>
                <w:bCs/>
              </w:rPr>
              <w:t>:</w:t>
            </w:r>
          </w:p>
          <w:p w14:paraId="04B3DF10" w14:textId="2308EDAF" w:rsidR="00EA4725" w:rsidRPr="002A1DDC" w:rsidRDefault="002A1DDC" w:rsidP="00162A0C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2A1DDC">
              <w:rPr>
                <w:b/>
              </w:rPr>
              <w:t>[ ]</w:t>
            </w:r>
            <w:proofErr w:type="gramEnd"/>
            <w:r w:rsidR="007C4925" w:rsidRPr="002A1DDC">
              <w:rPr>
                <w:b/>
              </w:rPr>
              <w:tab/>
              <w:t>Ninguna</w:t>
            </w:r>
          </w:p>
          <w:p w14:paraId="59E35C83" w14:textId="77777777" w:rsidR="007C4925" w:rsidRPr="002A1DDC" w:rsidRDefault="007F2DE6" w:rsidP="00162A0C">
            <w:pPr>
              <w:keepNext/>
              <w:keepLines/>
              <w:spacing w:after="120"/>
              <w:rPr>
                <w:b/>
              </w:rPr>
            </w:pPr>
            <w:r w:rsidRPr="002A1DDC">
              <w:rPr>
                <w:b/>
              </w:rPr>
              <w:t>¿Se ajusta la reglamentación que se propone a la norma internacional pertinente?</w:t>
            </w:r>
          </w:p>
          <w:p w14:paraId="0852B526" w14:textId="2DE5952B" w:rsidR="00EA4725" w:rsidRPr="002A1DDC" w:rsidRDefault="007F2DE6" w:rsidP="00162A0C">
            <w:pPr>
              <w:keepNext/>
              <w:keepLines/>
              <w:spacing w:after="120"/>
              <w:rPr>
                <w:b/>
              </w:rPr>
            </w:pPr>
            <w:r w:rsidRPr="002A1DDC">
              <w:rPr>
                <w:b/>
              </w:rPr>
              <w:t>[X] S</w:t>
            </w:r>
            <w:r w:rsidR="002A1DDC" w:rsidRPr="002A1DDC">
              <w:rPr>
                <w:b/>
              </w:rPr>
              <w:t xml:space="preserve">í </w:t>
            </w:r>
            <w:proofErr w:type="gramStart"/>
            <w:r w:rsidR="002A1DDC" w:rsidRPr="002A1DDC">
              <w:rPr>
                <w:b/>
              </w:rPr>
              <w:t>[ ]</w:t>
            </w:r>
            <w:proofErr w:type="gramEnd"/>
            <w:r w:rsidRPr="002A1DDC">
              <w:rPr>
                <w:b/>
              </w:rPr>
              <w:t xml:space="preserve"> No</w:t>
            </w:r>
          </w:p>
          <w:p w14:paraId="67FC2887" w14:textId="452C2453" w:rsidR="00EA4725" w:rsidRPr="002A1DDC" w:rsidRDefault="007F2DE6" w:rsidP="00162A0C">
            <w:pPr>
              <w:keepNext/>
              <w:keepLines/>
              <w:spacing w:after="120"/>
            </w:pPr>
            <w:r w:rsidRPr="002A1DDC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2A1DDC" w:rsidRPr="002A1DDC" w14:paraId="6C6FC48C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A2C21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BA117" w14:textId="74556ED9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Otros documentos pertinentes e idioma(s) en que están disponibles:</w:t>
            </w:r>
          </w:p>
        </w:tc>
      </w:tr>
      <w:tr w:rsidR="002A1DDC" w:rsidRPr="002A1DDC" w14:paraId="75D685A3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41CDB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3C9E9" w14:textId="565F38F9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  <w:bCs/>
              </w:rPr>
              <w:t xml:space="preserve">Fecha propuesta de adopción </w:t>
            </w:r>
            <w:r w:rsidRPr="002A1DDC">
              <w:rPr>
                <w:b/>
                <w:bCs/>
                <w:i/>
                <w:iCs/>
              </w:rPr>
              <w:t>(día/mes/año)</w:t>
            </w:r>
            <w:r w:rsidR="002A1DDC" w:rsidRPr="002A1DDC">
              <w:rPr>
                <w:b/>
                <w:bCs/>
              </w:rPr>
              <w:t xml:space="preserve">: </w:t>
            </w:r>
            <w:r w:rsidR="002A1DDC" w:rsidRPr="002A1DDC">
              <w:t>6</w:t>
            </w:r>
            <w:r w:rsidRPr="002A1DDC">
              <w:t>0 días a partir de la fecha de publicación</w:t>
            </w:r>
          </w:p>
          <w:p w14:paraId="2945CD02" w14:textId="4C700ECA" w:rsidR="00EA4725" w:rsidRPr="002A1DDC" w:rsidRDefault="007F2DE6" w:rsidP="002A1DDC">
            <w:pPr>
              <w:spacing w:after="120"/>
            </w:pPr>
            <w:r w:rsidRPr="002A1DDC">
              <w:rPr>
                <w:b/>
                <w:bCs/>
              </w:rPr>
              <w:t xml:space="preserve">Fecha propuesta de publicación </w:t>
            </w:r>
            <w:r w:rsidRPr="002A1DDC">
              <w:rPr>
                <w:b/>
                <w:bCs/>
                <w:i/>
                <w:iCs/>
              </w:rPr>
              <w:t>(día/mes/año)</w:t>
            </w:r>
            <w:r w:rsidR="002A1DDC" w:rsidRPr="002A1DDC">
              <w:rPr>
                <w:b/>
                <w:bCs/>
              </w:rPr>
              <w:t xml:space="preserve">: </w:t>
            </w:r>
            <w:r w:rsidR="002A1DDC" w:rsidRPr="002A1DDC">
              <w:t>N</w:t>
            </w:r>
            <w:r w:rsidRPr="002A1DDC">
              <w:t>o se ha determinado.</w:t>
            </w:r>
          </w:p>
        </w:tc>
      </w:tr>
      <w:tr w:rsidR="002A1DDC" w:rsidRPr="002A1DDC" w14:paraId="0BFCD568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1BC18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C201B" w14:textId="279113B9" w:rsidR="007C49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Fecha propuesta de entrada en vigor</w:t>
            </w:r>
            <w:r w:rsidR="002A1DDC" w:rsidRPr="002A1DDC">
              <w:rPr>
                <w:b/>
              </w:rPr>
              <w:t>: [</w:t>
            </w:r>
            <w:r w:rsidRPr="002A1DDC">
              <w:rPr>
                <w:b/>
              </w:rPr>
              <w:t>X] Seis meses a partir de la fecha de publicación</w:t>
            </w:r>
            <w:r w:rsidRPr="002A1DDC">
              <w:t xml:space="preserve">, </w:t>
            </w:r>
            <w:r w:rsidRPr="002A1DDC">
              <w:rPr>
                <w:b/>
              </w:rPr>
              <w:t>y/o</w:t>
            </w:r>
            <w:r w:rsidRPr="002A1DDC">
              <w:t xml:space="preserve"> </w:t>
            </w:r>
            <w:r w:rsidRPr="002A1DDC">
              <w:rPr>
                <w:b/>
                <w:i/>
              </w:rPr>
              <w:t>(día/mes/año)</w:t>
            </w:r>
            <w:r w:rsidRPr="002A1DDC">
              <w:rPr>
                <w:b/>
              </w:rPr>
              <w:t>:</w:t>
            </w:r>
          </w:p>
          <w:p w14:paraId="2B663B47" w14:textId="7FDC4FAD" w:rsidR="00EA4725" w:rsidRPr="002A1DDC" w:rsidRDefault="002A1DDC" w:rsidP="002A1DD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A1DDC">
              <w:rPr>
                <w:b/>
              </w:rPr>
              <w:t>[ ]</w:t>
            </w:r>
            <w:proofErr w:type="gramEnd"/>
            <w:r w:rsidR="007C4925" w:rsidRPr="002A1DDC">
              <w:rPr>
                <w:b/>
              </w:rPr>
              <w:tab/>
              <w:t>Medida de facilitación del comercio</w:t>
            </w:r>
          </w:p>
        </w:tc>
      </w:tr>
      <w:tr w:rsidR="002A1DDC" w:rsidRPr="001B6B3C" w14:paraId="7D10044C" w14:textId="77777777" w:rsidTr="002A1D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3BC9C" w14:textId="77777777" w:rsidR="00EA4725" w:rsidRPr="002A1DDC" w:rsidRDefault="007F2DE6" w:rsidP="002A1DDC">
            <w:pPr>
              <w:spacing w:before="120" w:after="120"/>
              <w:jc w:val="left"/>
            </w:pPr>
            <w:r w:rsidRPr="002A1DD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7B7F7" w14:textId="217A3438" w:rsidR="00EA4725" w:rsidRPr="002A1DDC" w:rsidRDefault="007F2DE6" w:rsidP="002A1DDC">
            <w:pPr>
              <w:spacing w:before="120" w:after="120"/>
            </w:pPr>
            <w:r w:rsidRPr="002A1DDC">
              <w:rPr>
                <w:b/>
              </w:rPr>
              <w:t>Fecha límite para la presentación de observaciones</w:t>
            </w:r>
            <w:r w:rsidR="002A1DDC" w:rsidRPr="002A1DDC">
              <w:rPr>
                <w:b/>
              </w:rPr>
              <w:t>: [</w:t>
            </w:r>
            <w:r w:rsidRPr="002A1DDC">
              <w:rPr>
                <w:b/>
              </w:rPr>
              <w:t>X]</w:t>
            </w:r>
            <w:r w:rsidR="002A1DDC" w:rsidRPr="002A1DDC">
              <w:rPr>
                <w:b/>
              </w:rPr>
              <w:t xml:space="preserve"> </w:t>
            </w:r>
            <w:r w:rsidRPr="002A1DDC">
              <w:rPr>
                <w:b/>
              </w:rPr>
              <w:t xml:space="preserve">Sesenta días a partir de la fecha de distribución de la notificación y/o </w:t>
            </w:r>
            <w:r w:rsidRPr="002A1DDC">
              <w:rPr>
                <w:b/>
                <w:i/>
              </w:rPr>
              <w:t>(día/mes/año)</w:t>
            </w:r>
            <w:r w:rsidR="002A1DDC" w:rsidRPr="002A1DDC">
              <w:rPr>
                <w:b/>
              </w:rPr>
              <w:t xml:space="preserve">: </w:t>
            </w:r>
            <w:r w:rsidR="002A1DDC" w:rsidRPr="002A1DDC">
              <w:t>2</w:t>
            </w:r>
            <w:r w:rsidRPr="002A1DDC">
              <w:t xml:space="preserve">2 de noviembre </w:t>
            </w:r>
            <w:r w:rsidR="002A1DDC" w:rsidRPr="002A1DDC">
              <w:t>de</w:t>
            </w:r>
            <w:r w:rsidR="00162A0C">
              <w:t> </w:t>
            </w:r>
            <w:r w:rsidR="002A1DDC" w:rsidRPr="002A1DDC">
              <w:t>2020</w:t>
            </w:r>
          </w:p>
          <w:p w14:paraId="145FCD7D" w14:textId="69F3B685" w:rsidR="007C4925" w:rsidRPr="002A1DDC" w:rsidRDefault="007F2DE6" w:rsidP="002A1DDC">
            <w:pPr>
              <w:spacing w:after="120"/>
            </w:pPr>
            <w:r w:rsidRPr="002A1DDC">
              <w:rPr>
                <w:b/>
              </w:rPr>
              <w:t>Organismo o autoridad encargado de tramitar las observaciones</w:t>
            </w:r>
            <w:r w:rsidR="002A1DDC" w:rsidRPr="002A1DDC">
              <w:rPr>
                <w:b/>
              </w:rPr>
              <w:t>: [</w:t>
            </w:r>
            <w:r w:rsidRPr="002A1DDC">
              <w:rPr>
                <w:b/>
              </w:rPr>
              <w:t>X] Organismo nacional encargado de la notificación, [X] Servicio nacional de información</w:t>
            </w:r>
            <w:r w:rsidR="002A1DDC" w:rsidRPr="002A1DDC">
              <w:rPr>
                <w:b/>
              </w:rPr>
              <w:t>. D</w:t>
            </w:r>
            <w:r w:rsidRPr="002A1DDC">
              <w:rPr>
                <w:b/>
              </w:rPr>
              <w:t>irección, número de fax y dirección de correo electrónico (en su caso) de otra institución:</w:t>
            </w:r>
          </w:p>
          <w:p w14:paraId="3B84C070" w14:textId="3A5ADE85" w:rsidR="006022E7" w:rsidRPr="002A1DDC" w:rsidRDefault="007F2DE6" w:rsidP="002A1DDC">
            <w:proofErr w:type="spellStart"/>
            <w:r w:rsidRPr="002A1DDC">
              <w:rPr>
                <w:i/>
                <w:iCs/>
              </w:rPr>
              <w:t>Saudi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Food</w:t>
            </w:r>
            <w:proofErr w:type="spellEnd"/>
            <w:r w:rsidRPr="002A1DDC">
              <w:rPr>
                <w:i/>
                <w:iCs/>
              </w:rPr>
              <w:t xml:space="preserve"> and </w:t>
            </w:r>
            <w:proofErr w:type="spellStart"/>
            <w:r w:rsidRPr="002A1DDC">
              <w:rPr>
                <w:i/>
                <w:iCs/>
              </w:rPr>
              <w:t>Drug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Authority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r w:rsidRPr="002A1DDC">
              <w:t>(Organismo de Productos Alimenticios y Farmacéuticos de la Arabia Saudita)</w:t>
            </w:r>
          </w:p>
          <w:p w14:paraId="6ED763DF" w14:textId="50F74707" w:rsidR="006022E7" w:rsidRPr="001B6B3C" w:rsidRDefault="007F2DE6" w:rsidP="002A1DDC">
            <w:pPr>
              <w:rPr>
                <w:lang w:val="en-GB"/>
              </w:rPr>
            </w:pPr>
            <w:r w:rsidRPr="001B6B3C">
              <w:rPr>
                <w:lang w:val="en-GB"/>
              </w:rPr>
              <w:t>SFDA - 4904 North Ring branch rd- Hitteen Dist Unit Number (1) - Riyadh 13513 - 7148</w:t>
            </w:r>
          </w:p>
          <w:p w14:paraId="581F6463" w14:textId="639A0504" w:rsidR="006022E7" w:rsidRPr="002A1DDC" w:rsidRDefault="007F2DE6" w:rsidP="002A1DDC">
            <w:r w:rsidRPr="002A1DDC">
              <w:t>Teléfono</w:t>
            </w:r>
            <w:r w:rsidR="002A1DDC" w:rsidRPr="002A1DDC">
              <w:t>: +</w:t>
            </w:r>
            <w:r w:rsidRPr="002A1DDC">
              <w:t>(966 11) 275 9222, Ext. 3158</w:t>
            </w:r>
          </w:p>
          <w:p w14:paraId="475B05E7" w14:textId="4AE5A784" w:rsidR="006022E7" w:rsidRPr="002A1DDC" w:rsidRDefault="007F2DE6" w:rsidP="002A1DDC">
            <w:r w:rsidRPr="002A1DDC">
              <w:t>Fax</w:t>
            </w:r>
            <w:r w:rsidR="002A1DDC" w:rsidRPr="002A1DDC">
              <w:t>: +</w:t>
            </w:r>
            <w:r w:rsidRPr="002A1DDC">
              <w:t>(966 11) 210 9825</w:t>
            </w:r>
          </w:p>
          <w:p w14:paraId="26F2F1B1" w14:textId="16B02B2F" w:rsidR="007C4925" w:rsidRPr="002A1DDC" w:rsidRDefault="007C4925" w:rsidP="002A1DDC">
            <w:r w:rsidRPr="002A1DDC">
              <w:t xml:space="preserve">Correo electrónico: </w:t>
            </w:r>
            <w:hyperlink r:id="rId9" w:history="1">
              <w:r w:rsidR="002A1DDC" w:rsidRPr="002A1DDC">
                <w:rPr>
                  <w:rStyle w:val="Hyperlink"/>
                </w:rPr>
                <w:t>SPSEP.Food@sfda.gov.sa</w:t>
              </w:r>
            </w:hyperlink>
          </w:p>
          <w:p w14:paraId="7A7F348D" w14:textId="6FF6F20A" w:rsidR="006022E7" w:rsidRPr="001B6B3C" w:rsidRDefault="007F2DE6" w:rsidP="002A1DDC">
            <w:pPr>
              <w:spacing w:after="120"/>
              <w:rPr>
                <w:lang w:val="en-GB"/>
              </w:rPr>
            </w:pPr>
            <w:r w:rsidRPr="001B6B3C">
              <w:rPr>
                <w:lang w:val="en-GB"/>
              </w:rPr>
              <w:t xml:space="preserve">Sitio web: </w:t>
            </w:r>
            <w:r w:rsidR="001B6B3C">
              <w:fldChar w:fldCharType="begin"/>
            </w:r>
            <w:r w:rsidR="001B6B3C" w:rsidRPr="001B6B3C">
              <w:rPr>
                <w:lang w:val="en-GB"/>
              </w:rPr>
              <w:instrText xml:space="preserve"> HYPERLINK "http://www.sfda.gov.sa/" \t "_blank" </w:instrText>
            </w:r>
            <w:r w:rsidR="001B6B3C">
              <w:fldChar w:fldCharType="separate"/>
            </w:r>
            <w:r w:rsidR="002A1DDC" w:rsidRPr="001B6B3C">
              <w:rPr>
                <w:rStyle w:val="Hyperlink"/>
                <w:lang w:val="en-GB"/>
              </w:rPr>
              <w:t>http://www.sfda.gov.sa</w:t>
            </w:r>
            <w:r w:rsidR="001B6B3C">
              <w:rPr>
                <w:rStyle w:val="Hyperlink"/>
              </w:rPr>
              <w:fldChar w:fldCharType="end"/>
            </w:r>
          </w:p>
        </w:tc>
      </w:tr>
      <w:tr w:rsidR="006022E7" w:rsidRPr="001B6B3C" w14:paraId="05C764B2" w14:textId="77777777" w:rsidTr="002A1DD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81DA35" w14:textId="77777777" w:rsidR="00EA4725" w:rsidRPr="002A1DDC" w:rsidRDefault="007F2DE6" w:rsidP="002A1DDC">
            <w:pPr>
              <w:keepNext/>
              <w:keepLines/>
              <w:spacing w:before="120" w:after="120"/>
              <w:jc w:val="left"/>
            </w:pPr>
            <w:r w:rsidRPr="002A1DD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CCD0A3" w14:textId="6FA568E8" w:rsidR="007C4925" w:rsidRPr="002A1DDC" w:rsidRDefault="007F2DE6" w:rsidP="002A1DDC">
            <w:pPr>
              <w:keepNext/>
              <w:keepLines/>
              <w:spacing w:before="120" w:after="120"/>
              <w:rPr>
                <w:b/>
              </w:rPr>
            </w:pPr>
            <w:r w:rsidRPr="002A1DDC">
              <w:rPr>
                <w:b/>
              </w:rPr>
              <w:t>Texto(s) disponible(s) en</w:t>
            </w:r>
            <w:r w:rsidR="002A1DDC" w:rsidRPr="002A1DDC">
              <w:rPr>
                <w:b/>
              </w:rPr>
              <w:t>: [</w:t>
            </w:r>
            <w:r w:rsidRPr="002A1DDC">
              <w:rPr>
                <w:b/>
              </w:rPr>
              <w:t>X] Organismo nacional encargado de la notificación, [X] Servicio nacional de información</w:t>
            </w:r>
            <w:r w:rsidR="002A1DDC" w:rsidRPr="002A1DDC">
              <w:rPr>
                <w:b/>
              </w:rPr>
              <w:t>. D</w:t>
            </w:r>
            <w:r w:rsidRPr="002A1DDC">
              <w:rPr>
                <w:b/>
              </w:rPr>
              <w:t>irección, número de fax y dirección de correo electrónico (en su caso) de otra institución:</w:t>
            </w:r>
          </w:p>
          <w:p w14:paraId="2F1BAB8F" w14:textId="0A6CED89" w:rsidR="00EA4725" w:rsidRPr="002A1DDC" w:rsidRDefault="007F2DE6" w:rsidP="002A1DDC">
            <w:pPr>
              <w:keepNext/>
              <w:keepLines/>
              <w:rPr>
                <w:bCs/>
              </w:rPr>
            </w:pPr>
            <w:proofErr w:type="spellStart"/>
            <w:r w:rsidRPr="002A1DDC">
              <w:rPr>
                <w:i/>
                <w:iCs/>
              </w:rPr>
              <w:t>Saudi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Food</w:t>
            </w:r>
            <w:proofErr w:type="spellEnd"/>
            <w:r w:rsidRPr="002A1DDC">
              <w:rPr>
                <w:i/>
                <w:iCs/>
              </w:rPr>
              <w:t xml:space="preserve"> and </w:t>
            </w:r>
            <w:proofErr w:type="spellStart"/>
            <w:r w:rsidRPr="002A1DDC">
              <w:rPr>
                <w:i/>
                <w:iCs/>
              </w:rPr>
              <w:t>Drug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proofErr w:type="spellStart"/>
            <w:r w:rsidRPr="002A1DDC">
              <w:rPr>
                <w:i/>
                <w:iCs/>
              </w:rPr>
              <w:t>Authority</w:t>
            </w:r>
            <w:proofErr w:type="spellEnd"/>
            <w:r w:rsidRPr="002A1DDC">
              <w:rPr>
                <w:i/>
                <w:iCs/>
              </w:rPr>
              <w:t xml:space="preserve"> </w:t>
            </w:r>
            <w:r w:rsidRPr="002A1DDC">
              <w:t>(Organismo de Productos Alimenticios y Farmacéuticos de la Arabia Saudita)</w:t>
            </w:r>
          </w:p>
          <w:p w14:paraId="5391630A" w14:textId="19D6FE07" w:rsidR="00EA4725" w:rsidRPr="001B6B3C" w:rsidRDefault="007F2DE6" w:rsidP="002A1DDC">
            <w:pPr>
              <w:keepNext/>
              <w:keepLines/>
              <w:rPr>
                <w:bCs/>
                <w:lang w:val="en-GB"/>
              </w:rPr>
            </w:pPr>
            <w:r w:rsidRPr="001B6B3C">
              <w:rPr>
                <w:lang w:val="en-GB"/>
              </w:rPr>
              <w:t>SFDA - 4904 North Ring branch rd- Hitteen Dist Unit Number (1) - Riyadh 13513 - 7148</w:t>
            </w:r>
          </w:p>
          <w:p w14:paraId="0B916B86" w14:textId="6CD12A1B" w:rsidR="00EA4725" w:rsidRPr="002A1DDC" w:rsidRDefault="007F2DE6" w:rsidP="002A1DDC">
            <w:pPr>
              <w:keepNext/>
              <w:keepLines/>
              <w:rPr>
                <w:bCs/>
              </w:rPr>
            </w:pPr>
            <w:r w:rsidRPr="002A1DDC">
              <w:t>Teléfono</w:t>
            </w:r>
            <w:r w:rsidR="002A1DDC" w:rsidRPr="002A1DDC">
              <w:t>: +</w:t>
            </w:r>
            <w:r w:rsidRPr="002A1DDC">
              <w:t>(966 11) 275 9222, Ext. 3158</w:t>
            </w:r>
          </w:p>
          <w:p w14:paraId="64D6B4F1" w14:textId="4D56AA68" w:rsidR="00EA4725" w:rsidRPr="002A1DDC" w:rsidRDefault="007F2DE6" w:rsidP="002A1DDC">
            <w:pPr>
              <w:keepNext/>
              <w:keepLines/>
              <w:rPr>
                <w:bCs/>
              </w:rPr>
            </w:pPr>
            <w:r w:rsidRPr="002A1DDC">
              <w:t>Fax</w:t>
            </w:r>
            <w:r w:rsidR="002A1DDC" w:rsidRPr="002A1DDC">
              <w:t>: +</w:t>
            </w:r>
            <w:r w:rsidRPr="002A1DDC">
              <w:t>(966 11) 210 9825</w:t>
            </w:r>
          </w:p>
          <w:p w14:paraId="58485BB4" w14:textId="3F7D22F1" w:rsidR="007C4925" w:rsidRPr="002A1DDC" w:rsidRDefault="007C4925" w:rsidP="002A1DDC">
            <w:pPr>
              <w:keepNext/>
              <w:keepLines/>
              <w:rPr>
                <w:bCs/>
              </w:rPr>
            </w:pPr>
            <w:r w:rsidRPr="002A1DDC">
              <w:t xml:space="preserve">Correo electrónico: </w:t>
            </w:r>
            <w:hyperlink r:id="rId10" w:history="1">
              <w:r w:rsidR="002A1DDC" w:rsidRPr="002A1DDC">
                <w:rPr>
                  <w:rStyle w:val="Hyperlink"/>
                </w:rPr>
                <w:t>SPSEP.Food@sfda.gov.sa</w:t>
              </w:r>
            </w:hyperlink>
          </w:p>
          <w:p w14:paraId="3D3A6F2A" w14:textId="1F4E6CE1" w:rsidR="00EA4725" w:rsidRPr="001B6B3C" w:rsidRDefault="007F2DE6" w:rsidP="002A1DDC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1B6B3C">
              <w:rPr>
                <w:lang w:val="en-GB"/>
              </w:rPr>
              <w:t xml:space="preserve">Sitio web: </w:t>
            </w:r>
            <w:hyperlink r:id="rId11" w:tgtFrame="_blank" w:history="1">
              <w:r w:rsidR="002A1DDC" w:rsidRPr="001B6B3C">
                <w:rPr>
                  <w:rStyle w:val="Hyperlink"/>
                  <w:lang w:val="en-GB"/>
                </w:rPr>
                <w:t>http://www.sfda.gov.sa</w:t>
              </w:r>
            </w:hyperlink>
          </w:p>
        </w:tc>
      </w:tr>
    </w:tbl>
    <w:p w14:paraId="4D6EAA40" w14:textId="77777777" w:rsidR="007141CF" w:rsidRPr="001B6B3C" w:rsidRDefault="007141CF" w:rsidP="002A1DDC">
      <w:pPr>
        <w:rPr>
          <w:lang w:val="en-GB"/>
        </w:rPr>
      </w:pPr>
    </w:p>
    <w:sectPr w:rsidR="007141CF" w:rsidRPr="001B6B3C" w:rsidSect="002A1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CB85" w14:textId="77777777" w:rsidR="00C17EE0" w:rsidRPr="002A1DDC" w:rsidRDefault="007F2DE6">
      <w:r w:rsidRPr="002A1DDC">
        <w:separator/>
      </w:r>
    </w:p>
  </w:endnote>
  <w:endnote w:type="continuationSeparator" w:id="0">
    <w:p w14:paraId="51D2C5AF" w14:textId="77777777" w:rsidR="00C17EE0" w:rsidRPr="002A1DDC" w:rsidRDefault="007F2DE6">
      <w:r w:rsidRPr="002A1D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FBF2" w14:textId="0549497E" w:rsidR="00EA4725" w:rsidRPr="002A1DDC" w:rsidRDefault="002A1DDC" w:rsidP="002A1DDC">
    <w:pPr>
      <w:pStyle w:val="Footer"/>
    </w:pPr>
    <w:r w:rsidRPr="002A1DD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E498" w14:textId="44BD7BC0" w:rsidR="00EA4725" w:rsidRPr="002A1DDC" w:rsidRDefault="002A1DDC" w:rsidP="002A1DDC">
    <w:pPr>
      <w:pStyle w:val="Footer"/>
    </w:pPr>
    <w:r w:rsidRPr="002A1DD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0E51" w14:textId="476294AF" w:rsidR="00C863EB" w:rsidRPr="002A1DDC" w:rsidRDefault="002A1DDC" w:rsidP="002A1DDC">
    <w:pPr>
      <w:pStyle w:val="Footer"/>
    </w:pPr>
    <w:r w:rsidRPr="002A1DD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F793" w14:textId="77777777" w:rsidR="00C17EE0" w:rsidRPr="002A1DDC" w:rsidRDefault="007F2DE6">
      <w:r w:rsidRPr="002A1DDC">
        <w:separator/>
      </w:r>
    </w:p>
  </w:footnote>
  <w:footnote w:type="continuationSeparator" w:id="0">
    <w:p w14:paraId="6DC0CF61" w14:textId="77777777" w:rsidR="00C17EE0" w:rsidRPr="002A1DDC" w:rsidRDefault="007F2DE6">
      <w:r w:rsidRPr="002A1DD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F92D" w14:textId="77777777" w:rsidR="002A1DDC" w:rsidRPr="002A1DDC" w:rsidRDefault="002A1DDC" w:rsidP="002A1DDC">
    <w:pPr>
      <w:pStyle w:val="Header"/>
      <w:spacing w:after="240"/>
      <w:jc w:val="center"/>
    </w:pPr>
    <w:r w:rsidRPr="002A1DDC">
      <w:t>G/SPS/N/SAU/435</w:t>
    </w:r>
  </w:p>
  <w:p w14:paraId="0301EACC" w14:textId="77777777" w:rsidR="002A1DDC" w:rsidRPr="002A1DDC" w:rsidRDefault="002A1DDC" w:rsidP="002A1DDC">
    <w:pPr>
      <w:pStyle w:val="Header"/>
      <w:pBdr>
        <w:bottom w:val="single" w:sz="4" w:space="1" w:color="auto"/>
      </w:pBdr>
      <w:jc w:val="center"/>
    </w:pPr>
    <w:r w:rsidRPr="002A1DDC">
      <w:t xml:space="preserve">- </w:t>
    </w:r>
    <w:r w:rsidRPr="002A1DDC">
      <w:fldChar w:fldCharType="begin"/>
    </w:r>
    <w:r w:rsidRPr="002A1DDC">
      <w:instrText xml:space="preserve"> PAGE  \* Arabic  \* MERGEFORMAT </w:instrText>
    </w:r>
    <w:r w:rsidRPr="002A1DDC">
      <w:fldChar w:fldCharType="separate"/>
    </w:r>
    <w:r w:rsidRPr="002A1DDC">
      <w:t>1</w:t>
    </w:r>
    <w:r w:rsidRPr="002A1DDC">
      <w:fldChar w:fldCharType="end"/>
    </w:r>
    <w:r w:rsidRPr="002A1DD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FD95" w14:textId="77777777" w:rsidR="002A1DDC" w:rsidRPr="002A1DDC" w:rsidRDefault="002A1DDC" w:rsidP="002A1DDC">
    <w:pPr>
      <w:pStyle w:val="Header"/>
      <w:spacing w:after="240"/>
      <w:jc w:val="center"/>
    </w:pPr>
    <w:r w:rsidRPr="002A1DDC">
      <w:t>G/SPS/N/SAU/435</w:t>
    </w:r>
  </w:p>
  <w:p w14:paraId="74CC3F0D" w14:textId="77777777" w:rsidR="002A1DDC" w:rsidRPr="002A1DDC" w:rsidRDefault="002A1DDC" w:rsidP="002A1DDC">
    <w:pPr>
      <w:pStyle w:val="Header"/>
      <w:pBdr>
        <w:bottom w:val="single" w:sz="4" w:space="1" w:color="auto"/>
      </w:pBdr>
      <w:jc w:val="center"/>
    </w:pPr>
    <w:r w:rsidRPr="002A1DDC">
      <w:t xml:space="preserve">- </w:t>
    </w:r>
    <w:r w:rsidRPr="002A1DDC">
      <w:fldChar w:fldCharType="begin"/>
    </w:r>
    <w:r w:rsidRPr="002A1DDC">
      <w:instrText xml:space="preserve"> PAGE  \* Arabic  \* MERGEFORMAT </w:instrText>
    </w:r>
    <w:r w:rsidRPr="002A1DDC">
      <w:fldChar w:fldCharType="separate"/>
    </w:r>
    <w:r w:rsidRPr="002A1DDC">
      <w:t>1</w:t>
    </w:r>
    <w:r w:rsidRPr="002A1DDC">
      <w:fldChar w:fldCharType="end"/>
    </w:r>
    <w:r w:rsidRPr="002A1DD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A1DDC" w:rsidRPr="002A1DDC" w14:paraId="7A9C5B9D" w14:textId="77777777" w:rsidTr="002A1DD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9A18E6" w14:textId="77777777" w:rsidR="002A1DDC" w:rsidRPr="002A1DDC" w:rsidRDefault="002A1DDC" w:rsidP="002A1DD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BA1AA1" w14:textId="77777777" w:rsidR="002A1DDC" w:rsidRPr="002A1DDC" w:rsidRDefault="002A1DDC" w:rsidP="002A1DD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A1DDC" w:rsidRPr="002A1DDC" w14:paraId="49A1FBE5" w14:textId="77777777" w:rsidTr="002A1DD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B73A107" w14:textId="3C96285C" w:rsidR="002A1DDC" w:rsidRPr="002A1DDC" w:rsidRDefault="002A1DDC" w:rsidP="002A1DDC">
          <w:pPr>
            <w:jc w:val="left"/>
            <w:rPr>
              <w:rFonts w:eastAsia="Verdana" w:cs="Verdana"/>
              <w:szCs w:val="18"/>
            </w:rPr>
          </w:pPr>
          <w:r w:rsidRPr="002A1DDC">
            <w:rPr>
              <w:rFonts w:eastAsia="Verdana" w:cs="Verdana"/>
              <w:noProof/>
              <w:szCs w:val="18"/>
            </w:rPr>
            <w:drawing>
              <wp:inline distT="0" distB="0" distL="0" distR="0" wp14:anchorId="67972FAE" wp14:editId="28CD415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F56148" w14:textId="77777777" w:rsidR="002A1DDC" w:rsidRPr="002A1DDC" w:rsidRDefault="002A1DDC" w:rsidP="002A1DD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1DDC" w:rsidRPr="002A1DDC" w14:paraId="20DC2528" w14:textId="77777777" w:rsidTr="002A1DD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6495A07" w14:textId="77777777" w:rsidR="002A1DDC" w:rsidRPr="002A1DDC" w:rsidRDefault="002A1DDC" w:rsidP="002A1DD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0FB694" w14:textId="3D31780A" w:rsidR="002A1DDC" w:rsidRPr="002A1DDC" w:rsidRDefault="002A1DDC" w:rsidP="002A1DDC">
          <w:pPr>
            <w:jc w:val="right"/>
            <w:rPr>
              <w:rFonts w:eastAsia="Verdana" w:cs="Verdana"/>
              <w:b/>
              <w:szCs w:val="18"/>
            </w:rPr>
          </w:pPr>
          <w:r w:rsidRPr="002A1DDC">
            <w:rPr>
              <w:b/>
              <w:szCs w:val="18"/>
            </w:rPr>
            <w:t>G/SPS/N/SAU/435</w:t>
          </w:r>
        </w:p>
      </w:tc>
    </w:tr>
    <w:tr w:rsidR="002A1DDC" w:rsidRPr="002A1DDC" w14:paraId="26D22E6A" w14:textId="77777777" w:rsidTr="002A1DD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88A3DC2" w14:textId="77777777" w:rsidR="002A1DDC" w:rsidRPr="002A1DDC" w:rsidRDefault="002A1DDC" w:rsidP="002A1DD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70073B" w14:textId="755225AD" w:rsidR="002A1DDC" w:rsidRPr="002A1DDC" w:rsidRDefault="002A1DDC" w:rsidP="002A1DDC">
          <w:pPr>
            <w:jc w:val="right"/>
            <w:rPr>
              <w:rFonts w:eastAsia="Verdana" w:cs="Verdana"/>
              <w:szCs w:val="18"/>
            </w:rPr>
          </w:pPr>
          <w:r w:rsidRPr="002A1DDC">
            <w:rPr>
              <w:rFonts w:eastAsia="Verdana" w:cs="Verdana"/>
              <w:szCs w:val="18"/>
            </w:rPr>
            <w:t>23 de septiembre de 2020</w:t>
          </w:r>
        </w:p>
      </w:tc>
    </w:tr>
    <w:tr w:rsidR="002A1DDC" w:rsidRPr="002A1DDC" w14:paraId="6AEB2374" w14:textId="77777777" w:rsidTr="002A1DD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4B5306" w14:textId="072827A7" w:rsidR="002A1DDC" w:rsidRPr="002A1DDC" w:rsidRDefault="002A1DDC" w:rsidP="002A1DDC">
          <w:pPr>
            <w:jc w:val="left"/>
            <w:rPr>
              <w:rFonts w:eastAsia="Verdana" w:cs="Verdana"/>
              <w:b/>
              <w:szCs w:val="18"/>
            </w:rPr>
          </w:pPr>
          <w:r w:rsidRPr="002A1DDC">
            <w:rPr>
              <w:rFonts w:eastAsia="Verdana" w:cs="Verdana"/>
              <w:color w:val="FF0000"/>
              <w:szCs w:val="18"/>
            </w:rPr>
            <w:t>(20</w:t>
          </w:r>
          <w:r w:rsidRPr="002A1DDC">
            <w:rPr>
              <w:rFonts w:eastAsia="Verdana" w:cs="Verdana"/>
              <w:color w:val="FF0000"/>
              <w:szCs w:val="18"/>
            </w:rPr>
            <w:noBreakHyphen/>
          </w:r>
          <w:r w:rsidR="001B6B3C">
            <w:rPr>
              <w:rFonts w:eastAsia="Verdana" w:cs="Verdana"/>
              <w:color w:val="FF0000"/>
              <w:szCs w:val="18"/>
            </w:rPr>
            <w:t>6440</w:t>
          </w:r>
          <w:r w:rsidRPr="002A1DD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BD0810" w14:textId="1A46CCCC" w:rsidR="002A1DDC" w:rsidRPr="002A1DDC" w:rsidRDefault="002A1DDC" w:rsidP="002A1DDC">
          <w:pPr>
            <w:jc w:val="right"/>
            <w:rPr>
              <w:rFonts w:eastAsia="Verdana" w:cs="Verdana"/>
              <w:szCs w:val="18"/>
            </w:rPr>
          </w:pPr>
          <w:r w:rsidRPr="002A1DDC">
            <w:rPr>
              <w:rFonts w:eastAsia="Verdana" w:cs="Verdana"/>
              <w:szCs w:val="18"/>
            </w:rPr>
            <w:t xml:space="preserve">Página: </w:t>
          </w:r>
          <w:r w:rsidRPr="002A1DDC">
            <w:rPr>
              <w:rFonts w:eastAsia="Verdana" w:cs="Verdana"/>
              <w:szCs w:val="18"/>
            </w:rPr>
            <w:fldChar w:fldCharType="begin"/>
          </w:r>
          <w:r w:rsidRPr="002A1DD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1DDC">
            <w:rPr>
              <w:rFonts w:eastAsia="Verdana" w:cs="Verdana"/>
              <w:szCs w:val="18"/>
            </w:rPr>
            <w:fldChar w:fldCharType="separate"/>
          </w:r>
          <w:r w:rsidRPr="002A1DDC">
            <w:rPr>
              <w:rFonts w:eastAsia="Verdana" w:cs="Verdana"/>
              <w:szCs w:val="18"/>
            </w:rPr>
            <w:t>1</w:t>
          </w:r>
          <w:r w:rsidRPr="002A1DDC">
            <w:rPr>
              <w:rFonts w:eastAsia="Verdana" w:cs="Verdana"/>
              <w:szCs w:val="18"/>
            </w:rPr>
            <w:fldChar w:fldCharType="end"/>
          </w:r>
          <w:r w:rsidRPr="002A1DDC">
            <w:rPr>
              <w:rFonts w:eastAsia="Verdana" w:cs="Verdana"/>
              <w:szCs w:val="18"/>
            </w:rPr>
            <w:t>/</w:t>
          </w:r>
          <w:r w:rsidRPr="002A1DDC">
            <w:rPr>
              <w:rFonts w:eastAsia="Verdana" w:cs="Verdana"/>
              <w:szCs w:val="18"/>
            </w:rPr>
            <w:fldChar w:fldCharType="begin"/>
          </w:r>
          <w:r w:rsidRPr="002A1DD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A1DDC">
            <w:rPr>
              <w:rFonts w:eastAsia="Verdana" w:cs="Verdana"/>
              <w:szCs w:val="18"/>
            </w:rPr>
            <w:fldChar w:fldCharType="separate"/>
          </w:r>
          <w:r w:rsidRPr="002A1DDC">
            <w:rPr>
              <w:rFonts w:eastAsia="Verdana" w:cs="Verdana"/>
              <w:szCs w:val="18"/>
            </w:rPr>
            <w:t>2</w:t>
          </w:r>
          <w:r w:rsidRPr="002A1DDC">
            <w:rPr>
              <w:rFonts w:eastAsia="Verdana" w:cs="Verdana"/>
              <w:szCs w:val="18"/>
            </w:rPr>
            <w:fldChar w:fldCharType="end"/>
          </w:r>
        </w:p>
      </w:tc>
    </w:tr>
    <w:tr w:rsidR="002A1DDC" w:rsidRPr="002A1DDC" w14:paraId="6DB8AE3F" w14:textId="77777777" w:rsidTr="002A1DD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BC0A95" w14:textId="67D9D9A7" w:rsidR="002A1DDC" w:rsidRPr="002A1DDC" w:rsidRDefault="002A1DDC" w:rsidP="002A1DDC">
          <w:pPr>
            <w:jc w:val="left"/>
            <w:rPr>
              <w:rFonts w:eastAsia="Verdana" w:cs="Verdana"/>
              <w:szCs w:val="18"/>
            </w:rPr>
          </w:pPr>
          <w:r w:rsidRPr="002A1DD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DEED045" w14:textId="655177A2" w:rsidR="002A1DDC" w:rsidRPr="002A1DDC" w:rsidRDefault="002A1DDC" w:rsidP="002A1DDC">
          <w:pPr>
            <w:jc w:val="right"/>
            <w:rPr>
              <w:rFonts w:eastAsia="Verdana" w:cs="Verdana"/>
              <w:bCs/>
              <w:szCs w:val="18"/>
            </w:rPr>
          </w:pPr>
          <w:r w:rsidRPr="002A1DD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68C4590" w14:textId="77777777" w:rsidR="00ED54E0" w:rsidRPr="002A1DDC" w:rsidRDefault="00ED54E0" w:rsidP="002A1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8A01F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47A761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516D9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5667CA0"/>
    <w:numStyleLink w:val="LegalHeadings"/>
  </w:abstractNum>
  <w:abstractNum w:abstractNumId="12" w15:restartNumberingAfterBreak="0">
    <w:nsid w:val="57551E12"/>
    <w:multiLevelType w:val="multilevel"/>
    <w:tmpl w:val="B5667C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117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A0C"/>
    <w:rsid w:val="00182B84"/>
    <w:rsid w:val="001B6B3C"/>
    <w:rsid w:val="001E291F"/>
    <w:rsid w:val="001E596A"/>
    <w:rsid w:val="00233408"/>
    <w:rsid w:val="0027067B"/>
    <w:rsid w:val="00272C98"/>
    <w:rsid w:val="002A1DDC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6EA2"/>
    <w:rsid w:val="00467032"/>
    <w:rsid w:val="0046754A"/>
    <w:rsid w:val="00470ED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22E7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4925"/>
    <w:rsid w:val="007E510C"/>
    <w:rsid w:val="007E6507"/>
    <w:rsid w:val="007F2B8E"/>
    <w:rsid w:val="007F2DE6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07C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7EE0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5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A1DD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A1DD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A1DD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A1DD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A1DD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A1DD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A1DD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A1D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A1D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A1D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A1DD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A1DD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A1DD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A1DD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A1DD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A1DD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A1DD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A1DD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A1DD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A1D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A1D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A1DD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A1DD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A1DD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A1DD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A1DDC"/>
    <w:pPr>
      <w:numPr>
        <w:numId w:val="6"/>
      </w:numPr>
    </w:pPr>
  </w:style>
  <w:style w:type="paragraph" w:styleId="ListBullet">
    <w:name w:val="List Bullet"/>
    <w:basedOn w:val="Normal"/>
    <w:uiPriority w:val="1"/>
    <w:rsid w:val="002A1DD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A1DD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A1DD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A1DD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A1DD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A1DD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1DD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1DD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A1D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A1DD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A1D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A1DD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A1DDC"/>
    <w:rPr>
      <w:szCs w:val="20"/>
    </w:rPr>
  </w:style>
  <w:style w:type="character" w:customStyle="1" w:styleId="EndnoteTextChar">
    <w:name w:val="Endnote Text Char"/>
    <w:link w:val="EndnoteText"/>
    <w:uiPriority w:val="49"/>
    <w:rsid w:val="002A1DD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A1DD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1DD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A1D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A1DD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A1DDC"/>
    <w:pPr>
      <w:ind w:left="567" w:right="567" w:firstLine="0"/>
    </w:pPr>
  </w:style>
  <w:style w:type="character" w:styleId="FootnoteReference">
    <w:name w:val="footnote reference"/>
    <w:uiPriority w:val="5"/>
    <w:rsid w:val="002A1DD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A1D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A1DD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A1D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1D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1D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1D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1D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A1D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A1D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A1DD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D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A1D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A1DD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A1D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1D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1D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A1DD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A1DD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A1DD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1D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A1DD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1DD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A1DD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A1DDC"/>
  </w:style>
  <w:style w:type="paragraph" w:styleId="BlockText">
    <w:name w:val="Block Text"/>
    <w:basedOn w:val="Normal"/>
    <w:uiPriority w:val="99"/>
    <w:semiHidden/>
    <w:unhideWhenUsed/>
    <w:rsid w:val="002A1D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1DD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D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1D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1D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1D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DD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A1DD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A1D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1DD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A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DD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A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1DD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1DDC"/>
  </w:style>
  <w:style w:type="character" w:customStyle="1" w:styleId="DateChar">
    <w:name w:val="Date Char"/>
    <w:basedOn w:val="DefaultParagraphFont"/>
    <w:link w:val="Date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D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D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1D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A1DD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A1D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1D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A1DD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A1DD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1D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1DD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A1DD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A1DD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A1DD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A1DD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D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DD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A1DD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A1DD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A1DD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A1D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1D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1D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1D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1D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1D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1D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1D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1D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1D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A1DD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A1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A1DD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A1DD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A1DDC"/>
    <w:rPr>
      <w:lang w:val="es-ES"/>
    </w:rPr>
  </w:style>
  <w:style w:type="paragraph" w:styleId="List">
    <w:name w:val="List"/>
    <w:basedOn w:val="Normal"/>
    <w:uiPriority w:val="99"/>
    <w:semiHidden/>
    <w:unhideWhenUsed/>
    <w:rsid w:val="002A1D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1D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1D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1D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1DD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1D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1D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1D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1D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1D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A1DD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A1DD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A1DD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A1DD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A1DD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A1D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DD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1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DD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A1DD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1D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1DD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1D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1DD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A1DD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A1D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1DD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A1D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A1DD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1D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1D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DD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A1DD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A1DD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A1DD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A1D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A1DDC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F2DE6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7C49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C492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C492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92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C492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C492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492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C49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C49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92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C492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C492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C492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C492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C49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C49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C49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C49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C49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C49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C49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C49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C49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C49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C49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C49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C49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C49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C49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C49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C49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C49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C49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C49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C49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C492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C49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C49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C49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C49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C49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C49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C49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C49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C492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492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C492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C492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C492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C492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C492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C49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C49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C49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C492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C492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C492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C492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C492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C49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49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49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C49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C49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C49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C49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C49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C492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C492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C492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C492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C492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C492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C492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C49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49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C49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C49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C49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C4925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7C492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7C4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5677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sfda.gov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634</Words>
  <Characters>3541</Characters>
  <Application>Microsoft Office Word</Application>
  <DocSecurity>0</DocSecurity>
  <Lines>86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8</cp:revision>
  <dcterms:created xsi:type="dcterms:W3CDTF">2020-09-23T09:14:00Z</dcterms:created>
  <dcterms:modified xsi:type="dcterms:W3CDTF">2020-09-30T14:16:00Z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f6aa0712-47e1-49f8-8a0f-97a5090993a7</vt:lpwstr>
  </property>
  <property fmtid="{D5CDD505-2E9C-101B-9397-08002B2CF9AE}" pid="3" name="WTOCLASSIFICATION">
    <vt:lpwstr>WTO OFFICIAL</vt:lpwstr>
  </property>
</Properties>
</file>