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93C2" w14:textId="77777777" w:rsidR="009239F7" w:rsidRPr="002F6A28" w:rsidRDefault="00C77270" w:rsidP="002F6A28">
      <w:pPr>
        <w:pStyle w:val="Titre"/>
        <w:rPr>
          <w:caps w:val="0"/>
          <w:kern w:val="0"/>
        </w:rPr>
      </w:pPr>
      <w:r>
        <w:rPr>
          <w:caps w:val="0"/>
        </w:rPr>
        <w:t>NOTIFICACIÓN</w:t>
      </w:r>
    </w:p>
    <w:p w14:paraId="1DCB65AD" w14:textId="77777777" w:rsidR="009239F7" w:rsidRPr="002F6A28" w:rsidRDefault="00C77270" w:rsidP="002F6A28">
      <w:pPr>
        <w:jc w:val="center"/>
      </w:pPr>
      <w:r>
        <w:t>Se da traslado de la notificación siguiente de conformidad con el artículo 10.6.</w:t>
      </w:r>
    </w:p>
    <w:p w14:paraId="1F085C6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62992" w14:paraId="3FB39B12" w14:textId="77777777" w:rsidTr="0069259F">
        <w:tc>
          <w:tcPr>
            <w:tcW w:w="713" w:type="dxa"/>
            <w:tcBorders>
              <w:bottom w:val="single" w:sz="6" w:space="0" w:color="auto"/>
            </w:tcBorders>
            <w:shd w:val="clear" w:color="auto" w:fill="auto"/>
          </w:tcPr>
          <w:p w14:paraId="1ECE1BB0" w14:textId="77777777" w:rsidR="00F85C99" w:rsidRPr="002F6A28" w:rsidRDefault="00C77270" w:rsidP="002F6A28">
            <w:pPr>
              <w:spacing w:before="120" w:after="120"/>
              <w:jc w:val="left"/>
            </w:pPr>
            <w:r>
              <w:rPr>
                <w:b/>
              </w:rPr>
              <w:t>1.</w:t>
            </w:r>
          </w:p>
        </w:tc>
        <w:tc>
          <w:tcPr>
            <w:tcW w:w="8546" w:type="dxa"/>
            <w:tcBorders>
              <w:bottom w:val="single" w:sz="6" w:space="0" w:color="auto"/>
            </w:tcBorders>
            <w:shd w:val="clear" w:color="auto" w:fill="auto"/>
          </w:tcPr>
          <w:p w14:paraId="6408E5DC" w14:textId="77777777" w:rsidR="00F85C99" w:rsidRPr="002F6A28" w:rsidRDefault="00C77270" w:rsidP="00C805B6">
            <w:pPr>
              <w:spacing w:before="120" w:after="120"/>
            </w:pPr>
            <w:r>
              <w:rPr>
                <w:b/>
                <w:bCs/>
              </w:rPr>
              <w:t>Miembro que notifica:</w:t>
            </w:r>
            <w:r>
              <w:t xml:space="preserve"> </w:t>
            </w:r>
            <w:bookmarkStart w:id="0" w:name="sps1a"/>
            <w:r>
              <w:rPr>
                <w:caps/>
                <w:u w:val="single"/>
              </w:rPr>
              <w:t>NUEVA ZELANDIA</w:t>
            </w:r>
            <w:bookmarkEnd w:id="0"/>
            <w:r>
              <w:t xml:space="preserve"> </w:t>
            </w:r>
          </w:p>
          <w:p w14:paraId="4467083B" w14:textId="77777777" w:rsidR="00F85C99" w:rsidRPr="002F6A28" w:rsidRDefault="00C77270" w:rsidP="002F6A28">
            <w:pPr>
              <w:spacing w:after="120"/>
            </w:pPr>
            <w:r>
              <w:rPr>
                <w:b/>
                <w:bCs/>
              </w:rPr>
              <w:t>Si procede, nombre del gobierno local de que se trate (artículos 3.2 y 7.2):</w:t>
            </w:r>
            <w:r>
              <w:t xml:space="preserve"> </w:t>
            </w:r>
            <w:bookmarkStart w:id="1" w:name="sps1b"/>
            <w:bookmarkEnd w:id="1"/>
          </w:p>
        </w:tc>
      </w:tr>
      <w:tr w:rsidR="00962992" w14:paraId="785A9F90" w14:textId="77777777" w:rsidTr="0069259F">
        <w:tc>
          <w:tcPr>
            <w:tcW w:w="713" w:type="dxa"/>
            <w:tcBorders>
              <w:top w:val="single" w:sz="6" w:space="0" w:color="auto"/>
              <w:bottom w:val="single" w:sz="6" w:space="0" w:color="auto"/>
            </w:tcBorders>
            <w:shd w:val="clear" w:color="auto" w:fill="auto"/>
          </w:tcPr>
          <w:p w14:paraId="6850E0FF" w14:textId="77777777" w:rsidR="00F85C99" w:rsidRPr="002F6A28" w:rsidRDefault="00C77270" w:rsidP="002F6A28">
            <w:pPr>
              <w:spacing w:before="120" w:after="120"/>
              <w:jc w:val="left"/>
            </w:pPr>
            <w:r>
              <w:rPr>
                <w:b/>
              </w:rPr>
              <w:t>2.</w:t>
            </w:r>
          </w:p>
        </w:tc>
        <w:tc>
          <w:tcPr>
            <w:tcW w:w="8546" w:type="dxa"/>
            <w:tcBorders>
              <w:top w:val="single" w:sz="6" w:space="0" w:color="auto"/>
              <w:bottom w:val="single" w:sz="6" w:space="0" w:color="auto"/>
            </w:tcBorders>
            <w:shd w:val="clear" w:color="auto" w:fill="auto"/>
          </w:tcPr>
          <w:p w14:paraId="734E6B6E" w14:textId="77777777" w:rsidR="005963D0" w:rsidRDefault="00C77270" w:rsidP="00155128">
            <w:pPr>
              <w:spacing w:before="120" w:after="120"/>
            </w:pPr>
            <w:r>
              <w:rPr>
                <w:b/>
                <w:bCs/>
              </w:rPr>
              <w:t>Organismo responsable:</w:t>
            </w:r>
            <w:r>
              <w:t xml:space="preserve"> </w:t>
            </w:r>
            <w:bookmarkStart w:id="2" w:name="sps2a"/>
          </w:p>
          <w:p w14:paraId="01D48037" w14:textId="227C5D0A" w:rsidR="00F85C99" w:rsidRPr="002F6A28" w:rsidRDefault="00C77270" w:rsidP="005963D0">
            <w:pPr>
              <w:spacing w:before="120" w:after="120"/>
              <w:jc w:val="left"/>
            </w:pPr>
            <w:proofErr w:type="spellStart"/>
            <w:r w:rsidRPr="00D300EC">
              <w:rPr>
                <w:i/>
                <w:iCs/>
              </w:rPr>
              <w:t>Food</w:t>
            </w:r>
            <w:proofErr w:type="spellEnd"/>
            <w:r w:rsidRPr="00D300EC">
              <w:rPr>
                <w:i/>
                <w:iCs/>
              </w:rPr>
              <w:t xml:space="preserve"> </w:t>
            </w:r>
            <w:proofErr w:type="spellStart"/>
            <w:r w:rsidRPr="00D300EC">
              <w:rPr>
                <w:i/>
                <w:iCs/>
              </w:rPr>
              <w:t>Standards</w:t>
            </w:r>
            <w:proofErr w:type="spellEnd"/>
            <w:r w:rsidRPr="00D300EC">
              <w:rPr>
                <w:i/>
                <w:iCs/>
              </w:rPr>
              <w:t xml:space="preserve"> Australia New </w:t>
            </w:r>
            <w:proofErr w:type="spellStart"/>
            <w:r w:rsidRPr="00D300EC">
              <w:rPr>
                <w:i/>
                <w:iCs/>
              </w:rPr>
              <w:t>Zealand</w:t>
            </w:r>
            <w:proofErr w:type="spellEnd"/>
            <w:r>
              <w:t xml:space="preserve"> (</w:t>
            </w:r>
            <w:proofErr w:type="spellStart"/>
            <w:r>
              <w:t>FSANZ</w:t>
            </w:r>
            <w:proofErr w:type="spellEnd"/>
            <w:r>
              <w:t xml:space="preserve">) </w:t>
            </w:r>
            <w:r w:rsidR="005963D0">
              <w:br/>
            </w:r>
            <w:r>
              <w:t>(Organismo de Normas Alimentarias de Australia y Nueva Zelandia)</w:t>
            </w:r>
            <w:bookmarkEnd w:id="2"/>
          </w:p>
          <w:p w14:paraId="50476ED5" w14:textId="77777777" w:rsidR="00F85C99" w:rsidRPr="002F6A28" w:rsidRDefault="00C77270" w:rsidP="00AA646C">
            <w:pPr>
              <w:spacing w:after="120"/>
            </w:pPr>
            <w:r>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t xml:space="preserve"> </w:t>
            </w:r>
            <w:bookmarkStart w:id="3" w:name="sps4a"/>
          </w:p>
          <w:p w14:paraId="5F73CBB4" w14:textId="77777777" w:rsidR="00FE61C6" w:rsidRPr="002F6A28" w:rsidRDefault="00C77270" w:rsidP="00AA646C">
            <w:pPr>
              <w:spacing w:after="120"/>
              <w:jc w:val="left"/>
            </w:pPr>
            <w:r w:rsidRPr="005963D0">
              <w:rPr>
                <w:i/>
                <w:iCs/>
                <w:lang w:val="en-GB"/>
              </w:rPr>
              <w:t>Standards New Zealand</w:t>
            </w:r>
            <w:r>
              <w:br/>
              <w:t>(Normas Nueva Zelandia)</w:t>
            </w:r>
            <w:r>
              <w:br/>
              <w:t>Teléfono: +64 4 498 5990</w:t>
            </w:r>
            <w:r>
              <w:br/>
            </w:r>
            <w:hyperlink r:id="rId7" w:history="1">
              <w:r>
                <w:rPr>
                  <w:color w:val="0000FF"/>
                  <w:u w:val="single"/>
                </w:rPr>
                <w:t>wto@standards.co.nz</w:t>
              </w:r>
            </w:hyperlink>
            <w:r>
              <w:t xml:space="preserve"> </w:t>
            </w:r>
            <w:r>
              <w:br/>
            </w:r>
            <w:hyperlink r:id="rId8" w:history="1">
              <w:r>
                <w:rPr>
                  <w:color w:val="0000FF"/>
                  <w:u w:val="single"/>
                </w:rPr>
                <w:t>www.standards.govt.nz</w:t>
              </w:r>
            </w:hyperlink>
            <w:bookmarkEnd w:id="3"/>
          </w:p>
        </w:tc>
      </w:tr>
      <w:tr w:rsidR="00962992" w14:paraId="07E0F2D9" w14:textId="77777777" w:rsidTr="0069259F">
        <w:tc>
          <w:tcPr>
            <w:tcW w:w="713" w:type="dxa"/>
            <w:tcBorders>
              <w:top w:val="single" w:sz="6" w:space="0" w:color="auto"/>
              <w:bottom w:val="single" w:sz="6" w:space="0" w:color="auto"/>
            </w:tcBorders>
            <w:shd w:val="clear" w:color="auto" w:fill="auto"/>
          </w:tcPr>
          <w:p w14:paraId="47A85C16" w14:textId="77777777" w:rsidR="00F85C99" w:rsidRPr="002F6A28" w:rsidRDefault="00C77270" w:rsidP="002F6A28">
            <w:pPr>
              <w:spacing w:before="120" w:after="120"/>
              <w:jc w:val="left"/>
              <w:rPr>
                <w:b/>
              </w:rPr>
            </w:pPr>
            <w:r>
              <w:rPr>
                <w:b/>
              </w:rPr>
              <w:t>3.</w:t>
            </w:r>
          </w:p>
        </w:tc>
        <w:tc>
          <w:tcPr>
            <w:tcW w:w="8546" w:type="dxa"/>
            <w:tcBorders>
              <w:top w:val="single" w:sz="6" w:space="0" w:color="auto"/>
              <w:bottom w:val="single" w:sz="6" w:space="0" w:color="auto"/>
            </w:tcBorders>
            <w:shd w:val="clear" w:color="auto" w:fill="auto"/>
          </w:tcPr>
          <w:p w14:paraId="20E18CBD" w14:textId="77777777" w:rsidR="00F85C99" w:rsidRPr="0058336F" w:rsidRDefault="00C77270" w:rsidP="002F6A28">
            <w:pPr>
              <w:spacing w:before="120" w:after="120"/>
            </w:pPr>
            <w:r>
              <w:rPr>
                <w:b/>
                <w:bCs/>
              </w:rPr>
              <w:t>Notificación hecha en virtud del artículo 2.9.2 [X], 2.10.1 [ ], 5.6.2 [ ], 5.7.1 [ ], o en virtud de:</w:t>
            </w:r>
            <w:r>
              <w:t xml:space="preserve"> </w:t>
            </w:r>
            <w:bookmarkStart w:id="4" w:name="tbt3e"/>
            <w:bookmarkEnd w:id="4"/>
          </w:p>
        </w:tc>
      </w:tr>
      <w:tr w:rsidR="00962992" w14:paraId="148FDB81" w14:textId="77777777" w:rsidTr="0069259F">
        <w:tc>
          <w:tcPr>
            <w:tcW w:w="713" w:type="dxa"/>
            <w:tcBorders>
              <w:top w:val="single" w:sz="6" w:space="0" w:color="auto"/>
              <w:bottom w:val="single" w:sz="6" w:space="0" w:color="auto"/>
            </w:tcBorders>
            <w:shd w:val="clear" w:color="auto" w:fill="auto"/>
          </w:tcPr>
          <w:p w14:paraId="5BD12D8C" w14:textId="77777777" w:rsidR="00F85C99" w:rsidRPr="002F6A28" w:rsidRDefault="00C77270" w:rsidP="002F6A28">
            <w:pPr>
              <w:spacing w:before="120" w:after="120"/>
              <w:jc w:val="left"/>
            </w:pPr>
            <w:r>
              <w:rPr>
                <w:b/>
              </w:rPr>
              <w:t>4.</w:t>
            </w:r>
          </w:p>
        </w:tc>
        <w:tc>
          <w:tcPr>
            <w:tcW w:w="8546" w:type="dxa"/>
            <w:tcBorders>
              <w:top w:val="single" w:sz="6" w:space="0" w:color="auto"/>
              <w:bottom w:val="single" w:sz="6" w:space="0" w:color="auto"/>
            </w:tcBorders>
            <w:shd w:val="clear" w:color="auto" w:fill="auto"/>
          </w:tcPr>
          <w:p w14:paraId="02CD2EFA" w14:textId="77777777" w:rsidR="00F85C99" w:rsidRPr="002F6A28" w:rsidRDefault="00C77270" w:rsidP="002F6A28">
            <w:pPr>
              <w:spacing w:before="120" w:after="120"/>
            </w:pPr>
            <w:r>
              <w:rPr>
                <w:b/>
              </w:rPr>
              <w:t>Productos abarcados (partida del SA o de la NCCA cuando corresponda; en otro caso partida del arancel nacional.</w:t>
            </w:r>
            <w:bookmarkStart w:id="5" w:name="X_TBT_Reg_4A"/>
            <w:r>
              <w:rPr>
                <w:b/>
              </w:rPr>
              <w:t xml:space="preserve"> </w:t>
            </w:r>
            <w:bookmarkEnd w:id="5"/>
            <w:r>
              <w:rPr>
                <w:b/>
                <w:bCs/>
              </w:rPr>
              <w:t>Podrá indicarse además, cuando proceda, el número de partida de la ICS):</w:t>
            </w:r>
            <w:r>
              <w:t xml:space="preserve"> Productos alimenticios, destinados a la venta al por menor en Nueva Zelandia, cuyo contenido de cafeína supere los valores siguientes: </w:t>
            </w:r>
            <w:r>
              <w:rPr>
                <w:i/>
                <w:iCs/>
              </w:rPr>
              <w:t>a</w:t>
            </w:r>
            <w:r>
              <w:t xml:space="preserve">) el 5% en el caso de los alimentos sólidos y semisólidos; y </w:t>
            </w:r>
            <w:r>
              <w:rPr>
                <w:i/>
                <w:iCs/>
              </w:rPr>
              <w:t>b</w:t>
            </w:r>
            <w:r>
              <w:t>) el 1% en el caso de los alimentos líquidos.</w:t>
            </w:r>
            <w:bookmarkStart w:id="6" w:name="sps3a"/>
            <w:bookmarkEnd w:id="6"/>
          </w:p>
        </w:tc>
      </w:tr>
      <w:tr w:rsidR="00962992" w14:paraId="433A6868" w14:textId="77777777" w:rsidTr="0069259F">
        <w:tc>
          <w:tcPr>
            <w:tcW w:w="713" w:type="dxa"/>
            <w:tcBorders>
              <w:top w:val="single" w:sz="6" w:space="0" w:color="auto"/>
              <w:bottom w:val="single" w:sz="6" w:space="0" w:color="auto"/>
            </w:tcBorders>
            <w:shd w:val="clear" w:color="auto" w:fill="auto"/>
          </w:tcPr>
          <w:p w14:paraId="6DE49D8F" w14:textId="77777777" w:rsidR="00F85C99" w:rsidRPr="002F6A28" w:rsidRDefault="00C77270" w:rsidP="002F6A28">
            <w:pPr>
              <w:spacing w:before="120" w:after="120"/>
              <w:jc w:val="left"/>
            </w:pPr>
            <w:r>
              <w:rPr>
                <w:b/>
              </w:rPr>
              <w:t>5.</w:t>
            </w:r>
          </w:p>
        </w:tc>
        <w:tc>
          <w:tcPr>
            <w:tcW w:w="8546" w:type="dxa"/>
            <w:tcBorders>
              <w:top w:val="single" w:sz="6" w:space="0" w:color="auto"/>
              <w:bottom w:val="single" w:sz="6" w:space="0" w:color="auto"/>
            </w:tcBorders>
            <w:shd w:val="clear" w:color="auto" w:fill="auto"/>
          </w:tcPr>
          <w:p w14:paraId="767D628B" w14:textId="77777777" w:rsidR="00F85C99" w:rsidRPr="002F6A28" w:rsidRDefault="00C77270" w:rsidP="002F6A28">
            <w:pPr>
              <w:spacing w:before="120" w:after="120"/>
            </w:pPr>
            <w:r>
              <w:rPr>
                <w:b/>
                <w:bCs/>
              </w:rPr>
              <w:t>Título, número de páginas e idioma(s) del documento notificado:</w:t>
            </w:r>
            <w:r>
              <w:t xml:space="preserve"> </w:t>
            </w:r>
            <w:r w:rsidRPr="00D300EC">
              <w:rPr>
                <w:i/>
                <w:iCs/>
              </w:rPr>
              <w:t xml:space="preserve">Final </w:t>
            </w:r>
            <w:proofErr w:type="spellStart"/>
            <w:r w:rsidRPr="00D300EC">
              <w:rPr>
                <w:i/>
                <w:iCs/>
              </w:rPr>
              <w:t>Consideration</w:t>
            </w:r>
            <w:proofErr w:type="spellEnd"/>
            <w:r w:rsidRPr="00D300EC">
              <w:rPr>
                <w:i/>
                <w:iCs/>
              </w:rPr>
              <w:t xml:space="preserve"> </w:t>
            </w:r>
            <w:proofErr w:type="spellStart"/>
            <w:r w:rsidRPr="00D300EC">
              <w:rPr>
                <w:i/>
                <w:iCs/>
              </w:rPr>
              <w:t>Report</w:t>
            </w:r>
            <w:proofErr w:type="spellEnd"/>
            <w:r w:rsidRPr="00D300EC">
              <w:rPr>
                <w:i/>
                <w:iCs/>
              </w:rPr>
              <w:t xml:space="preserve"> </w:t>
            </w:r>
            <w:proofErr w:type="spellStart"/>
            <w:r w:rsidRPr="00D300EC">
              <w:rPr>
                <w:i/>
                <w:iCs/>
              </w:rPr>
              <w:t>for</w:t>
            </w:r>
            <w:proofErr w:type="spellEnd"/>
            <w:r w:rsidRPr="00D300EC">
              <w:rPr>
                <w:i/>
                <w:iCs/>
              </w:rPr>
              <w:t xml:space="preserve"> </w:t>
            </w:r>
            <w:proofErr w:type="spellStart"/>
            <w:r w:rsidRPr="00D300EC">
              <w:rPr>
                <w:i/>
                <w:iCs/>
              </w:rPr>
              <w:t>Urgent</w:t>
            </w:r>
            <w:proofErr w:type="spellEnd"/>
            <w:r w:rsidRPr="00D300EC">
              <w:rPr>
                <w:i/>
                <w:iCs/>
              </w:rPr>
              <w:t xml:space="preserve"> </w:t>
            </w:r>
            <w:proofErr w:type="spellStart"/>
            <w:r w:rsidRPr="00D300EC">
              <w:rPr>
                <w:i/>
                <w:iCs/>
              </w:rPr>
              <w:t>Proposal</w:t>
            </w:r>
            <w:proofErr w:type="spellEnd"/>
            <w:r w:rsidRPr="00D300EC">
              <w:rPr>
                <w:i/>
                <w:iCs/>
              </w:rPr>
              <w:t xml:space="preserve"> P1054 - Pure and </w:t>
            </w:r>
            <w:proofErr w:type="spellStart"/>
            <w:r w:rsidRPr="00D300EC">
              <w:rPr>
                <w:i/>
                <w:iCs/>
              </w:rPr>
              <w:t>highly</w:t>
            </w:r>
            <w:proofErr w:type="spellEnd"/>
            <w:r w:rsidRPr="00D300EC">
              <w:rPr>
                <w:i/>
                <w:iCs/>
              </w:rPr>
              <w:t xml:space="preserve"> </w:t>
            </w:r>
            <w:proofErr w:type="spellStart"/>
            <w:r w:rsidRPr="00D300EC">
              <w:rPr>
                <w:i/>
                <w:iCs/>
              </w:rPr>
              <w:t>concentrated</w:t>
            </w:r>
            <w:proofErr w:type="spellEnd"/>
            <w:r w:rsidRPr="00D300EC">
              <w:rPr>
                <w:i/>
                <w:iCs/>
              </w:rPr>
              <w:t xml:space="preserve"> </w:t>
            </w:r>
            <w:proofErr w:type="spellStart"/>
            <w:r w:rsidRPr="00D300EC">
              <w:rPr>
                <w:i/>
                <w:iCs/>
              </w:rPr>
              <w:t>caffeine</w:t>
            </w:r>
            <w:proofErr w:type="spellEnd"/>
            <w:r w:rsidRPr="00D300EC">
              <w:rPr>
                <w:i/>
                <w:iCs/>
              </w:rPr>
              <w:t xml:space="preserve"> </w:t>
            </w:r>
            <w:proofErr w:type="spellStart"/>
            <w:r w:rsidRPr="00D300EC">
              <w:rPr>
                <w:i/>
                <w:iCs/>
              </w:rPr>
              <w:t>products</w:t>
            </w:r>
            <w:proofErr w:type="spellEnd"/>
            <w:r w:rsidRPr="00D300EC">
              <w:t xml:space="preserve"> </w:t>
            </w:r>
            <w:r>
              <w:t>(Informe del examen final de la propuesta urgente P1054. Productos de cafeína puros y muy concentrados). Documento en inglés (49 páginas).</w:t>
            </w:r>
            <w:bookmarkStart w:id="7" w:name="sps5a"/>
            <w:bookmarkStart w:id="8" w:name="sps5c"/>
            <w:bookmarkStart w:id="9" w:name="sps5b"/>
            <w:bookmarkEnd w:id="7"/>
            <w:bookmarkEnd w:id="8"/>
            <w:bookmarkEnd w:id="9"/>
          </w:p>
        </w:tc>
      </w:tr>
      <w:tr w:rsidR="00D300EC" w14:paraId="13DF52A3" w14:textId="77777777" w:rsidTr="0069259F">
        <w:tc>
          <w:tcPr>
            <w:tcW w:w="713" w:type="dxa"/>
            <w:tcBorders>
              <w:top w:val="single" w:sz="6" w:space="0" w:color="auto"/>
              <w:bottom w:val="single" w:sz="6" w:space="0" w:color="auto"/>
            </w:tcBorders>
            <w:shd w:val="clear" w:color="auto" w:fill="auto"/>
          </w:tcPr>
          <w:p w14:paraId="4FC0B0E1" w14:textId="2644ABEF" w:rsidR="00D300EC" w:rsidRDefault="00D300EC" w:rsidP="002F6A28">
            <w:pPr>
              <w:spacing w:before="120" w:after="120"/>
              <w:jc w:val="left"/>
              <w:rPr>
                <w:b/>
              </w:rPr>
            </w:pPr>
            <w:r>
              <w:rPr>
                <w:b/>
              </w:rPr>
              <w:t>6.</w:t>
            </w:r>
          </w:p>
        </w:tc>
        <w:tc>
          <w:tcPr>
            <w:tcW w:w="8546" w:type="dxa"/>
            <w:tcBorders>
              <w:top w:val="single" w:sz="6" w:space="0" w:color="auto"/>
              <w:bottom w:val="single" w:sz="6" w:space="0" w:color="auto"/>
            </w:tcBorders>
            <w:shd w:val="clear" w:color="auto" w:fill="auto"/>
          </w:tcPr>
          <w:p w14:paraId="1539B832" w14:textId="77777777" w:rsidR="00D300EC" w:rsidRDefault="00D300EC" w:rsidP="00D300EC">
            <w:pPr>
              <w:spacing w:before="120" w:after="120"/>
            </w:pPr>
            <w:r>
              <w:rPr>
                <w:b/>
                <w:bCs/>
              </w:rPr>
              <w:t>Descripción del contenido:</w:t>
            </w:r>
            <w:r>
              <w:t xml:space="preserve"> </w:t>
            </w:r>
          </w:p>
          <w:p w14:paraId="625C2237" w14:textId="77777777" w:rsidR="00D300EC" w:rsidRPr="002F6A28" w:rsidRDefault="00D300EC" w:rsidP="00D300EC">
            <w:pPr>
              <w:spacing w:before="120" w:after="120"/>
              <w:rPr>
                <w:b/>
              </w:rPr>
            </w:pPr>
            <w:r>
              <w:t>A fin de proteger la salud y seguridad humanas, el Organismo de Normas Alimentarias de Australia y Nueva Zelandia (</w:t>
            </w:r>
            <w:proofErr w:type="spellStart"/>
            <w:r>
              <w:t>FSANZ</w:t>
            </w:r>
            <w:proofErr w:type="spellEnd"/>
            <w:r>
              <w:t xml:space="preserve">) ha aprobado introducir, como medida de urgencia provisional, una modificación en el Código de Normas Alimentarias de Australia y Nueva Zelandia, por la cual se prohíbe la venta al por menor de alimentos cuyo contenido total de cafeína sea igual o superior al 5% (en el caso de los sólidos y semisólidos) o igual o superior al 1% (en el caso de los líquidos). </w:t>
            </w:r>
          </w:p>
          <w:p w14:paraId="2E4E7B5C" w14:textId="32C9DEC7" w:rsidR="00D300EC" w:rsidRDefault="00D300EC" w:rsidP="00D300EC">
            <w:pPr>
              <w:spacing w:after="120"/>
              <w:rPr>
                <w:b/>
                <w:bCs/>
              </w:rPr>
            </w:pPr>
            <w:r>
              <w:t>La decisión se toma a raíz del reciente fallecimiento de una persona, en Australia, por la ingestión de polvo de cafeína pura o muy concentrada, y se fundamenta en una evaluación que confirma que los productos alimenticios de cafeína pura o muy concentrada entrañan un riesgo inmediato y muy importante para la salud de los consumidores si se ofrecen m</w:t>
            </w:r>
            <w:bookmarkStart w:id="10" w:name="_GoBack"/>
            <w:bookmarkEnd w:id="10"/>
            <w:r>
              <w:t>ediante venta directa. La ingestión de pequeñas cantidades de sustancias de cafeína pura o con concentraciones elevadas puede ocasionar la muerte u otros efectos adversos graves.</w:t>
            </w:r>
          </w:p>
        </w:tc>
      </w:tr>
      <w:tr w:rsidR="00962992" w14:paraId="430F7DA9" w14:textId="77777777" w:rsidTr="005963D0">
        <w:trPr>
          <w:cantSplit/>
        </w:trPr>
        <w:tc>
          <w:tcPr>
            <w:tcW w:w="713" w:type="dxa"/>
            <w:tcBorders>
              <w:top w:val="single" w:sz="6" w:space="0" w:color="auto"/>
              <w:bottom w:val="single" w:sz="6" w:space="0" w:color="auto"/>
            </w:tcBorders>
            <w:shd w:val="clear" w:color="auto" w:fill="auto"/>
          </w:tcPr>
          <w:p w14:paraId="32C425A3" w14:textId="06C960FD" w:rsidR="00F85C99" w:rsidRPr="002F6A28" w:rsidRDefault="00F85C99" w:rsidP="002F6A28">
            <w:pPr>
              <w:spacing w:before="120" w:after="120"/>
              <w:jc w:val="left"/>
              <w:rPr>
                <w:b/>
              </w:rPr>
            </w:pPr>
          </w:p>
        </w:tc>
        <w:tc>
          <w:tcPr>
            <w:tcW w:w="8546" w:type="dxa"/>
            <w:tcBorders>
              <w:top w:val="single" w:sz="6" w:space="0" w:color="auto"/>
              <w:bottom w:val="single" w:sz="6" w:space="0" w:color="auto"/>
            </w:tcBorders>
            <w:shd w:val="clear" w:color="auto" w:fill="auto"/>
          </w:tcPr>
          <w:p w14:paraId="53F8590A" w14:textId="77777777" w:rsidR="00FE448B" w:rsidRPr="00C379C8" w:rsidRDefault="00C77270" w:rsidP="002F6A28">
            <w:pPr>
              <w:spacing w:after="120"/>
            </w:pPr>
            <w:r>
              <w:t>La medida provisional notificada entra en vigor en diciembre de 2019.</w:t>
            </w:r>
          </w:p>
          <w:p w14:paraId="797CC7F2" w14:textId="7567A81B" w:rsidR="00FE448B" w:rsidRPr="00C379C8" w:rsidRDefault="00C77270" w:rsidP="005963D0">
            <w:pPr>
              <w:spacing w:after="120"/>
            </w:pPr>
            <w:r>
              <w:t>La FSANZ revisará la medida notificada y decidirá, en el plazo de 12 meses, si la confirma, la modifica o la revoca, teniendo en cuenta las observaciones que le hagan llegar los Miembros de la OMC en respuesta a la presente notificación.</w:t>
            </w:r>
            <w:r w:rsidR="005963D0">
              <w:t xml:space="preserve"> </w:t>
            </w:r>
            <w:r>
              <w:t>Nueva Zelandia notifica la medida provisional en el marco del Acuerdo MSF y del Acuerdo OTC, ya que la cafeína no puede considerarse como un aditivo a los efectos del Acuerdo MSF y en relación con todos los productos alimenticios, por ejemplo en los productos de cafeína pura, en los que constituye el ingrediente principal; este caso se regiría por el Acuerdo OTC (no el de MSF).</w:t>
            </w:r>
          </w:p>
        </w:tc>
      </w:tr>
      <w:tr w:rsidR="00962992" w14:paraId="071C4BBA" w14:textId="77777777" w:rsidTr="0069259F">
        <w:tc>
          <w:tcPr>
            <w:tcW w:w="713" w:type="dxa"/>
            <w:tcBorders>
              <w:top w:val="single" w:sz="6" w:space="0" w:color="auto"/>
              <w:bottom w:val="single" w:sz="6" w:space="0" w:color="auto"/>
            </w:tcBorders>
            <w:shd w:val="clear" w:color="auto" w:fill="auto"/>
          </w:tcPr>
          <w:p w14:paraId="445481DA" w14:textId="77777777" w:rsidR="00F85C99" w:rsidRPr="002F6A28" w:rsidRDefault="00C77270" w:rsidP="002F6A28">
            <w:pPr>
              <w:spacing w:before="120" w:after="120"/>
              <w:jc w:val="left"/>
              <w:rPr>
                <w:b/>
              </w:rPr>
            </w:pPr>
            <w:r>
              <w:rPr>
                <w:b/>
              </w:rPr>
              <w:t>7.</w:t>
            </w:r>
          </w:p>
        </w:tc>
        <w:tc>
          <w:tcPr>
            <w:tcW w:w="8546" w:type="dxa"/>
            <w:tcBorders>
              <w:top w:val="single" w:sz="6" w:space="0" w:color="auto"/>
              <w:bottom w:val="single" w:sz="6" w:space="0" w:color="auto"/>
            </w:tcBorders>
            <w:shd w:val="clear" w:color="auto" w:fill="auto"/>
          </w:tcPr>
          <w:p w14:paraId="790670A4" w14:textId="77777777" w:rsidR="00F85C99" w:rsidRPr="002F6A28" w:rsidRDefault="00C77270" w:rsidP="002F6A28">
            <w:pPr>
              <w:spacing w:before="120" w:after="120"/>
              <w:rPr>
                <w:b/>
              </w:rPr>
            </w:pPr>
            <w:r>
              <w:rPr>
                <w:b/>
                <w:bCs/>
              </w:rPr>
              <w:t>Objetivo y razón de ser, incluida, cuando proceda, la naturaleza de los problemas urgentes:</w:t>
            </w:r>
            <w:r>
              <w:t xml:space="preserve"> El objetivo y razón de ser de la medida notificada es la protección urgente de la salud humana ante el riesgo inmediato e importante que representa la venta directa de formas puras o muy purificadas de cafeína.</w:t>
            </w:r>
            <w:bookmarkStart w:id="11" w:name="sps7f"/>
            <w:bookmarkEnd w:id="11"/>
          </w:p>
        </w:tc>
      </w:tr>
      <w:tr w:rsidR="00962992" w:rsidRPr="00D300EC" w14:paraId="18D463F3" w14:textId="77777777" w:rsidTr="0069259F">
        <w:tc>
          <w:tcPr>
            <w:tcW w:w="713" w:type="dxa"/>
            <w:tcBorders>
              <w:top w:val="single" w:sz="6" w:space="0" w:color="auto"/>
              <w:bottom w:val="single" w:sz="6" w:space="0" w:color="auto"/>
            </w:tcBorders>
            <w:shd w:val="clear" w:color="auto" w:fill="auto"/>
          </w:tcPr>
          <w:p w14:paraId="6391D3B1" w14:textId="77777777" w:rsidR="00F85C99" w:rsidRPr="002F6A28" w:rsidRDefault="00C77270" w:rsidP="009E75ED">
            <w:pPr>
              <w:spacing w:before="120" w:after="120"/>
              <w:jc w:val="left"/>
              <w:rPr>
                <w:b/>
              </w:rPr>
            </w:pPr>
            <w:r>
              <w:rPr>
                <w:b/>
              </w:rPr>
              <w:t>8.</w:t>
            </w:r>
          </w:p>
        </w:tc>
        <w:tc>
          <w:tcPr>
            <w:tcW w:w="8546" w:type="dxa"/>
            <w:tcBorders>
              <w:top w:val="single" w:sz="6" w:space="0" w:color="auto"/>
              <w:bottom w:val="single" w:sz="6" w:space="0" w:color="auto"/>
            </w:tcBorders>
            <w:shd w:val="clear" w:color="auto" w:fill="auto"/>
          </w:tcPr>
          <w:p w14:paraId="6C73252F" w14:textId="77777777" w:rsidR="00072B36" w:rsidRPr="002F6A28" w:rsidRDefault="00C77270" w:rsidP="009E75ED">
            <w:pPr>
              <w:spacing w:before="120" w:after="120"/>
            </w:pPr>
            <w:r>
              <w:rPr>
                <w:b/>
                <w:bCs/>
              </w:rPr>
              <w:t>Documentos pertinentes:</w:t>
            </w:r>
            <w:r>
              <w:t xml:space="preserve"> </w:t>
            </w:r>
          </w:p>
          <w:p w14:paraId="18666DE5" w14:textId="77777777" w:rsidR="00F85C99" w:rsidRPr="002F6A28" w:rsidRDefault="00C77270" w:rsidP="005963D0">
            <w:pPr>
              <w:spacing w:before="120" w:after="120"/>
              <w:jc w:val="left"/>
            </w:pPr>
            <w:r w:rsidRPr="00D300EC">
              <w:rPr>
                <w:i/>
                <w:iCs/>
              </w:rPr>
              <w:t xml:space="preserve">Australia New </w:t>
            </w:r>
            <w:proofErr w:type="spellStart"/>
            <w:r w:rsidRPr="00D300EC">
              <w:rPr>
                <w:i/>
                <w:iCs/>
              </w:rPr>
              <w:t>Zealand</w:t>
            </w:r>
            <w:proofErr w:type="spellEnd"/>
            <w:r w:rsidRPr="00D300EC">
              <w:rPr>
                <w:i/>
                <w:iCs/>
              </w:rPr>
              <w:t xml:space="preserve"> </w:t>
            </w:r>
            <w:proofErr w:type="spellStart"/>
            <w:r w:rsidRPr="00D300EC">
              <w:rPr>
                <w:i/>
                <w:iCs/>
              </w:rPr>
              <w:t>Food</w:t>
            </w:r>
            <w:proofErr w:type="spellEnd"/>
            <w:r w:rsidRPr="00D300EC">
              <w:rPr>
                <w:i/>
                <w:iCs/>
              </w:rPr>
              <w:t xml:space="preserve"> </w:t>
            </w:r>
            <w:proofErr w:type="spellStart"/>
            <w:r w:rsidRPr="00D300EC">
              <w:rPr>
                <w:i/>
                <w:iCs/>
              </w:rPr>
              <w:t>Standards</w:t>
            </w:r>
            <w:proofErr w:type="spellEnd"/>
            <w:r w:rsidRPr="00D300EC">
              <w:rPr>
                <w:i/>
                <w:iCs/>
              </w:rPr>
              <w:t xml:space="preserve"> </w:t>
            </w:r>
            <w:proofErr w:type="spellStart"/>
            <w:r w:rsidRPr="00D300EC">
              <w:rPr>
                <w:i/>
                <w:iCs/>
              </w:rPr>
              <w:t>Code</w:t>
            </w:r>
            <w:proofErr w:type="spellEnd"/>
            <w:r>
              <w:t xml:space="preserve"> (en inglés).</w:t>
            </w:r>
          </w:p>
          <w:p w14:paraId="2C929A5F" w14:textId="77777777" w:rsidR="00FE61C6" w:rsidRPr="002F6A28" w:rsidRDefault="00C77270" w:rsidP="005963D0">
            <w:pPr>
              <w:spacing w:after="120"/>
              <w:jc w:val="left"/>
              <w:rPr>
                <w:bCs/>
              </w:rPr>
            </w:pPr>
            <w:r>
              <w:t>Los documentos se pueden consultar en el sitio web del Organismo de Normas Alimentarias de Australia y Nueva Zelandia:</w:t>
            </w:r>
            <w:r>
              <w:br/>
            </w:r>
            <w:hyperlink r:id="rId9" w:history="1">
              <w:hyperlink r:id="rId10" w:history="1">
                <w:r>
                  <w:rPr>
                    <w:bCs/>
                    <w:color w:val="0000FF"/>
                    <w:u w:val="single"/>
                  </w:rPr>
                  <w:t>https://www.foodstandards.gov.au/code/proposals/Pages/P1054.aspx</w:t>
                </w:r>
              </w:hyperlink>
            </w:hyperlink>
            <w:r>
              <w:t> </w:t>
            </w:r>
          </w:p>
          <w:p w14:paraId="0F39007D" w14:textId="77777777" w:rsidR="00FE61C6" w:rsidRPr="005963D0" w:rsidRDefault="00D300EC" w:rsidP="005963D0">
            <w:pPr>
              <w:spacing w:after="120"/>
              <w:jc w:val="left"/>
              <w:rPr>
                <w:bCs/>
                <w:lang w:val="en-GB"/>
              </w:rPr>
            </w:pPr>
            <w:hyperlink r:id="rId11" w:history="1">
              <w:r w:rsidR="00C77270" w:rsidRPr="005963D0">
                <w:rPr>
                  <w:bCs/>
                  <w:i/>
                  <w:iCs/>
                  <w:color w:val="0000FF"/>
                  <w:u w:val="single"/>
                  <w:lang w:val="en-GB"/>
                </w:rPr>
                <w:t>Australia New Zealand Food Standards Code</w:t>
              </w:r>
            </w:hyperlink>
          </w:p>
        </w:tc>
      </w:tr>
      <w:tr w:rsidR="00962992" w14:paraId="2C85574D" w14:textId="77777777" w:rsidTr="00AE6CC8">
        <w:trPr>
          <w:cantSplit/>
        </w:trPr>
        <w:tc>
          <w:tcPr>
            <w:tcW w:w="713" w:type="dxa"/>
            <w:tcBorders>
              <w:top w:val="single" w:sz="6" w:space="0" w:color="auto"/>
              <w:bottom w:val="single" w:sz="6" w:space="0" w:color="auto"/>
            </w:tcBorders>
            <w:shd w:val="clear" w:color="auto" w:fill="auto"/>
          </w:tcPr>
          <w:p w14:paraId="270B1F05" w14:textId="77777777" w:rsidR="00EE3A11" w:rsidRPr="002F6A28" w:rsidRDefault="00C77270" w:rsidP="002F6A28">
            <w:pPr>
              <w:spacing w:before="120" w:after="120"/>
              <w:jc w:val="left"/>
              <w:rPr>
                <w:b/>
              </w:rPr>
            </w:pPr>
            <w:r>
              <w:rPr>
                <w:b/>
              </w:rPr>
              <w:t>9.</w:t>
            </w:r>
          </w:p>
        </w:tc>
        <w:tc>
          <w:tcPr>
            <w:tcW w:w="8546" w:type="dxa"/>
            <w:tcBorders>
              <w:top w:val="single" w:sz="6" w:space="0" w:color="auto"/>
              <w:bottom w:val="single" w:sz="6" w:space="0" w:color="auto"/>
            </w:tcBorders>
            <w:shd w:val="clear" w:color="auto" w:fill="auto"/>
          </w:tcPr>
          <w:p w14:paraId="70B1D011" w14:textId="77777777" w:rsidR="00EE3A11" w:rsidRPr="002F6A28" w:rsidRDefault="00C77270" w:rsidP="008953C4">
            <w:pPr>
              <w:spacing w:before="120" w:after="120"/>
            </w:pPr>
            <w:r>
              <w:rPr>
                <w:b/>
                <w:bCs/>
              </w:rPr>
              <w:t>Fecha propuesta de adopción:</w:t>
            </w:r>
            <w:r>
              <w:t xml:space="preserve"> </w:t>
            </w:r>
            <w:bookmarkStart w:id="12" w:name="sps10a"/>
            <w:bookmarkStart w:id="13" w:name="sps10b"/>
            <w:bookmarkEnd w:id="12"/>
            <w:r>
              <w:t xml:space="preserve">La fecha de adopción y entrada en vigor de la medida urgente es el 12 de diciembre de 2019. </w:t>
            </w:r>
            <w:bookmarkEnd w:id="13"/>
          </w:p>
          <w:p w14:paraId="7088006D" w14:textId="77777777" w:rsidR="00EE3A11" w:rsidRPr="002F6A28" w:rsidRDefault="00C77270" w:rsidP="008953C4">
            <w:pPr>
              <w:spacing w:after="120"/>
            </w:pPr>
            <w:r>
              <w:rPr>
                <w:b/>
                <w:bCs/>
              </w:rPr>
              <w:t>Fecha propuesta de entrada en vigor:</w:t>
            </w:r>
            <w:r>
              <w:t xml:space="preserve"> </w:t>
            </w:r>
            <w:bookmarkStart w:id="14" w:name="sps11a"/>
            <w:bookmarkStart w:id="15" w:name="sps11b"/>
            <w:bookmarkEnd w:id="14"/>
            <w:r>
              <w:t>Téngase en cuenta que la FSANZ revisará la medida notificada en el plazo de 12 meses, tras lo cual se notificará la medida definitiva que incorpore las modificaciones determinadas en dicha revisión.</w:t>
            </w:r>
            <w:bookmarkEnd w:id="15"/>
          </w:p>
        </w:tc>
      </w:tr>
      <w:tr w:rsidR="00962992" w14:paraId="6403BE8C" w14:textId="77777777" w:rsidTr="0069259F">
        <w:tc>
          <w:tcPr>
            <w:tcW w:w="713" w:type="dxa"/>
            <w:tcBorders>
              <w:top w:val="single" w:sz="6" w:space="0" w:color="auto"/>
              <w:bottom w:val="single" w:sz="6" w:space="0" w:color="auto"/>
            </w:tcBorders>
            <w:shd w:val="clear" w:color="auto" w:fill="auto"/>
          </w:tcPr>
          <w:p w14:paraId="1272E8A3" w14:textId="77777777" w:rsidR="00F85C99" w:rsidRPr="002F6A28" w:rsidRDefault="00C77270" w:rsidP="002F6A28">
            <w:pPr>
              <w:spacing w:before="120" w:after="120"/>
              <w:jc w:val="left"/>
              <w:rPr>
                <w:b/>
              </w:rPr>
            </w:pPr>
            <w:r>
              <w:rPr>
                <w:b/>
              </w:rPr>
              <w:t>10.</w:t>
            </w:r>
          </w:p>
        </w:tc>
        <w:tc>
          <w:tcPr>
            <w:tcW w:w="8546" w:type="dxa"/>
            <w:tcBorders>
              <w:top w:val="single" w:sz="6" w:space="0" w:color="auto"/>
              <w:bottom w:val="single" w:sz="6" w:space="0" w:color="auto"/>
            </w:tcBorders>
            <w:shd w:val="clear" w:color="auto" w:fill="auto"/>
          </w:tcPr>
          <w:p w14:paraId="5D536983" w14:textId="77777777" w:rsidR="00F85C99" w:rsidRPr="002F6A28" w:rsidRDefault="00C77270" w:rsidP="002F6A28">
            <w:pPr>
              <w:spacing w:before="120" w:after="120"/>
            </w:pPr>
            <w:r>
              <w:rPr>
                <w:b/>
                <w:bCs/>
              </w:rPr>
              <w:t>Fecha límite para la presentación de observaciones:</w:t>
            </w:r>
            <w:r>
              <w:t xml:space="preserve"> 60 días después de la fecha de notificación; la fecha límite para la presentación de observaciones es el 16 de febrero de 2020.</w:t>
            </w:r>
            <w:bookmarkStart w:id="16" w:name="sps12a"/>
            <w:bookmarkEnd w:id="16"/>
          </w:p>
        </w:tc>
      </w:tr>
      <w:tr w:rsidR="00962992" w14:paraId="3627BD1F" w14:textId="77777777" w:rsidTr="0069259F">
        <w:tc>
          <w:tcPr>
            <w:tcW w:w="713" w:type="dxa"/>
            <w:tcBorders>
              <w:top w:val="single" w:sz="6" w:space="0" w:color="auto"/>
            </w:tcBorders>
            <w:shd w:val="clear" w:color="auto" w:fill="auto"/>
          </w:tcPr>
          <w:p w14:paraId="7EB1F9A4" w14:textId="77777777" w:rsidR="00F85C99" w:rsidRPr="002F6A28" w:rsidRDefault="00C77270" w:rsidP="00E969D2">
            <w:pPr>
              <w:keepNext/>
              <w:keepLines/>
              <w:spacing w:before="120" w:after="120"/>
              <w:jc w:val="left"/>
              <w:rPr>
                <w:b/>
              </w:rPr>
            </w:pPr>
            <w:r>
              <w:rPr>
                <w:b/>
              </w:rPr>
              <w:t>11.</w:t>
            </w:r>
          </w:p>
        </w:tc>
        <w:tc>
          <w:tcPr>
            <w:tcW w:w="8546" w:type="dxa"/>
            <w:tcBorders>
              <w:top w:val="single" w:sz="6" w:space="0" w:color="auto"/>
            </w:tcBorders>
            <w:shd w:val="clear" w:color="auto" w:fill="auto"/>
          </w:tcPr>
          <w:p w14:paraId="0CC3014B" w14:textId="77777777" w:rsidR="00F85C99" w:rsidRPr="002F6A28" w:rsidRDefault="00C77270" w:rsidP="00B16145">
            <w:pPr>
              <w:keepNext/>
              <w:keepLines/>
              <w:spacing w:before="120" w:after="120"/>
            </w:pPr>
            <w:r>
              <w:rPr>
                <w:b/>
              </w:rPr>
              <w:t>Textos disponibles en:</w:t>
            </w:r>
            <w:bookmarkStart w:id="17" w:name="X_TBT_Reg_11A"/>
            <w:r>
              <w:rPr>
                <w:b/>
              </w:rPr>
              <w:t xml:space="preserve"> </w:t>
            </w:r>
            <w:bookmarkEnd w:id="17"/>
            <w:r>
              <w:rPr>
                <w:b/>
                <w:bCs/>
              </w:rPr>
              <w:t>Servicio nacional de información [ ], o dirección, números de teléfono y de fax y direcciones de correo electrónico y sitios web, en su caso, de otra institución:</w:t>
            </w:r>
            <w:r>
              <w:rPr>
                <w:b/>
              </w:rPr>
              <w:t xml:space="preserve"> </w:t>
            </w:r>
            <w:bookmarkStart w:id="18" w:name="sps13c"/>
          </w:p>
          <w:p w14:paraId="30153F56" w14:textId="77777777" w:rsidR="00FE61C6" w:rsidRPr="002F6A28" w:rsidRDefault="00C77270" w:rsidP="00B16145">
            <w:pPr>
              <w:keepNext/>
              <w:keepLines/>
              <w:spacing w:before="120" w:after="120"/>
            </w:pPr>
            <w:r>
              <w:t>Los documentos se pueden consultar en el sitio web del Organismo de Normas Alimentarias de Australia y Nueva Zelandia:</w:t>
            </w:r>
          </w:p>
          <w:p w14:paraId="3A2B9CB6" w14:textId="24A8FFA2" w:rsidR="00FE61C6" w:rsidRPr="002F6A28" w:rsidRDefault="00D300EC" w:rsidP="00B16145">
            <w:pPr>
              <w:keepNext/>
              <w:keepLines/>
              <w:spacing w:before="120" w:after="120"/>
            </w:pPr>
            <w:hyperlink r:id="rId12" w:history="1">
              <w:r w:rsidR="00C77270">
                <w:rPr>
                  <w:color w:val="0000FF"/>
                  <w:u w:val="single"/>
                </w:rPr>
                <w:t>https://www.foodstandards.gov.au/code/proposals/Pages/P1054.aspx</w:t>
              </w:r>
            </w:hyperlink>
            <w:bookmarkEnd w:id="18"/>
          </w:p>
        </w:tc>
      </w:tr>
    </w:tbl>
    <w:p w14:paraId="2D8F2149" w14:textId="77777777" w:rsidR="00EE3A11" w:rsidRPr="002F6A28" w:rsidRDefault="00EE3A11" w:rsidP="002F6A28"/>
    <w:sectPr w:rsidR="00EE3A11" w:rsidRPr="002F6A28" w:rsidSect="00D300E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F527" w14:textId="77777777" w:rsidR="001D50D2" w:rsidRDefault="00C77270">
      <w:r>
        <w:separator/>
      </w:r>
    </w:p>
  </w:endnote>
  <w:endnote w:type="continuationSeparator" w:id="0">
    <w:p w14:paraId="7DF9DDF3" w14:textId="77777777" w:rsidR="001D50D2" w:rsidRDefault="00C7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FB1A" w14:textId="77777777" w:rsidR="009239F7" w:rsidRPr="002F6A28" w:rsidRDefault="00C77270" w:rsidP="009239F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F7F0" w14:textId="77777777" w:rsidR="009239F7" w:rsidRPr="002F6A28" w:rsidRDefault="00C77270" w:rsidP="009239F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603C" w14:textId="77777777" w:rsidR="00EE3A11" w:rsidRPr="002F6A28" w:rsidRDefault="00C77270">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BCE8" w14:textId="77777777" w:rsidR="001D50D2" w:rsidRDefault="00C77270">
      <w:r>
        <w:separator/>
      </w:r>
    </w:p>
  </w:footnote>
  <w:footnote w:type="continuationSeparator" w:id="0">
    <w:p w14:paraId="645EEE03" w14:textId="77777777" w:rsidR="001D50D2" w:rsidRDefault="00C7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D8A3" w14:textId="77777777" w:rsidR="009239F7" w:rsidRPr="002F6A28" w:rsidRDefault="00C77270" w:rsidP="009239F7">
    <w:pPr>
      <w:pStyle w:val="En-tte"/>
      <w:pBdr>
        <w:bottom w:val="single" w:sz="4" w:space="1" w:color="auto"/>
      </w:pBdr>
      <w:tabs>
        <w:tab w:val="clear" w:pos="4513"/>
        <w:tab w:val="clear" w:pos="9027"/>
      </w:tabs>
      <w:jc w:val="center"/>
    </w:pPr>
    <w:proofErr w:type="spellStart"/>
    <w:r>
      <w:t>tbtSymbol</w:t>
    </w:r>
    <w:proofErr w:type="spellEnd"/>
  </w:p>
  <w:p w14:paraId="5F3398B0" w14:textId="77777777" w:rsidR="009239F7" w:rsidRPr="002F6A28" w:rsidRDefault="009239F7" w:rsidP="009239F7">
    <w:pPr>
      <w:pStyle w:val="En-tte"/>
      <w:pBdr>
        <w:bottom w:val="single" w:sz="4" w:space="1" w:color="auto"/>
      </w:pBdr>
      <w:tabs>
        <w:tab w:val="clear" w:pos="4513"/>
        <w:tab w:val="clear" w:pos="9027"/>
      </w:tabs>
      <w:jc w:val="center"/>
    </w:pPr>
  </w:p>
  <w:p w14:paraId="59758FF9" w14:textId="77777777" w:rsidR="009239F7" w:rsidRPr="002F6A28" w:rsidRDefault="00C77270" w:rsidP="009239F7">
    <w:pPr>
      <w:pStyle w:val="En-tte"/>
      <w:pBdr>
        <w:bottom w:val="single" w:sz="4" w:space="1" w:color="auto"/>
      </w:pBdr>
      <w:tabs>
        <w:tab w:val="clear" w:pos="4513"/>
        <w:tab w:val="clear" w:pos="9027"/>
      </w:tabs>
      <w:jc w:val="center"/>
    </w:pPr>
    <w:r>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t xml:space="preserve"> -</w:t>
    </w:r>
  </w:p>
  <w:p w14:paraId="0E211CDA"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2E34" w14:textId="77777777" w:rsidR="009239F7" w:rsidRPr="002F6A28" w:rsidRDefault="00C77270" w:rsidP="009239F7">
    <w:pPr>
      <w:pStyle w:val="En-tte"/>
      <w:pBdr>
        <w:bottom w:val="single" w:sz="4" w:space="1" w:color="auto"/>
      </w:pBdr>
      <w:tabs>
        <w:tab w:val="clear" w:pos="4513"/>
        <w:tab w:val="clear" w:pos="9027"/>
      </w:tabs>
      <w:jc w:val="center"/>
    </w:pPr>
    <w:bookmarkStart w:id="19" w:name="spsSymbolHeader"/>
    <w:r>
      <w:t>G/TBT/N/NZL/94</w:t>
    </w:r>
    <w:bookmarkEnd w:id="19"/>
  </w:p>
  <w:p w14:paraId="1D904CDF" w14:textId="77777777" w:rsidR="009239F7" w:rsidRPr="002F6A28" w:rsidRDefault="009239F7" w:rsidP="009239F7">
    <w:pPr>
      <w:pStyle w:val="En-tte"/>
      <w:pBdr>
        <w:bottom w:val="single" w:sz="4" w:space="1" w:color="auto"/>
      </w:pBdr>
      <w:tabs>
        <w:tab w:val="clear" w:pos="4513"/>
        <w:tab w:val="clear" w:pos="9027"/>
      </w:tabs>
      <w:jc w:val="center"/>
    </w:pPr>
  </w:p>
  <w:p w14:paraId="43E1C188" w14:textId="77777777" w:rsidR="009239F7" w:rsidRPr="002F6A28" w:rsidRDefault="00C77270" w:rsidP="009239F7">
    <w:pPr>
      <w:pStyle w:val="En-tte"/>
      <w:pBdr>
        <w:bottom w:val="single" w:sz="4" w:space="1" w:color="auto"/>
      </w:pBdr>
      <w:tabs>
        <w:tab w:val="clear" w:pos="4513"/>
        <w:tab w:val="clear" w:pos="9027"/>
      </w:tabs>
      <w:jc w:val="center"/>
    </w:pPr>
    <w:r>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t xml:space="preserve"> -</w:t>
    </w:r>
  </w:p>
  <w:p w14:paraId="46CA52ED"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2992" w14:paraId="3AE4B066" w14:textId="77777777" w:rsidTr="008612A9">
      <w:trPr>
        <w:trHeight w:val="240"/>
        <w:jc w:val="center"/>
      </w:trPr>
      <w:tc>
        <w:tcPr>
          <w:tcW w:w="3794" w:type="dxa"/>
          <w:shd w:val="clear" w:color="auto" w:fill="FFFFFF"/>
          <w:tcMar>
            <w:left w:w="108" w:type="dxa"/>
            <w:right w:w="108" w:type="dxa"/>
          </w:tcMar>
          <w:vAlign w:val="center"/>
        </w:tcPr>
        <w:p w14:paraId="67428B6E" w14:textId="77777777" w:rsidR="00ED54E0" w:rsidRPr="009239F7" w:rsidRDefault="00ED54E0" w:rsidP="00B801E9">
          <w:pPr>
            <w:rPr>
              <w:noProof/>
            </w:rPr>
          </w:pPr>
          <w:bookmarkStart w:id="20" w:name="bmkRestricted"/>
        </w:p>
      </w:tc>
      <w:tc>
        <w:tcPr>
          <w:tcW w:w="5448" w:type="dxa"/>
          <w:gridSpan w:val="2"/>
          <w:shd w:val="clear" w:color="auto" w:fill="FFFFFF"/>
          <w:tcMar>
            <w:left w:w="108" w:type="dxa"/>
            <w:right w:w="108" w:type="dxa"/>
          </w:tcMar>
          <w:vAlign w:val="center"/>
        </w:tcPr>
        <w:p w14:paraId="7EEBE608" w14:textId="77777777" w:rsidR="00ED54E0" w:rsidRPr="009239F7" w:rsidRDefault="00ED54E0" w:rsidP="00B801E9">
          <w:pPr>
            <w:jc w:val="right"/>
            <w:rPr>
              <w:b/>
              <w:color w:val="FF0000"/>
              <w:szCs w:val="16"/>
            </w:rPr>
          </w:pPr>
        </w:p>
      </w:tc>
    </w:tr>
    <w:bookmarkEnd w:id="20"/>
    <w:tr w:rsidR="00962992" w14:paraId="4E1D0414" w14:textId="77777777" w:rsidTr="008612A9">
      <w:trPr>
        <w:trHeight w:val="213"/>
        <w:jc w:val="center"/>
      </w:trPr>
      <w:tc>
        <w:tcPr>
          <w:tcW w:w="3794" w:type="dxa"/>
          <w:vMerge w:val="restart"/>
          <w:shd w:val="clear" w:color="auto" w:fill="FFFFFF"/>
          <w:tcMar>
            <w:left w:w="0" w:type="dxa"/>
            <w:right w:w="0" w:type="dxa"/>
          </w:tcMar>
        </w:tcPr>
        <w:p w14:paraId="72501DAE" w14:textId="2CACC4E1" w:rsidR="00ED54E0" w:rsidRPr="009239F7" w:rsidRDefault="005963D0" w:rsidP="00B801E9">
          <w:pPr>
            <w:jc w:val="left"/>
          </w:pPr>
          <w:r>
            <w:rPr>
              <w:noProof/>
              <w:szCs w:val="18"/>
              <w:lang w:eastAsia="en-GB"/>
            </w:rPr>
            <w:drawing>
              <wp:inline distT="0" distB="0" distL="0" distR="0" wp14:anchorId="7B09BE3B" wp14:editId="3FD3DD1D">
                <wp:extent cx="2390775" cy="7239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363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8F9A3F" w14:textId="77777777" w:rsidR="00ED54E0" w:rsidRPr="009239F7" w:rsidRDefault="00ED54E0" w:rsidP="00B801E9">
          <w:pPr>
            <w:jc w:val="right"/>
            <w:rPr>
              <w:b/>
              <w:szCs w:val="16"/>
            </w:rPr>
          </w:pPr>
        </w:p>
      </w:tc>
    </w:tr>
    <w:tr w:rsidR="00962992" w14:paraId="3C21E1F1" w14:textId="77777777" w:rsidTr="008612A9">
      <w:trPr>
        <w:trHeight w:val="868"/>
        <w:jc w:val="center"/>
      </w:trPr>
      <w:tc>
        <w:tcPr>
          <w:tcW w:w="3794" w:type="dxa"/>
          <w:vMerge/>
          <w:shd w:val="clear" w:color="auto" w:fill="FFFFFF"/>
          <w:tcMar>
            <w:left w:w="108" w:type="dxa"/>
            <w:right w:w="108" w:type="dxa"/>
          </w:tcMar>
        </w:tcPr>
        <w:p w14:paraId="4A325F0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973D793" w14:textId="77777777" w:rsidR="009239F7" w:rsidRPr="002F6A28" w:rsidRDefault="00C77270" w:rsidP="00B801E9">
          <w:pPr>
            <w:jc w:val="right"/>
            <w:rPr>
              <w:b/>
              <w:szCs w:val="16"/>
            </w:rPr>
          </w:pPr>
          <w:bookmarkStart w:id="21" w:name="bmkSymbols"/>
          <w:r>
            <w:rPr>
              <w:b/>
              <w:szCs w:val="16"/>
            </w:rPr>
            <w:t>G/TBT/N/NZL/94</w:t>
          </w:r>
          <w:bookmarkEnd w:id="21"/>
        </w:p>
      </w:tc>
    </w:tr>
    <w:tr w:rsidR="00962992" w14:paraId="595FA1CA" w14:textId="77777777" w:rsidTr="008612A9">
      <w:trPr>
        <w:trHeight w:val="240"/>
        <w:jc w:val="center"/>
      </w:trPr>
      <w:tc>
        <w:tcPr>
          <w:tcW w:w="3794" w:type="dxa"/>
          <w:vMerge/>
          <w:shd w:val="clear" w:color="auto" w:fill="FFFFFF"/>
          <w:tcMar>
            <w:left w:w="108" w:type="dxa"/>
            <w:right w:w="108" w:type="dxa"/>
          </w:tcMar>
          <w:vAlign w:val="center"/>
        </w:tcPr>
        <w:p w14:paraId="7AE5B596" w14:textId="77777777" w:rsidR="00ED54E0" w:rsidRPr="009239F7" w:rsidRDefault="00ED54E0" w:rsidP="00B801E9"/>
      </w:tc>
      <w:tc>
        <w:tcPr>
          <w:tcW w:w="5448" w:type="dxa"/>
          <w:gridSpan w:val="2"/>
          <w:shd w:val="clear" w:color="auto" w:fill="FFFFFF"/>
          <w:tcMar>
            <w:left w:w="108" w:type="dxa"/>
            <w:right w:w="108" w:type="dxa"/>
          </w:tcMar>
          <w:vAlign w:val="center"/>
        </w:tcPr>
        <w:p w14:paraId="59742FEE" w14:textId="742D0D63" w:rsidR="00ED54E0" w:rsidRPr="009239F7" w:rsidRDefault="00C77270" w:rsidP="00B801E9">
          <w:pPr>
            <w:jc w:val="right"/>
            <w:rPr>
              <w:szCs w:val="16"/>
            </w:rPr>
          </w:pPr>
          <w:bookmarkStart w:id="22" w:name="spsDateDistribution"/>
          <w:bookmarkStart w:id="23" w:name="bmkDate"/>
          <w:bookmarkEnd w:id="22"/>
          <w:bookmarkEnd w:id="23"/>
          <w:r>
            <w:t>18 de diciembre de 2019</w:t>
          </w:r>
        </w:p>
      </w:tc>
    </w:tr>
    <w:tr w:rsidR="00962992" w14:paraId="6172347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CEA48A" w14:textId="5A49927F" w:rsidR="00ED54E0" w:rsidRPr="009239F7" w:rsidRDefault="00C77270" w:rsidP="0097650D">
          <w:pPr>
            <w:jc w:val="left"/>
            <w:rPr>
              <w:b/>
            </w:rPr>
          </w:pPr>
          <w:bookmarkStart w:id="24" w:name="bmkSerial"/>
          <w:r>
            <w:rPr>
              <w:color w:val="FF0000"/>
              <w:szCs w:val="16"/>
            </w:rPr>
            <w:t>(</w:t>
          </w:r>
          <w:bookmarkStart w:id="25" w:name="spsSerialNumber"/>
          <w:bookmarkEnd w:id="25"/>
          <w:r>
            <w:rPr>
              <w:color w:val="FF0000"/>
              <w:szCs w:val="16"/>
            </w:rPr>
            <w:t>19-</w:t>
          </w:r>
          <w:r w:rsidR="00D300EC">
            <w:rPr>
              <w:color w:val="FF0000"/>
              <w:szCs w:val="16"/>
            </w:rPr>
            <w:t>8798</w:t>
          </w:r>
          <w:r>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14:paraId="468B1A06" w14:textId="77777777" w:rsidR="00ED54E0" w:rsidRPr="009239F7" w:rsidRDefault="00C77270" w:rsidP="00B801E9">
          <w:pPr>
            <w:jc w:val="right"/>
            <w:rPr>
              <w:szCs w:val="16"/>
            </w:rPr>
          </w:pPr>
          <w:bookmarkStart w:id="26" w:name="bmkTotPages"/>
          <w:r>
            <w:t xml:space="preserve">Página: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szCs w:val="16"/>
            </w:rPr>
            <w:t>1</w:t>
          </w:r>
          <w:r w:rsidRPr="002F6A28">
            <w:rPr>
              <w:bCs/>
              <w:szCs w:val="16"/>
            </w:rPr>
            <w:fldChar w:fldCharType="end"/>
          </w:r>
          <w: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szCs w:val="16"/>
            </w:rPr>
            <w:t>1</w:t>
          </w:r>
          <w:r w:rsidRPr="002F6A28">
            <w:rPr>
              <w:bCs/>
              <w:szCs w:val="16"/>
            </w:rPr>
            <w:fldChar w:fldCharType="end"/>
          </w:r>
          <w:bookmarkEnd w:id="26"/>
        </w:p>
      </w:tc>
    </w:tr>
    <w:tr w:rsidR="00962992" w14:paraId="5771748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549738" w14:textId="77777777" w:rsidR="00ED54E0" w:rsidRPr="009239F7" w:rsidRDefault="00C77270" w:rsidP="00B801E9">
          <w:pPr>
            <w:jc w:val="left"/>
            <w:rPr>
              <w:sz w:val="14"/>
              <w:szCs w:val="16"/>
            </w:rPr>
          </w:pPr>
          <w:bookmarkStart w:id="27" w:name="bmkCommittee"/>
          <w:r>
            <w:rPr>
              <w:b/>
            </w:rPr>
            <w:t>Comité de Obstáculos Técnicos al Comercio</w:t>
          </w:r>
          <w:bookmarkEnd w:id="27"/>
        </w:p>
      </w:tc>
      <w:tc>
        <w:tcPr>
          <w:tcW w:w="3325" w:type="dxa"/>
          <w:tcBorders>
            <w:top w:val="single" w:sz="4" w:space="0" w:color="auto"/>
          </w:tcBorders>
          <w:tcMar>
            <w:top w:w="113" w:type="dxa"/>
            <w:left w:w="108" w:type="dxa"/>
            <w:bottom w:w="57" w:type="dxa"/>
            <w:right w:w="108" w:type="dxa"/>
          </w:tcMar>
          <w:vAlign w:val="center"/>
        </w:tcPr>
        <w:p w14:paraId="493A2A31" w14:textId="77777777" w:rsidR="00ED54E0" w:rsidRPr="002F6A28" w:rsidRDefault="00C77270" w:rsidP="00B801E9">
          <w:pPr>
            <w:jc w:val="right"/>
            <w:rPr>
              <w:bCs/>
              <w:szCs w:val="18"/>
            </w:rPr>
          </w:pPr>
          <w:bookmarkStart w:id="28" w:name="bmkLanguage"/>
          <w:r>
            <w:t xml:space="preserve">Original: </w:t>
          </w:r>
          <w:bookmarkStart w:id="29" w:name="spsOriginalLanguage"/>
          <w:r>
            <w:t>inglés</w:t>
          </w:r>
          <w:bookmarkEnd w:id="28"/>
          <w:bookmarkEnd w:id="29"/>
        </w:p>
      </w:tc>
    </w:tr>
  </w:tbl>
  <w:p w14:paraId="3690AAB3"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96CFC0">
      <w:start w:val="1"/>
      <w:numFmt w:val="decimal"/>
      <w:pStyle w:val="SummaryText"/>
      <w:lvlText w:val="%1."/>
      <w:lvlJc w:val="left"/>
      <w:pPr>
        <w:ind w:left="360" w:hanging="360"/>
      </w:pPr>
    </w:lvl>
    <w:lvl w:ilvl="1" w:tplc="9836F18E" w:tentative="1">
      <w:start w:val="1"/>
      <w:numFmt w:val="lowerLetter"/>
      <w:lvlText w:val="%2."/>
      <w:lvlJc w:val="left"/>
      <w:pPr>
        <w:ind w:left="1080" w:hanging="360"/>
      </w:pPr>
    </w:lvl>
    <w:lvl w:ilvl="2" w:tplc="772C4CE8" w:tentative="1">
      <w:start w:val="1"/>
      <w:numFmt w:val="lowerRoman"/>
      <w:lvlText w:val="%3."/>
      <w:lvlJc w:val="right"/>
      <w:pPr>
        <w:ind w:left="1800" w:hanging="180"/>
      </w:pPr>
    </w:lvl>
    <w:lvl w:ilvl="3" w:tplc="C9821DB2" w:tentative="1">
      <w:start w:val="1"/>
      <w:numFmt w:val="decimal"/>
      <w:lvlText w:val="%4."/>
      <w:lvlJc w:val="left"/>
      <w:pPr>
        <w:ind w:left="2520" w:hanging="360"/>
      </w:pPr>
    </w:lvl>
    <w:lvl w:ilvl="4" w:tplc="7EE20388" w:tentative="1">
      <w:start w:val="1"/>
      <w:numFmt w:val="lowerLetter"/>
      <w:lvlText w:val="%5."/>
      <w:lvlJc w:val="left"/>
      <w:pPr>
        <w:ind w:left="3240" w:hanging="360"/>
      </w:pPr>
    </w:lvl>
    <w:lvl w:ilvl="5" w:tplc="EBB065E8" w:tentative="1">
      <w:start w:val="1"/>
      <w:numFmt w:val="lowerRoman"/>
      <w:lvlText w:val="%6."/>
      <w:lvlJc w:val="right"/>
      <w:pPr>
        <w:ind w:left="3960" w:hanging="180"/>
      </w:pPr>
    </w:lvl>
    <w:lvl w:ilvl="6" w:tplc="05DE8270" w:tentative="1">
      <w:start w:val="1"/>
      <w:numFmt w:val="decimal"/>
      <w:lvlText w:val="%7."/>
      <w:lvlJc w:val="left"/>
      <w:pPr>
        <w:ind w:left="4680" w:hanging="360"/>
      </w:pPr>
    </w:lvl>
    <w:lvl w:ilvl="7" w:tplc="6B063F9A" w:tentative="1">
      <w:start w:val="1"/>
      <w:numFmt w:val="lowerLetter"/>
      <w:lvlText w:val="%8."/>
      <w:lvlJc w:val="left"/>
      <w:pPr>
        <w:ind w:left="5400" w:hanging="360"/>
      </w:pPr>
    </w:lvl>
    <w:lvl w:ilvl="8" w:tplc="54A0E5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D50D2"/>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34112"/>
    <w:rsid w:val="0054317D"/>
    <w:rsid w:val="00545ACF"/>
    <w:rsid w:val="00547B5F"/>
    <w:rsid w:val="00564605"/>
    <w:rsid w:val="00580F04"/>
    <w:rsid w:val="00581CC5"/>
    <w:rsid w:val="0058336F"/>
    <w:rsid w:val="00590EAF"/>
    <w:rsid w:val="00592AFD"/>
    <w:rsid w:val="00592B84"/>
    <w:rsid w:val="005963D0"/>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1AB"/>
    <w:rsid w:val="008E372C"/>
    <w:rsid w:val="008E67DC"/>
    <w:rsid w:val="009239F7"/>
    <w:rsid w:val="00955D8A"/>
    <w:rsid w:val="00962992"/>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7270"/>
    <w:rsid w:val="00C805B6"/>
    <w:rsid w:val="00C808FC"/>
    <w:rsid w:val="00C90C71"/>
    <w:rsid w:val="00C9136F"/>
    <w:rsid w:val="00C91E85"/>
    <w:rsid w:val="00C92E8F"/>
    <w:rsid w:val="00CB4942"/>
    <w:rsid w:val="00CC0FAD"/>
    <w:rsid w:val="00CC3256"/>
    <w:rsid w:val="00CD7D97"/>
    <w:rsid w:val="00CE3EE6"/>
    <w:rsid w:val="00CE4BA1"/>
    <w:rsid w:val="00D000C7"/>
    <w:rsid w:val="00D300EC"/>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BD"/>
    <w:rsid w:val="00FD58DA"/>
    <w:rsid w:val="00FE3ED0"/>
    <w:rsid w:val="00FE448B"/>
    <w:rsid w:val="00FE61C6"/>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s-ES"/>
    </w:rPr>
  </w:style>
  <w:style w:type="character" w:customStyle="1" w:styleId="Titre2Car">
    <w:name w:val="Titre 2 Car"/>
    <w:link w:val="Titre2"/>
    <w:uiPriority w:val="2"/>
    <w:rsid w:val="002F6A28"/>
    <w:rPr>
      <w:rFonts w:ascii="Verdana" w:eastAsia="Times New Roman" w:hAnsi="Verdana"/>
      <w:b/>
      <w:bCs/>
      <w:color w:val="006283"/>
      <w:sz w:val="18"/>
      <w:szCs w:val="26"/>
      <w:lang w:val="es-ES"/>
    </w:rPr>
  </w:style>
  <w:style w:type="character" w:customStyle="1" w:styleId="Titre3Car">
    <w:name w:val="Titre 3 Car"/>
    <w:link w:val="Titre3"/>
    <w:uiPriority w:val="2"/>
    <w:rsid w:val="002F6A28"/>
    <w:rPr>
      <w:rFonts w:ascii="Verdana" w:eastAsia="Times New Roman" w:hAnsi="Verdana"/>
      <w:b/>
      <w:bCs/>
      <w:color w:val="006283"/>
      <w:sz w:val="18"/>
      <w:szCs w:val="22"/>
      <w:lang w:val="es-ES"/>
    </w:rPr>
  </w:style>
  <w:style w:type="character" w:customStyle="1" w:styleId="Titre4Car">
    <w:name w:val="Titre 4 Car"/>
    <w:link w:val="Titre4"/>
    <w:uiPriority w:val="2"/>
    <w:rsid w:val="002F6A28"/>
    <w:rPr>
      <w:rFonts w:ascii="Verdana" w:eastAsia="Times New Roman" w:hAnsi="Verdana"/>
      <w:b/>
      <w:bCs/>
      <w:iCs/>
      <w:color w:val="006283"/>
      <w:sz w:val="18"/>
      <w:szCs w:val="22"/>
      <w:lang w:val="es-ES"/>
    </w:rPr>
  </w:style>
  <w:style w:type="character" w:customStyle="1" w:styleId="Titre5Car">
    <w:name w:val="Titre 5 Car"/>
    <w:link w:val="Titre5"/>
    <w:uiPriority w:val="2"/>
    <w:rsid w:val="002F6A28"/>
    <w:rPr>
      <w:rFonts w:ascii="Verdana" w:eastAsia="Times New Roman" w:hAnsi="Verdana"/>
      <w:b/>
      <w:color w:val="006283"/>
      <w:sz w:val="18"/>
      <w:szCs w:val="22"/>
      <w:lang w:val="es-ES"/>
    </w:rPr>
  </w:style>
  <w:style w:type="character" w:customStyle="1" w:styleId="Titre6Car">
    <w:name w:val="Titre 6 Car"/>
    <w:link w:val="Titre6"/>
    <w:uiPriority w:val="2"/>
    <w:rsid w:val="002F6A28"/>
    <w:rPr>
      <w:rFonts w:ascii="Verdana" w:eastAsia="Times New Roman" w:hAnsi="Verdana"/>
      <w:b/>
      <w:iCs/>
      <w:color w:val="006283"/>
      <w:sz w:val="18"/>
      <w:szCs w:val="22"/>
      <w:lang w:val="es-ES"/>
    </w:rPr>
  </w:style>
  <w:style w:type="character" w:customStyle="1" w:styleId="Titre7Car">
    <w:name w:val="Titre 7 Car"/>
    <w:link w:val="Titre7"/>
    <w:uiPriority w:val="2"/>
    <w:rsid w:val="002F6A28"/>
    <w:rPr>
      <w:rFonts w:ascii="Verdana" w:eastAsia="Times New Roman" w:hAnsi="Verdana"/>
      <w:b/>
      <w:iCs/>
      <w:color w:val="006283"/>
      <w:sz w:val="18"/>
      <w:szCs w:val="22"/>
      <w:lang w:val="es-ES"/>
    </w:rPr>
  </w:style>
  <w:style w:type="character" w:customStyle="1" w:styleId="Titre8Car">
    <w:name w:val="Titre 8 Car"/>
    <w:link w:val="Titre8"/>
    <w:uiPriority w:val="2"/>
    <w:rsid w:val="002F6A28"/>
    <w:rPr>
      <w:rFonts w:ascii="Verdana" w:eastAsia="Times New Roman" w:hAnsi="Verdana"/>
      <w:b/>
      <w:i/>
      <w:color w:val="006283"/>
      <w:sz w:val="18"/>
      <w:lang w:val="es-ES"/>
    </w:rPr>
  </w:style>
  <w:style w:type="character" w:customStyle="1" w:styleId="Titre9Car">
    <w:name w:val="Titre 9 Car"/>
    <w:link w:val="Titre9"/>
    <w:uiPriority w:val="2"/>
    <w:rsid w:val="002F6A28"/>
    <w:rPr>
      <w:rFonts w:ascii="Verdana" w:eastAsia="Times New Roman" w:hAnsi="Verdana"/>
      <w:b/>
      <w:iCs/>
      <w:color w:val="006283"/>
      <w:sz w:val="18"/>
      <w:u w:val="single"/>
      <w:lang w:val="es-ES"/>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s-ES"/>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s-ES"/>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s-ES"/>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s-ES"/>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s-ES"/>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s-ES"/>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s-ES"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s-ES"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s-ES"/>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s-ES"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s-ES"/>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s-ES"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s-ES"/>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s-ES"/>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s-ES"/>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s-ES"/>
    </w:rPr>
  </w:style>
  <w:style w:type="character" w:styleId="Titredulivre">
    <w:name w:val="Book Title"/>
    <w:uiPriority w:val="99"/>
    <w:semiHidden/>
    <w:qFormat/>
    <w:rsid w:val="002F6A28"/>
    <w:rPr>
      <w:b/>
      <w:bCs/>
      <w:smallCaps/>
      <w:spacing w:val="5"/>
      <w:lang w:val="es-ES"/>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s-ES"/>
    </w:rPr>
  </w:style>
  <w:style w:type="character" w:styleId="Marquedecommentaire">
    <w:name w:val="annotation reference"/>
    <w:uiPriority w:val="99"/>
    <w:semiHidden/>
    <w:unhideWhenUsed/>
    <w:rsid w:val="002F6A28"/>
    <w:rPr>
      <w:sz w:val="16"/>
      <w:szCs w:val="16"/>
      <w:lang w:val="es-ES"/>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s-ES"/>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s-ES"/>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s-ES"/>
    </w:rPr>
  </w:style>
  <w:style w:type="character" w:styleId="Accentuation">
    <w:name w:val="Emphasis"/>
    <w:uiPriority w:val="99"/>
    <w:semiHidden/>
    <w:qFormat/>
    <w:rsid w:val="002F6A28"/>
    <w:rPr>
      <w:i/>
      <w:iCs/>
      <w:lang w:val="es-ES"/>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s-ES"/>
    </w:rPr>
  </w:style>
  <w:style w:type="character" w:styleId="AcronymeHTML">
    <w:name w:val="HTML Acronym"/>
    <w:uiPriority w:val="99"/>
    <w:semiHidden/>
    <w:unhideWhenUsed/>
    <w:rsid w:val="002F6A28"/>
    <w:rPr>
      <w:lang w:val="es-ES"/>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s-ES"/>
    </w:rPr>
  </w:style>
  <w:style w:type="character" w:styleId="CitationHTML">
    <w:name w:val="HTML Cite"/>
    <w:uiPriority w:val="99"/>
    <w:semiHidden/>
    <w:unhideWhenUsed/>
    <w:rsid w:val="002F6A28"/>
    <w:rPr>
      <w:i/>
      <w:iCs/>
      <w:lang w:val="es-ES"/>
    </w:rPr>
  </w:style>
  <w:style w:type="character" w:styleId="CodeHTML">
    <w:name w:val="HTML Code"/>
    <w:uiPriority w:val="99"/>
    <w:semiHidden/>
    <w:unhideWhenUsed/>
    <w:rsid w:val="002F6A28"/>
    <w:rPr>
      <w:rFonts w:ascii="Consolas" w:hAnsi="Consolas" w:cs="Consolas"/>
      <w:sz w:val="20"/>
      <w:szCs w:val="20"/>
      <w:lang w:val="es-ES"/>
    </w:rPr>
  </w:style>
  <w:style w:type="character" w:styleId="DfinitionHTML">
    <w:name w:val="HTML Definition"/>
    <w:uiPriority w:val="99"/>
    <w:semiHidden/>
    <w:unhideWhenUsed/>
    <w:rsid w:val="002F6A28"/>
    <w:rPr>
      <w:i/>
      <w:iCs/>
      <w:lang w:val="es-ES"/>
    </w:rPr>
  </w:style>
  <w:style w:type="character" w:styleId="ClavierHTML">
    <w:name w:val="HTML Keyboard"/>
    <w:uiPriority w:val="99"/>
    <w:semiHidden/>
    <w:unhideWhenUsed/>
    <w:rsid w:val="002F6A28"/>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s-ES"/>
    </w:rPr>
  </w:style>
  <w:style w:type="character" w:styleId="ExempleHTML">
    <w:name w:val="HTML Sample"/>
    <w:uiPriority w:val="99"/>
    <w:semiHidden/>
    <w:unhideWhenUsed/>
    <w:rsid w:val="002F6A28"/>
    <w:rPr>
      <w:rFonts w:ascii="Consolas" w:hAnsi="Consolas" w:cs="Consolas"/>
      <w:sz w:val="24"/>
      <w:szCs w:val="24"/>
      <w:lang w:val="es-ES"/>
    </w:rPr>
  </w:style>
  <w:style w:type="character" w:styleId="MachinecrireHTML">
    <w:name w:val="HTML Typewriter"/>
    <w:uiPriority w:val="99"/>
    <w:semiHidden/>
    <w:unhideWhenUsed/>
    <w:rsid w:val="002F6A28"/>
    <w:rPr>
      <w:rFonts w:ascii="Consolas" w:hAnsi="Consolas" w:cs="Consolas"/>
      <w:sz w:val="20"/>
      <w:szCs w:val="20"/>
      <w:lang w:val="es-ES"/>
    </w:rPr>
  </w:style>
  <w:style w:type="character" w:styleId="VariableHTML">
    <w:name w:val="HTML Variable"/>
    <w:uiPriority w:val="99"/>
    <w:semiHidden/>
    <w:unhideWhenUsed/>
    <w:rsid w:val="002F6A28"/>
    <w:rPr>
      <w:i/>
      <w:iCs/>
      <w:lang w:val="es-ES"/>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s-ES"/>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s-ES"/>
    </w:rPr>
  </w:style>
  <w:style w:type="character" w:styleId="Rfrenceintense">
    <w:name w:val="Intense Reference"/>
    <w:uiPriority w:val="99"/>
    <w:semiHidden/>
    <w:qFormat/>
    <w:rsid w:val="002F6A28"/>
    <w:rPr>
      <w:b/>
      <w:bCs/>
      <w:smallCaps/>
      <w:color w:val="C0504D"/>
      <w:spacing w:val="5"/>
      <w:u w:val="single"/>
      <w:lang w:val="es-ES"/>
    </w:rPr>
  </w:style>
  <w:style w:type="character" w:styleId="Numrodeligne">
    <w:name w:val="line number"/>
    <w:uiPriority w:val="99"/>
    <w:semiHidden/>
    <w:unhideWhenUsed/>
    <w:rsid w:val="002F6A28"/>
    <w:rPr>
      <w:lang w:val="es-ES"/>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s-ES"/>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s-ES"/>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s-ES"/>
    </w:rPr>
  </w:style>
  <w:style w:type="character" w:styleId="Numrodepage">
    <w:name w:val="page number"/>
    <w:uiPriority w:val="99"/>
    <w:semiHidden/>
    <w:unhideWhenUsed/>
    <w:rsid w:val="002F6A28"/>
    <w:rPr>
      <w:lang w:val="es-ES"/>
    </w:rPr>
  </w:style>
  <w:style w:type="character" w:styleId="Textedelespacerserv">
    <w:name w:val="Placeholder Text"/>
    <w:uiPriority w:val="99"/>
    <w:semiHidden/>
    <w:rsid w:val="002F6A28"/>
    <w:rPr>
      <w:color w:val="808080"/>
      <w:lang w:val="es-ES"/>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s-ES"/>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s-ES"/>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s-ES"/>
    </w:rPr>
  </w:style>
  <w:style w:type="character" w:styleId="lev">
    <w:name w:val="Strong"/>
    <w:uiPriority w:val="99"/>
    <w:semiHidden/>
    <w:qFormat/>
    <w:rsid w:val="002F6A28"/>
    <w:rPr>
      <w:b/>
      <w:bCs/>
      <w:lang w:val="es-ES"/>
    </w:rPr>
  </w:style>
  <w:style w:type="character" w:styleId="Accentuationlgre">
    <w:name w:val="Subtle Emphasis"/>
    <w:uiPriority w:val="99"/>
    <w:semiHidden/>
    <w:qFormat/>
    <w:rsid w:val="002F6A28"/>
    <w:rPr>
      <w:i/>
      <w:iCs/>
      <w:color w:val="808080"/>
      <w:lang w:val="es-ES"/>
    </w:rPr>
  </w:style>
  <w:style w:type="character" w:styleId="Rfrencelgre">
    <w:name w:val="Subtle Reference"/>
    <w:uiPriority w:val="99"/>
    <w:semiHidden/>
    <w:qFormat/>
    <w:rsid w:val="002F6A28"/>
    <w:rPr>
      <w:smallCaps/>
      <w:color w:val="C0504D"/>
      <w:u w:val="single"/>
      <w:lang w:val="es-ES"/>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tandards.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to@standards.co.nz" TargetMode="External"/><Relationship Id="rId12" Type="http://schemas.openxmlformats.org/officeDocument/2006/relationships/hyperlink" Target="https://www.foodstandards.gov.au/code/proposals/Pages/P1054.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standards.gov.au/code/Pages/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odstandards.gov.au/code/proposals/Pages/P1054.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odstandards.gov.au/code/proposals/Pages/P1054.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2020-01-15T12:12:00Z</dcterms:created>
  <dcterms:modified xsi:type="dcterms:W3CDTF">2020-01-15T14:20:00Z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