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FAB8" w14:textId="77777777" w:rsidR="009239F7" w:rsidRPr="002F6A28" w:rsidRDefault="002E7A12" w:rsidP="002F6A28">
      <w:pPr>
        <w:pStyle w:val="Titre"/>
        <w:rPr>
          <w:caps w:val="0"/>
          <w:kern w:val="0"/>
        </w:rPr>
      </w:pPr>
      <w:r>
        <w:rPr>
          <w:caps w:val="0"/>
        </w:rPr>
        <w:t>NOTIFICACIÓN</w:t>
      </w:r>
    </w:p>
    <w:p w14:paraId="3C8433BE" w14:textId="77777777" w:rsidR="009239F7" w:rsidRPr="002F6A28" w:rsidRDefault="002E7A12" w:rsidP="002F6A28">
      <w:pPr>
        <w:jc w:val="center"/>
      </w:pPr>
      <w:r>
        <w:t>Se da traslado de la notificación siguiente de conformidad con el artículo 10.6.</w:t>
      </w:r>
    </w:p>
    <w:p w14:paraId="36C1E42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A09CF" w14:paraId="417258A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759933D" w14:textId="77777777" w:rsidR="00F85C99" w:rsidRPr="002F6A28" w:rsidRDefault="002E7A12" w:rsidP="002F6A28">
            <w:pPr>
              <w:spacing w:before="120" w:after="12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2726F6A" w14:textId="77777777" w:rsidR="00F85C99" w:rsidRPr="002F6A28" w:rsidRDefault="002E7A12" w:rsidP="00C805B6">
            <w:pPr>
              <w:spacing w:before="120" w:after="120"/>
            </w:pPr>
            <w:r>
              <w:rPr>
                <w:b/>
                <w:bCs/>
              </w:rPr>
              <w:t>Miembro que notifica:</w:t>
            </w:r>
            <w:r>
              <w:t xml:space="preserve"> </w:t>
            </w:r>
            <w:bookmarkStart w:id="0" w:name="sps1a"/>
            <w:r>
              <w:rPr>
                <w:caps/>
                <w:u w:val="single"/>
              </w:rPr>
              <w:t>TANZANÍA</w:t>
            </w:r>
            <w:bookmarkEnd w:id="0"/>
            <w:r>
              <w:t xml:space="preserve"> </w:t>
            </w:r>
          </w:p>
          <w:p w14:paraId="0B2910B3" w14:textId="77777777" w:rsidR="00F85C99" w:rsidRPr="002F6A28" w:rsidRDefault="002E7A12" w:rsidP="002F6A28">
            <w:pPr>
              <w:spacing w:after="120"/>
            </w:pPr>
            <w:r>
              <w:rPr>
                <w:b/>
                <w:bCs/>
              </w:rPr>
              <w:t>Si procede, nombre del gobierno local de que se trate (artículos 3.2 y 7.2):</w:t>
            </w:r>
            <w:r>
              <w:t xml:space="preserve"> </w:t>
            </w:r>
            <w:bookmarkStart w:id="1" w:name="sps1b"/>
            <w:bookmarkEnd w:id="1"/>
          </w:p>
        </w:tc>
      </w:tr>
      <w:tr w:rsidR="00FA09CF" w14:paraId="2C005A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0C0C9" w14:textId="77777777" w:rsidR="00F85C99" w:rsidRPr="002F6A28" w:rsidRDefault="002E7A12" w:rsidP="002F6A28">
            <w:pPr>
              <w:spacing w:before="120" w:after="12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0B3FD" w14:textId="77777777" w:rsidR="00F85C99" w:rsidRPr="002F6A28" w:rsidRDefault="002E7A12" w:rsidP="00155128">
            <w:pPr>
              <w:spacing w:before="120" w:after="120"/>
            </w:pPr>
            <w:r>
              <w:rPr>
                <w:b/>
                <w:bCs/>
              </w:rPr>
              <w:t>Organismo responsable:</w:t>
            </w:r>
            <w:r>
              <w:t xml:space="preserve"> </w:t>
            </w:r>
            <w:bookmarkStart w:id="2" w:name="sps2a"/>
          </w:p>
          <w:p w14:paraId="28F5CA00" w14:textId="77777777" w:rsidR="009D0B82" w:rsidRPr="002F6A28" w:rsidRDefault="002E7A12" w:rsidP="00155128">
            <w:pPr>
              <w:spacing w:before="120" w:after="120"/>
              <w:jc w:val="left"/>
            </w:pPr>
            <w:r>
              <w:rPr>
                <w:i/>
                <w:iCs/>
              </w:rPr>
              <w:t>Tanzania Bureau of Standards</w:t>
            </w:r>
            <w:r>
              <w:t xml:space="preserve"> (Oficina de Normas de Tanzanía)</w:t>
            </w:r>
            <w:r>
              <w:br/>
              <w:t>Morogoro/Sam Nujoma Road, Ubungo</w:t>
            </w:r>
            <w:r>
              <w:br/>
              <w:t>P.O. Box 9524</w:t>
            </w:r>
            <w:r>
              <w:br/>
              <w:t>Teléfono: +255 222450206</w:t>
            </w:r>
            <w:r>
              <w:br/>
              <w:t xml:space="preserve">Correo electrónico: </w:t>
            </w:r>
            <w:hyperlink r:id="rId7" w:history="1">
              <w:r>
                <w:rPr>
                  <w:color w:val="0000FF"/>
                  <w:u w:val="single"/>
                </w:rPr>
                <w:t>nep@tbs.go.tz</w:t>
              </w:r>
            </w:hyperlink>
            <w:r>
              <w:br/>
              <w:t xml:space="preserve">Sitio web: </w:t>
            </w:r>
            <w:hyperlink r:id="rId8" w:history="1">
              <w:r>
                <w:rPr>
                  <w:color w:val="0000FF"/>
                  <w:u w:val="single"/>
                </w:rPr>
                <w:t>www.tbs.go.tz</w:t>
              </w:r>
            </w:hyperlink>
            <w:bookmarkEnd w:id="2"/>
          </w:p>
          <w:p w14:paraId="78533AB6" w14:textId="77777777" w:rsidR="00F85C99" w:rsidRPr="002F6A28" w:rsidRDefault="002E7A12" w:rsidP="00AA646C">
            <w:pPr>
              <w:spacing w:after="120"/>
            </w:pPr>
            <w:r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>
              <w:t xml:space="preserve"> </w:t>
            </w:r>
            <w:bookmarkStart w:id="3" w:name="sps4a"/>
            <w:bookmarkEnd w:id="3"/>
          </w:p>
        </w:tc>
      </w:tr>
      <w:tr w:rsidR="00FA09CF" w14:paraId="729575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50F66" w14:textId="77777777" w:rsidR="00F85C99" w:rsidRPr="002F6A28" w:rsidRDefault="002E7A12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C8BA0" w14:textId="77777777" w:rsidR="00F85C99" w:rsidRPr="0058336F" w:rsidRDefault="002E7A12" w:rsidP="002F6A28">
            <w:pPr>
              <w:spacing w:before="120" w:after="120"/>
            </w:pPr>
            <w:r>
              <w:rPr>
                <w:b/>
                <w:bCs/>
              </w:rPr>
              <w:t>Notificación hecha en virtud del artículo 2.9.2 [X], 2.10.1 [ ], 5.6.2 [ ], 5.7.1 [ ], o en virtud de:</w:t>
            </w:r>
            <w:r>
              <w:t xml:space="preserve"> </w:t>
            </w:r>
            <w:bookmarkStart w:id="4" w:name="tbt3e"/>
            <w:bookmarkEnd w:id="4"/>
          </w:p>
        </w:tc>
      </w:tr>
      <w:tr w:rsidR="00FA09CF" w14:paraId="137FD9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CA3BA" w14:textId="77777777" w:rsidR="00F85C99" w:rsidRPr="002F6A28" w:rsidRDefault="002E7A12" w:rsidP="002F6A28">
            <w:pPr>
              <w:spacing w:before="120" w:after="120"/>
              <w:jc w:val="left"/>
            </w:pPr>
            <w:r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2053D" w14:textId="77777777" w:rsidR="00F85C99" w:rsidRPr="002F6A28" w:rsidRDefault="002E7A12" w:rsidP="002F6A28">
            <w:pPr>
              <w:spacing w:before="120" w:after="120"/>
            </w:pPr>
            <w:r>
              <w:rPr>
                <w:b/>
              </w:rPr>
              <w:t>Productos abarcados (partida del SA o de la NCCA cuando corresponda; en otro caso partida del arancel nacional.</w:t>
            </w:r>
            <w:bookmarkStart w:id="5" w:name="X_TBT_Reg_4A"/>
            <w:r>
              <w:rPr>
                <w:b/>
              </w:rPr>
              <w:t xml:space="preserve"> </w:t>
            </w:r>
            <w:bookmarkEnd w:id="5"/>
            <w:r>
              <w:rPr>
                <w:b/>
                <w:bCs/>
              </w:rPr>
              <w:t>Podrá indicarse además, cuando proceda, el número de partida de la ICS):</w:t>
            </w:r>
            <w:r>
              <w:t xml:space="preserve"> Tejidos textiles (ICS: 59.080.30).</w:t>
            </w:r>
            <w:bookmarkStart w:id="6" w:name="sps3a"/>
            <w:bookmarkEnd w:id="6"/>
          </w:p>
        </w:tc>
      </w:tr>
      <w:tr w:rsidR="00FA09CF" w14:paraId="0FEA04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8B1CB" w14:textId="77777777" w:rsidR="00F85C99" w:rsidRPr="002F6A28" w:rsidRDefault="002E7A12" w:rsidP="002F6A28">
            <w:pPr>
              <w:spacing w:before="120" w:after="120"/>
              <w:jc w:val="left"/>
            </w:pPr>
            <w:r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977E9" w14:textId="1BDC89A2" w:rsidR="00F85C99" w:rsidRPr="002F6A28" w:rsidRDefault="002E7A12" w:rsidP="002F6A28">
            <w:pPr>
              <w:spacing w:before="120" w:after="120"/>
            </w:pPr>
            <w:r>
              <w:rPr>
                <w:b/>
                <w:bCs/>
              </w:rPr>
              <w:t>Título, número de páginas e idioma(s) del documento notificado:</w:t>
            </w:r>
            <w:r>
              <w:t xml:space="preserve"> Proyecto de Norma </w:t>
            </w:r>
            <w:proofErr w:type="spellStart"/>
            <w:r>
              <w:t>DEAS</w:t>
            </w:r>
            <w:proofErr w:type="spellEnd"/>
            <w:r w:rsidR="00335091">
              <w:t> </w:t>
            </w:r>
            <w:r>
              <w:t xml:space="preserve">1016:2019, </w:t>
            </w:r>
            <w:r w:rsidRPr="00CF19EC">
              <w:rPr>
                <w:i/>
                <w:iCs/>
              </w:rPr>
              <w:t xml:space="preserve">Textiles - </w:t>
            </w:r>
            <w:proofErr w:type="spellStart"/>
            <w:r w:rsidRPr="00CF19EC">
              <w:rPr>
                <w:i/>
                <w:iCs/>
              </w:rPr>
              <w:t>Maasai</w:t>
            </w:r>
            <w:proofErr w:type="spellEnd"/>
            <w:r w:rsidRPr="00CF19EC">
              <w:rPr>
                <w:i/>
                <w:iCs/>
              </w:rPr>
              <w:t xml:space="preserve"> </w:t>
            </w:r>
            <w:proofErr w:type="spellStart"/>
            <w:r w:rsidRPr="00CF19EC">
              <w:rPr>
                <w:i/>
                <w:iCs/>
              </w:rPr>
              <w:t>Shuka</w:t>
            </w:r>
            <w:proofErr w:type="spellEnd"/>
            <w:r w:rsidRPr="00CF19EC">
              <w:rPr>
                <w:i/>
                <w:iCs/>
              </w:rPr>
              <w:t xml:space="preserve"> – </w:t>
            </w:r>
            <w:proofErr w:type="spellStart"/>
            <w:r w:rsidRPr="00CF19EC">
              <w:rPr>
                <w:i/>
                <w:iCs/>
              </w:rPr>
              <w:t>Specifications</w:t>
            </w:r>
            <w:proofErr w:type="spellEnd"/>
            <w:r>
              <w:t xml:space="preserve"> (Textiles. "Shuka" masái. Especificaciones). Documento en inglés (5 páginas).</w:t>
            </w:r>
            <w:bookmarkStart w:id="7" w:name="sps5a"/>
            <w:bookmarkStart w:id="8" w:name="sps5c"/>
            <w:bookmarkStart w:id="9" w:name="sps5b"/>
            <w:bookmarkEnd w:id="7"/>
            <w:bookmarkEnd w:id="8"/>
            <w:bookmarkEnd w:id="9"/>
          </w:p>
        </w:tc>
      </w:tr>
      <w:tr w:rsidR="00FA09CF" w14:paraId="2853D5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02193" w14:textId="77777777" w:rsidR="00F85C99" w:rsidRPr="002F6A28" w:rsidRDefault="002E7A12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4C058" w14:textId="77777777" w:rsidR="00F85C99" w:rsidRPr="002F6A28" w:rsidRDefault="002E7A12" w:rsidP="002F6A28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t>Descripción del contenido:</w:t>
            </w:r>
            <w:r>
              <w:t xml:space="preserve"> En el Proyecto de Norma de África Oriental notificado se establecen los requisitos y los métodos de muestreo y de prueba aplicables a los "shuka" masái.</w:t>
            </w:r>
          </w:p>
        </w:tc>
      </w:tr>
      <w:tr w:rsidR="00FA09CF" w14:paraId="2EC905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DC72E" w14:textId="77777777" w:rsidR="00F85C99" w:rsidRPr="002F6A28" w:rsidRDefault="002E7A12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F01E8" w14:textId="77777777" w:rsidR="00F85C99" w:rsidRPr="002F6A28" w:rsidRDefault="002E7A12" w:rsidP="002F6A28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t>Objetivo y razón de ser, incluida, cuando proceda, la naturaleza de los problemas urgentes:</w:t>
            </w:r>
            <w:r>
              <w:t xml:space="preserve"> información al consumidor y etiquetado; protección de la salud o seguridad humanas; requisitos de calidad.</w:t>
            </w:r>
            <w:bookmarkStart w:id="10" w:name="sps7f"/>
            <w:bookmarkEnd w:id="10"/>
          </w:p>
        </w:tc>
      </w:tr>
      <w:tr w:rsidR="00FA09CF" w:rsidRPr="00CF19EC" w14:paraId="7C686F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4F4BB" w14:textId="77777777" w:rsidR="00F85C99" w:rsidRPr="002F6A28" w:rsidRDefault="002E7A12" w:rsidP="009E75ED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D9EAC" w14:textId="77777777" w:rsidR="00072B36" w:rsidRPr="002F6A28" w:rsidRDefault="002E7A12" w:rsidP="009E75ED">
            <w:pPr>
              <w:spacing w:before="120" w:after="120"/>
            </w:pPr>
            <w:r>
              <w:rPr>
                <w:b/>
                <w:bCs/>
              </w:rPr>
              <w:t>Documentos pertinentes:</w:t>
            </w:r>
            <w:r>
              <w:t xml:space="preserve"> </w:t>
            </w:r>
          </w:p>
          <w:p w14:paraId="6185966C" w14:textId="77777777" w:rsidR="00335091" w:rsidRDefault="002E7A12" w:rsidP="009E75ED">
            <w:pPr>
              <w:spacing w:before="120" w:after="120"/>
              <w:jc w:val="left"/>
            </w:pPr>
            <w:r>
              <w:t>Norma ISO 1833 (todas las partes), Textiles. Análisis químico cuantitativo.</w:t>
            </w:r>
          </w:p>
          <w:p w14:paraId="4967609B" w14:textId="77777777" w:rsidR="00335091" w:rsidRDefault="002E7A12" w:rsidP="009E75ED">
            <w:pPr>
              <w:spacing w:before="120" w:after="120"/>
              <w:jc w:val="left"/>
            </w:pPr>
            <w:r>
              <w:t>Norma ISO 6330, Textiles. Procedimientos de lavado y de secado domésticos para los ensayos de textiles.</w:t>
            </w:r>
          </w:p>
          <w:p w14:paraId="074AE9BD" w14:textId="77777777" w:rsidR="00335091" w:rsidRDefault="002E7A12" w:rsidP="009E75ED">
            <w:pPr>
              <w:spacing w:before="120" w:after="120"/>
              <w:jc w:val="left"/>
            </w:pPr>
            <w:r>
              <w:t>Norma ISO 3801, Textiles. Tejidos. Determinación de la masa por unidad de longitud y por unidad de superficie.</w:t>
            </w:r>
          </w:p>
          <w:p w14:paraId="4F562664" w14:textId="27887F39" w:rsidR="00335091" w:rsidRDefault="002E7A12" w:rsidP="009E75ED">
            <w:pPr>
              <w:spacing w:before="120" w:after="120"/>
              <w:jc w:val="left"/>
            </w:pPr>
            <w:r>
              <w:t xml:space="preserve">Norma ISO 105-B01, Textiles. Ensayos de solidez del color. </w:t>
            </w:r>
            <w:r w:rsidR="003132E0">
              <w:br/>
            </w:r>
            <w:r>
              <w:t>Parte B01: Solidez del color a la luz: Luz del día.</w:t>
            </w:r>
          </w:p>
          <w:p w14:paraId="0ADBAAA4" w14:textId="3A858440" w:rsidR="00335091" w:rsidRDefault="002E7A12" w:rsidP="009E75ED">
            <w:pPr>
              <w:spacing w:before="120" w:after="120"/>
              <w:jc w:val="left"/>
            </w:pPr>
            <w:r>
              <w:lastRenderedPageBreak/>
              <w:t xml:space="preserve">Norma ISO 105-C10, Textiles. Ensayos de solidez del color. </w:t>
            </w:r>
            <w:r w:rsidR="003132E0">
              <w:br/>
            </w:r>
            <w:r>
              <w:t>Parte C10: Solidez del color al lavado con jabón o con jabón y sosa.</w:t>
            </w:r>
          </w:p>
          <w:p w14:paraId="797D3ED2" w14:textId="77777777" w:rsidR="00335091" w:rsidRDefault="002E7A12" w:rsidP="009E75ED">
            <w:pPr>
              <w:spacing w:before="120" w:after="120"/>
              <w:jc w:val="left"/>
            </w:pPr>
            <w:r>
              <w:t>Norma ISO 105-D01, Solidez del color a la limpieza en seco con percloroetileno como disolvente.</w:t>
            </w:r>
          </w:p>
          <w:p w14:paraId="3E109E66" w14:textId="2F2F5D39" w:rsidR="00335091" w:rsidRDefault="002E7A12" w:rsidP="009E75ED">
            <w:pPr>
              <w:spacing w:before="120" w:after="120"/>
              <w:jc w:val="left"/>
            </w:pPr>
            <w:r>
              <w:t xml:space="preserve">Norma ISO 105-E04, Textiles. Ensayos de solidez del color. </w:t>
            </w:r>
            <w:r w:rsidR="003132E0">
              <w:br/>
            </w:r>
            <w:r>
              <w:t>Parte E04: Solidez del color a la transpiración.</w:t>
            </w:r>
          </w:p>
          <w:p w14:paraId="2B9A69C0" w14:textId="77777777" w:rsidR="00335091" w:rsidRDefault="002E7A12" w:rsidP="009E75ED">
            <w:pPr>
              <w:spacing w:before="120" w:after="120"/>
              <w:jc w:val="left"/>
            </w:pPr>
            <w:r>
              <w:t>Norma ISO 105-X11, Solidez del color al planchado en caliente.</w:t>
            </w:r>
          </w:p>
          <w:p w14:paraId="4D7101F6" w14:textId="4718229B" w:rsidR="00335091" w:rsidRDefault="002E7A12" w:rsidP="009E75ED">
            <w:pPr>
              <w:spacing w:before="120" w:after="120"/>
              <w:jc w:val="left"/>
            </w:pPr>
            <w:r>
              <w:t xml:space="preserve">Norma ISO 105-X12, Textiles. Ensayos de solidez del color. </w:t>
            </w:r>
            <w:r w:rsidR="003132E0">
              <w:br/>
            </w:r>
            <w:r>
              <w:t>Parte X12: Solidez del color al frote.</w:t>
            </w:r>
          </w:p>
          <w:p w14:paraId="0B29742F" w14:textId="77777777" w:rsidR="00335091" w:rsidRDefault="002E7A12" w:rsidP="009E75ED">
            <w:pPr>
              <w:spacing w:before="120" w:after="120"/>
              <w:jc w:val="left"/>
            </w:pPr>
            <w:r>
              <w:t>Norma ISO 12945-2, Textiles. Determinación de la tendencia a la formación de pelusilla y de bolitas. Parte 2: Método Martindale modificado.</w:t>
            </w:r>
          </w:p>
          <w:p w14:paraId="05B92CFA" w14:textId="77777777" w:rsidR="00335091" w:rsidRDefault="002E7A12" w:rsidP="009E75ED">
            <w:pPr>
              <w:spacing w:before="120" w:after="120"/>
              <w:jc w:val="left"/>
            </w:pPr>
            <w:r>
              <w:t>Norma ISO 13934-1, Textiles. Propiedades de los tejidos frente a la tracción. Parte 1: Determinación de la fuerza máxima y del alargamiento a la fuerza máxima por el método de la tira.</w:t>
            </w:r>
          </w:p>
          <w:p w14:paraId="1DE3DD74" w14:textId="77777777" w:rsidR="00335091" w:rsidRDefault="002E7A12" w:rsidP="009E75ED">
            <w:pPr>
              <w:spacing w:before="120" w:after="120"/>
              <w:jc w:val="left"/>
            </w:pPr>
            <w:r>
              <w:t>Norma ISO 13936-1, Textiles. Determinación de la resistencia al deslizamiento de los hilos de la costura en los tejidos de calada. Parte 1: Método de la abertura de la costura fija.</w:t>
            </w:r>
          </w:p>
          <w:p w14:paraId="0E9F4053" w14:textId="2706C747" w:rsidR="00335091" w:rsidRDefault="002E7A12" w:rsidP="009E75ED">
            <w:pPr>
              <w:spacing w:before="120" w:after="120"/>
              <w:jc w:val="left"/>
            </w:pPr>
            <w:r>
              <w:t xml:space="preserve">Norma ISO 13937-2, Textiles. Propiedades de los tejidos frente al desgarro. </w:t>
            </w:r>
            <w:r w:rsidR="003132E0">
              <w:br/>
            </w:r>
            <w:r>
              <w:t xml:space="preserve">Parte 2: </w:t>
            </w:r>
            <w:r w:rsidR="003132E0">
              <w:t xml:space="preserve">Determinación de la fuerza de desgarro de </w:t>
            </w:r>
            <w:r w:rsidR="003132E0" w:rsidRPr="006C624C">
              <w:t>probetas con forma de pantalón (Método de desgarro único</w:t>
            </w:r>
            <w:r>
              <w:t>).</w:t>
            </w:r>
          </w:p>
          <w:p w14:paraId="2245371C" w14:textId="77777777" w:rsidR="00335091" w:rsidRDefault="002E7A12" w:rsidP="009E75ED">
            <w:pPr>
              <w:spacing w:before="120" w:after="120"/>
              <w:jc w:val="left"/>
            </w:pPr>
            <w:r>
              <w:t>Norma ISO 14362-1, Textiles. Métodos para la determinación de ciertas aminas aromáticas derivadas de colorantes azoicos. Parte 1: Detección del uso de ciertos colorantes azoicos accesibles sin extracción.</w:t>
            </w:r>
          </w:p>
          <w:p w14:paraId="5737A716" w14:textId="6A583F91" w:rsidR="00335091" w:rsidRDefault="002E7A12" w:rsidP="009E75ED">
            <w:pPr>
              <w:spacing w:before="120" w:after="120"/>
              <w:jc w:val="left"/>
            </w:pPr>
            <w:r>
              <w:t>Norma ISO 14362-3, Textiles. Métodos para la determinación de ciertas aminas aromáticas derivadas de colorantes azoicos. Parte 3: Detección del uso de ciertos colorantes azoicos</w:t>
            </w:r>
            <w:r w:rsidR="00C224F1">
              <w:t>,</w:t>
            </w:r>
            <w:r>
              <w:t xml:space="preserve"> que pueden liberar 4-aminoazobenceno.</w:t>
            </w:r>
          </w:p>
          <w:p w14:paraId="7E91E355" w14:textId="77777777" w:rsidR="00335091" w:rsidRDefault="002E7A12" w:rsidP="009E75ED">
            <w:pPr>
              <w:spacing w:before="120" w:after="120"/>
              <w:jc w:val="left"/>
            </w:pPr>
            <w:r>
              <w:t>Norma ISO 16373-2, Textiles. Colorantes. Parte 2: Método general para la determinación de los colorantes extractables, incluyendo las sustancias alergénicas y cancerígenas (método empleando piridina-agua).</w:t>
            </w:r>
          </w:p>
          <w:p w14:paraId="360C507E" w14:textId="77777777" w:rsidR="00335091" w:rsidRDefault="002E7A12" w:rsidP="009E75ED">
            <w:pPr>
              <w:spacing w:before="120" w:after="120"/>
              <w:jc w:val="left"/>
            </w:pPr>
            <w:r>
              <w:t>Norma ISO 16373-3, Textiles. Colorantes. Parte 3: Método para la determinación de ciertos colorantes cancerígenos extraíbles (método con trimetilamina/metanol).</w:t>
            </w:r>
          </w:p>
          <w:p w14:paraId="0DFA7BBD" w14:textId="77777777" w:rsidR="00335091" w:rsidRDefault="002E7A12" w:rsidP="009E75ED">
            <w:pPr>
              <w:spacing w:before="120" w:after="120"/>
              <w:jc w:val="left"/>
            </w:pPr>
            <w:r>
              <w:t>Norma ISO 22198, Textiles. Tejidos. Determinación de la anchura y de la longitud.</w:t>
            </w:r>
          </w:p>
          <w:p w14:paraId="697D0652" w14:textId="78F7833E" w:rsidR="00F85C99" w:rsidRPr="00CF19EC" w:rsidRDefault="00C224F1" w:rsidP="009E75ED">
            <w:pPr>
              <w:spacing w:before="120" w:after="120"/>
              <w:jc w:val="left"/>
              <w:rPr>
                <w:lang w:val="en-GB"/>
              </w:rPr>
            </w:pPr>
            <w:r w:rsidRPr="00B61252">
              <w:rPr>
                <w:i/>
                <w:lang w:val="en-GB"/>
              </w:rPr>
              <w:t>ISO 24153, Random sampling and randomization procedures</w:t>
            </w:r>
            <w:r w:rsidR="002E7A12" w:rsidRPr="00CF19EC">
              <w:rPr>
                <w:lang w:val="en-GB"/>
              </w:rPr>
              <w:t>.</w:t>
            </w:r>
          </w:p>
        </w:tc>
      </w:tr>
      <w:tr w:rsidR="00FA09CF" w14:paraId="24702DB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6CB0B" w14:textId="77777777" w:rsidR="00EE3A11" w:rsidRPr="002F6A28" w:rsidRDefault="002E7A12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8334C" w14:textId="77777777" w:rsidR="00EE3A11" w:rsidRPr="002F6A28" w:rsidRDefault="002E7A12" w:rsidP="008953C4">
            <w:pPr>
              <w:spacing w:before="120" w:after="120"/>
            </w:pPr>
            <w:r>
              <w:rPr>
                <w:b/>
                <w:bCs/>
              </w:rPr>
              <w:t>Fecha propuesta de adopción:</w:t>
            </w:r>
            <w:r>
              <w:t xml:space="preserve"> </w:t>
            </w:r>
            <w:bookmarkStart w:id="11" w:name="sps10a"/>
            <w:bookmarkStart w:id="12" w:name="sps10b"/>
            <w:bookmarkEnd w:id="11"/>
            <w:r>
              <w:t>abril de 2020</w:t>
            </w:r>
            <w:bookmarkEnd w:id="12"/>
          </w:p>
          <w:p w14:paraId="48D4BD54" w14:textId="77777777" w:rsidR="00EE3A11" w:rsidRPr="002F6A28" w:rsidRDefault="002E7A12" w:rsidP="008953C4">
            <w:pPr>
              <w:spacing w:after="120"/>
            </w:pPr>
            <w:r>
              <w:rPr>
                <w:b/>
                <w:bCs/>
              </w:rPr>
              <w:t>Fecha propuesta de entrada en vigor:</w:t>
            </w:r>
            <w:r>
              <w:t xml:space="preserve"> </w:t>
            </w:r>
            <w:bookmarkStart w:id="13" w:name="sps11a"/>
            <w:bookmarkStart w:id="14" w:name="sps11b"/>
            <w:bookmarkEnd w:id="13"/>
            <w:r>
              <w:t xml:space="preserve">fecha de adopción como norma obligatoria por el Ministerio de Industria, Comercio e Inversión </w:t>
            </w:r>
            <w:bookmarkEnd w:id="14"/>
          </w:p>
        </w:tc>
      </w:tr>
      <w:tr w:rsidR="00FA09CF" w14:paraId="4B4309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7668D" w14:textId="77777777" w:rsidR="00F85C99" w:rsidRPr="002F6A28" w:rsidRDefault="002E7A12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62696" w14:textId="77777777" w:rsidR="00F85C99" w:rsidRPr="002F6A28" w:rsidRDefault="002E7A12" w:rsidP="002F6A28">
            <w:pPr>
              <w:spacing w:before="120" w:after="120"/>
            </w:pPr>
            <w:r>
              <w:rPr>
                <w:b/>
                <w:bCs/>
              </w:rPr>
              <w:t>Fecha límite para la presentación de observaciones:</w:t>
            </w:r>
            <w:r>
              <w:t xml:space="preserve"> 60 días después de la fecha de notificación</w:t>
            </w:r>
            <w:bookmarkStart w:id="15" w:name="sps12a"/>
            <w:bookmarkEnd w:id="15"/>
          </w:p>
        </w:tc>
      </w:tr>
      <w:tr w:rsidR="00FA09CF" w14:paraId="6EACEA9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5D4533A" w14:textId="77777777" w:rsidR="00F85C99" w:rsidRPr="002F6A28" w:rsidRDefault="002E7A12" w:rsidP="00CF19EC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D89C2B2" w14:textId="77777777" w:rsidR="00F85C99" w:rsidRPr="002F6A28" w:rsidRDefault="002E7A12" w:rsidP="00B16145">
            <w:pPr>
              <w:keepNext/>
              <w:keepLines/>
              <w:spacing w:before="120" w:after="120"/>
            </w:pPr>
            <w:r>
              <w:rPr>
                <w:b/>
              </w:rPr>
              <w:t>Textos disponibles en:</w:t>
            </w:r>
            <w:bookmarkStart w:id="16" w:name="X_TBT_Reg_11A"/>
            <w:r>
              <w:rPr>
                <w:b/>
              </w:rPr>
              <w:t xml:space="preserve"> </w:t>
            </w:r>
            <w:bookmarkEnd w:id="16"/>
            <w:r>
              <w:rPr>
                <w:b/>
                <w:bCs/>
              </w:rPr>
              <w:t>Servicio nacional de información [X], o dirección, números de teléfono y de fax y direcciones de correo electrónico y sitios web, en su caso, de otra institución:</w:t>
            </w:r>
            <w:r>
              <w:rPr>
                <w:b/>
              </w:rPr>
              <w:t xml:space="preserve"> </w:t>
            </w:r>
            <w:bookmarkStart w:id="17" w:name="sps13c"/>
          </w:p>
          <w:p w14:paraId="48FEEC59" w14:textId="77777777" w:rsidR="009D0B82" w:rsidRPr="002F6A28" w:rsidRDefault="002E7A12" w:rsidP="00B16145">
            <w:pPr>
              <w:keepNext/>
              <w:keepLines/>
              <w:spacing w:before="120" w:after="120"/>
              <w:jc w:val="left"/>
            </w:pPr>
            <w:r>
              <w:rPr>
                <w:i/>
                <w:iCs/>
              </w:rPr>
              <w:t>Tanzania Bureau of Standards</w:t>
            </w:r>
            <w:r>
              <w:t xml:space="preserve"> (Oficina de Normas de Tanzanía)</w:t>
            </w:r>
            <w:r>
              <w:br/>
              <w:t>Morogoro/Sam Nujoma Road, Ubungo</w:t>
            </w:r>
            <w:r>
              <w:br/>
              <w:t>P.O. Box 9524</w:t>
            </w:r>
            <w:r>
              <w:br/>
              <w:t>Teléfono: +255 222450206</w:t>
            </w:r>
            <w:r>
              <w:br/>
              <w:t xml:space="preserve">Correo electrónico: </w:t>
            </w:r>
            <w:hyperlink r:id="rId9" w:history="1">
              <w:r>
                <w:rPr>
                  <w:color w:val="0000FF"/>
                  <w:u w:val="single"/>
                </w:rPr>
                <w:t>nep@tbs.go.tz</w:t>
              </w:r>
            </w:hyperlink>
            <w:r>
              <w:br/>
              <w:t>Sitio w</w:t>
            </w:r>
            <w:bookmarkStart w:id="18" w:name="_GoBack"/>
            <w:bookmarkEnd w:id="18"/>
            <w:r>
              <w:t xml:space="preserve">eb: </w:t>
            </w:r>
            <w:hyperlink r:id="rId10" w:history="1">
              <w:r>
                <w:rPr>
                  <w:color w:val="0000FF"/>
                  <w:u w:val="single"/>
                </w:rPr>
                <w:t>www.tbs.go.tz</w:t>
              </w:r>
            </w:hyperlink>
          </w:p>
          <w:p w14:paraId="76BDE952" w14:textId="77777777" w:rsidR="009D0B82" w:rsidRPr="002F6A28" w:rsidRDefault="00CF19EC" w:rsidP="00B16145">
            <w:pPr>
              <w:keepNext/>
              <w:keepLines/>
              <w:spacing w:before="120" w:after="120"/>
            </w:pPr>
            <w:hyperlink r:id="rId11" w:history="1">
              <w:r w:rsidR="008F027C">
                <w:rPr>
                  <w:color w:val="0000FF"/>
                  <w:u w:val="single"/>
                </w:rPr>
                <w:t>https://members.wto.org/crnattachments/2019/TBT/TZA/19_7298_00_e.pdf</w:t>
              </w:r>
            </w:hyperlink>
            <w:bookmarkEnd w:id="17"/>
          </w:p>
        </w:tc>
      </w:tr>
    </w:tbl>
    <w:p w14:paraId="7AAFBF92" w14:textId="77777777" w:rsidR="00EE3A11" w:rsidRPr="002F6A28" w:rsidRDefault="00EE3A11" w:rsidP="002F6A28"/>
    <w:sectPr w:rsidR="00EE3A11" w:rsidRPr="002F6A28" w:rsidSect="00CF19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135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F9D82" w14:textId="77777777" w:rsidR="001B4B9A" w:rsidRDefault="002E7A12">
      <w:r>
        <w:separator/>
      </w:r>
    </w:p>
  </w:endnote>
  <w:endnote w:type="continuationSeparator" w:id="0">
    <w:p w14:paraId="70D36F27" w14:textId="77777777" w:rsidR="001B4B9A" w:rsidRDefault="002E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F6FB" w14:textId="77777777" w:rsidR="009239F7" w:rsidRPr="002F6A28" w:rsidRDefault="002E7A12" w:rsidP="009239F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720E" w14:textId="77777777" w:rsidR="009239F7" w:rsidRPr="002F6A28" w:rsidRDefault="002E7A12" w:rsidP="009239F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D376" w14:textId="77777777" w:rsidR="00EE3A11" w:rsidRPr="002F6A28" w:rsidRDefault="002E7A12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50D4" w14:textId="77777777" w:rsidR="001B4B9A" w:rsidRDefault="002E7A12">
      <w:r>
        <w:separator/>
      </w:r>
    </w:p>
  </w:footnote>
  <w:footnote w:type="continuationSeparator" w:id="0">
    <w:p w14:paraId="25A3450F" w14:textId="77777777" w:rsidR="001B4B9A" w:rsidRDefault="002E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3A31" w14:textId="77777777" w:rsidR="009239F7" w:rsidRPr="002F6A28" w:rsidRDefault="002E7A1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>
      <w:t>tbtSymbol</w:t>
    </w:r>
    <w:proofErr w:type="spellEnd"/>
  </w:p>
  <w:p w14:paraId="179A4059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A341F1" w14:textId="77777777" w:rsidR="009239F7" w:rsidRPr="002F6A28" w:rsidRDefault="002E7A1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>
      <w:t xml:space="preserve"> -</w:t>
    </w:r>
  </w:p>
  <w:p w14:paraId="79258972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7F59" w14:textId="77777777" w:rsidR="009239F7" w:rsidRPr="002F6A28" w:rsidRDefault="002E7A1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9" w:name="spsSymbolHeader"/>
    <w:r>
      <w:t>G/TBT/N/TZA/361</w:t>
    </w:r>
    <w:bookmarkEnd w:id="19"/>
  </w:p>
  <w:p w14:paraId="2CBD83F3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7BDC9D" w14:textId="77777777" w:rsidR="009239F7" w:rsidRPr="002F6A28" w:rsidRDefault="002E7A1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>
      <w:t xml:space="preserve"> -</w:t>
    </w:r>
  </w:p>
  <w:p w14:paraId="13CB5CFD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09CF" w14:paraId="6093FB7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56118C" w14:textId="77777777" w:rsidR="00ED54E0" w:rsidRPr="009239F7" w:rsidRDefault="00ED54E0" w:rsidP="00B801E9">
          <w:pPr>
            <w:rPr>
              <w:noProof/>
            </w:rPr>
          </w:pPr>
          <w:bookmarkStart w:id="20" w:name="bmkRestricted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EC054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20"/>
    <w:tr w:rsidR="00FA09CF" w14:paraId="6EB9188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23E42C" w14:textId="5A690D76" w:rsidR="00ED54E0" w:rsidRPr="009239F7" w:rsidRDefault="00335091" w:rsidP="00B801E9">
          <w:pPr>
            <w:jc w:val="left"/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0B36581D" wp14:editId="3EDF07C2">
                <wp:extent cx="2390775" cy="72390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33363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F525D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A09CF" w14:paraId="6848BA2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EF873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23AA49" w14:textId="77777777" w:rsidR="009239F7" w:rsidRPr="002F6A28" w:rsidRDefault="002E7A12" w:rsidP="00B801E9">
          <w:pPr>
            <w:jc w:val="right"/>
            <w:rPr>
              <w:b/>
              <w:szCs w:val="16"/>
            </w:rPr>
          </w:pPr>
          <w:bookmarkStart w:id="21" w:name="bmkSymbols"/>
          <w:r>
            <w:rPr>
              <w:b/>
              <w:szCs w:val="16"/>
            </w:rPr>
            <w:t>G/TBT/N/TZA/361</w:t>
          </w:r>
          <w:bookmarkEnd w:id="21"/>
        </w:p>
      </w:tc>
    </w:tr>
    <w:tr w:rsidR="00FA09CF" w14:paraId="48C4191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19C83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23280B" w14:textId="31C0C056" w:rsidR="00ED54E0" w:rsidRPr="009239F7" w:rsidRDefault="002E7A12" w:rsidP="00B801E9">
          <w:pPr>
            <w:jc w:val="right"/>
            <w:rPr>
              <w:szCs w:val="16"/>
            </w:rPr>
          </w:pPr>
          <w:bookmarkStart w:id="22" w:name="spsDateDistribution"/>
          <w:bookmarkStart w:id="23" w:name="bmkDate"/>
          <w:bookmarkEnd w:id="22"/>
          <w:bookmarkEnd w:id="23"/>
          <w:r>
            <w:t>18 de diciembre de 2019</w:t>
          </w:r>
        </w:p>
      </w:tc>
    </w:tr>
    <w:tr w:rsidR="00FA09CF" w14:paraId="4A590B4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0290BF" w14:textId="26EB319E" w:rsidR="00ED54E0" w:rsidRPr="009239F7" w:rsidRDefault="002E7A12" w:rsidP="0097650D">
          <w:pPr>
            <w:jc w:val="left"/>
            <w:rPr>
              <w:b/>
            </w:rPr>
          </w:pPr>
          <w:bookmarkStart w:id="24" w:name="bmkSerial"/>
          <w:r>
            <w:rPr>
              <w:color w:val="FF0000"/>
              <w:szCs w:val="16"/>
            </w:rPr>
            <w:t>(</w:t>
          </w:r>
          <w:bookmarkStart w:id="25" w:name="spsSerialNumber"/>
          <w:bookmarkEnd w:id="25"/>
          <w:r>
            <w:rPr>
              <w:color w:val="FF0000"/>
              <w:szCs w:val="16"/>
            </w:rPr>
            <w:t>19-</w:t>
          </w:r>
          <w:r w:rsidR="00CF19EC">
            <w:rPr>
              <w:color w:val="FF0000"/>
              <w:szCs w:val="16"/>
            </w:rPr>
            <w:t>8816</w:t>
          </w:r>
          <w:r>
            <w:rPr>
              <w:color w:val="FF0000"/>
              <w:szCs w:val="16"/>
            </w:rPr>
            <w:t>)</w:t>
          </w:r>
          <w:bookmarkEnd w:id="2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77B49F" w14:textId="77777777" w:rsidR="00ED54E0" w:rsidRPr="009239F7" w:rsidRDefault="002E7A12" w:rsidP="00B801E9">
          <w:pPr>
            <w:jc w:val="right"/>
            <w:rPr>
              <w:szCs w:val="16"/>
            </w:rPr>
          </w:pPr>
          <w:bookmarkStart w:id="26" w:name="bmkTotPages"/>
          <w:r>
            <w:t xml:space="preserve">Página: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26"/>
        </w:p>
      </w:tc>
    </w:tr>
    <w:tr w:rsidR="00FA09CF" w14:paraId="048E929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139D7B" w14:textId="77777777" w:rsidR="00ED54E0" w:rsidRPr="009239F7" w:rsidRDefault="002E7A12" w:rsidP="00B801E9">
          <w:pPr>
            <w:jc w:val="left"/>
            <w:rPr>
              <w:sz w:val="14"/>
              <w:szCs w:val="16"/>
            </w:rPr>
          </w:pPr>
          <w:bookmarkStart w:id="27" w:name="bmkCommittee"/>
          <w:r>
            <w:rPr>
              <w:b/>
            </w:rPr>
            <w:t>Comité de Obstáculos Técnicos al Comercio</w:t>
          </w:r>
          <w:bookmarkEnd w:id="2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8D51F8" w14:textId="77777777" w:rsidR="00ED54E0" w:rsidRPr="002F6A28" w:rsidRDefault="002E7A12" w:rsidP="00B801E9">
          <w:pPr>
            <w:jc w:val="right"/>
            <w:rPr>
              <w:bCs/>
              <w:szCs w:val="18"/>
            </w:rPr>
          </w:pPr>
          <w:bookmarkStart w:id="28" w:name="bmkLanguage"/>
          <w:r>
            <w:t xml:space="preserve">Original: </w:t>
          </w:r>
          <w:bookmarkStart w:id="29" w:name="spsOriginalLanguage"/>
          <w:r>
            <w:t>inglés</w:t>
          </w:r>
          <w:bookmarkEnd w:id="28"/>
          <w:bookmarkEnd w:id="29"/>
        </w:p>
      </w:tc>
    </w:tr>
  </w:tbl>
  <w:p w14:paraId="6C99F86D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7E001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541C7A" w:tentative="1">
      <w:start w:val="1"/>
      <w:numFmt w:val="lowerLetter"/>
      <w:lvlText w:val="%2."/>
      <w:lvlJc w:val="left"/>
      <w:pPr>
        <w:ind w:left="1080" w:hanging="360"/>
      </w:pPr>
    </w:lvl>
    <w:lvl w:ilvl="2" w:tplc="FC329A9C" w:tentative="1">
      <w:start w:val="1"/>
      <w:numFmt w:val="lowerRoman"/>
      <w:lvlText w:val="%3."/>
      <w:lvlJc w:val="right"/>
      <w:pPr>
        <w:ind w:left="1800" w:hanging="180"/>
      </w:pPr>
    </w:lvl>
    <w:lvl w:ilvl="3" w:tplc="D7662032" w:tentative="1">
      <w:start w:val="1"/>
      <w:numFmt w:val="decimal"/>
      <w:lvlText w:val="%4."/>
      <w:lvlJc w:val="left"/>
      <w:pPr>
        <w:ind w:left="2520" w:hanging="360"/>
      </w:pPr>
    </w:lvl>
    <w:lvl w:ilvl="4" w:tplc="6220EA5A" w:tentative="1">
      <w:start w:val="1"/>
      <w:numFmt w:val="lowerLetter"/>
      <w:lvlText w:val="%5."/>
      <w:lvlJc w:val="left"/>
      <w:pPr>
        <w:ind w:left="3240" w:hanging="360"/>
      </w:pPr>
    </w:lvl>
    <w:lvl w:ilvl="5" w:tplc="226034A4" w:tentative="1">
      <w:start w:val="1"/>
      <w:numFmt w:val="lowerRoman"/>
      <w:lvlText w:val="%6."/>
      <w:lvlJc w:val="right"/>
      <w:pPr>
        <w:ind w:left="3960" w:hanging="180"/>
      </w:pPr>
    </w:lvl>
    <w:lvl w:ilvl="6" w:tplc="D9D6869E" w:tentative="1">
      <w:start w:val="1"/>
      <w:numFmt w:val="decimal"/>
      <w:lvlText w:val="%7."/>
      <w:lvlJc w:val="left"/>
      <w:pPr>
        <w:ind w:left="4680" w:hanging="360"/>
      </w:pPr>
    </w:lvl>
    <w:lvl w:ilvl="7" w:tplc="F3E8BFDE" w:tentative="1">
      <w:start w:val="1"/>
      <w:numFmt w:val="lowerLetter"/>
      <w:lvlText w:val="%8."/>
      <w:lvlJc w:val="left"/>
      <w:pPr>
        <w:ind w:left="5400" w:hanging="360"/>
      </w:pPr>
    </w:lvl>
    <w:lvl w:ilvl="8" w:tplc="347A82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4B9A"/>
    <w:rsid w:val="001E291F"/>
    <w:rsid w:val="00204CC3"/>
    <w:rsid w:val="00233408"/>
    <w:rsid w:val="00267723"/>
    <w:rsid w:val="00270637"/>
    <w:rsid w:val="0027067B"/>
    <w:rsid w:val="002D21E3"/>
    <w:rsid w:val="002E174F"/>
    <w:rsid w:val="002E7A12"/>
    <w:rsid w:val="002F6A28"/>
    <w:rsid w:val="00303D9D"/>
    <w:rsid w:val="00304AAE"/>
    <w:rsid w:val="003124EC"/>
    <w:rsid w:val="003132E0"/>
    <w:rsid w:val="00335091"/>
    <w:rsid w:val="003531C5"/>
    <w:rsid w:val="003572B4"/>
    <w:rsid w:val="00361D73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027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0B82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96204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24F1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19EC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09CF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98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s-ES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2F6A2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2F6A2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2F6A28"/>
    <w:rPr>
      <w:lang w:val="es-ES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2F6A28"/>
    <w:rPr>
      <w:lang w:val="es-ES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2F6A28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ZA/19_729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2020-01-16T09:19:00Z</dcterms:created>
  <dcterms:modified xsi:type="dcterms:W3CDTF">2020-01-16T13:57:00Z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