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986871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:rsidR="00B531D9" w:rsidRPr="003A3E55" w:rsidRDefault="00986871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A20EE8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2"/>
          </w:p>
          <w:p w:rsidR="00A52F73" w:rsidRPr="003A3E55" w:rsidRDefault="00986871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>Ministerio de Salud</w:t>
            </w:r>
            <w:bookmarkEnd w:id="6"/>
          </w:p>
          <w:p w:rsidR="00A52F73" w:rsidRPr="003A3E55" w:rsidRDefault="00986871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:rsidR="00FA5262" w:rsidRPr="003A3E55" w:rsidRDefault="00986871" w:rsidP="008849EF">
            <w:pPr>
              <w:spacing w:after="120"/>
            </w:pPr>
            <w:r w:rsidRPr="003A3E55">
              <w:t>Subsecretaría de Relaciones Económicas Internacionales - Ministerio de Relaciones Exteriores de Chile</w:t>
            </w:r>
            <w:bookmarkEnd w:id="8"/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Alimentos</w:t>
            </w:r>
            <w:bookmarkStart w:id="21" w:name="sps3a"/>
            <w:bookmarkEnd w:id="21"/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Consulta Pública de Modificación del Decreto Supremo N°977/96, Ministerio de Salud, Reglamento Sanitario de los Alimentos, Título II de los Alimentos, Párrafo II de la Rotulación y Publicidad, Artículos 106 Y 107. (3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Modificación del Decreto Supremo N°977/96, Ministerio de Salud, Reglamento Sanitario de los Alimentos, Título II de los Alimentos, Párrafo II de la Rotulación y Publicidad, Artículos 106 Y 107.</w:t>
            </w:r>
          </w:p>
          <w:p w:rsidR="00AF251E" w:rsidRPr="003A3E55" w:rsidRDefault="00986871" w:rsidP="003A3E55">
            <w:pPr>
              <w:spacing w:after="120"/>
            </w:pPr>
            <w:r w:rsidRPr="003A3E55">
              <w:t xml:space="preserve">Los términos utilizados en el artículo 106 N°15 y 18 y artículo </w:t>
            </w:r>
            <w:proofErr w:type="gramStart"/>
            <w:r w:rsidRPr="003A3E55">
              <w:t>107  letra</w:t>
            </w:r>
            <w:proofErr w:type="gramEnd"/>
            <w:r w:rsidRPr="003A3E55">
              <w:t xml:space="preserve"> g) han sido causa de confusión y malas interpretaciones, por lo que se propone el remplazo de los términos causantes de esta situación. La propuesta de modificación se ha referenciado en Codex </w:t>
            </w:r>
            <w:proofErr w:type="spellStart"/>
            <w:r w:rsidRPr="003A3E55">
              <w:t>Alimentarius</w:t>
            </w:r>
            <w:proofErr w:type="spellEnd"/>
            <w:r w:rsidRPr="003A3E55">
              <w:t>, Norma General Para el Etiquetado de Los Alimentos Preenvasado CXS</w:t>
            </w:r>
            <w:r>
              <w:t> </w:t>
            </w:r>
            <w:r w:rsidRPr="003A3E55">
              <w:t>1</w:t>
            </w:r>
            <w:r>
              <w:noBreakHyphen/>
            </w:r>
            <w:r w:rsidRPr="003A3E55">
              <w:t>1985, Adoptada en 1985. Enmendada en 1991,1999, 2001, 2003, 2005, 2008 y 2010. Revisada en 2018. Punto N°2. Definición de los Términos.</w:t>
            </w:r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Protección de la salud o seguridad humanas</w:t>
            </w:r>
            <w:bookmarkStart w:id="28" w:name="sps7f"/>
            <w:bookmarkEnd w:id="28"/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986871" w:rsidP="002117BA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FA5262" w:rsidRPr="003A3E55" w:rsidRDefault="00986871" w:rsidP="002117BA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General Para el Etiquetado de Los Alimentos Preenvasado CXS 1-1985, Adoptada en 1985. Enmendada en 1991,1999, 2001, 2003, 2005, 2008 y 2010. Revisada en 2018.</w:t>
            </w:r>
          </w:p>
          <w:p w:rsidR="00FA5262" w:rsidRPr="003A3E55" w:rsidRDefault="00986871" w:rsidP="002117BA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Reglamento Sanitario de Alimento (RSA), Decreto Supremo N°977/96.</w:t>
            </w:r>
          </w:p>
        </w:tc>
      </w:tr>
      <w:tr w:rsidR="00A20EE8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986871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-</w:t>
            </w:r>
            <w:bookmarkEnd w:id="32"/>
          </w:p>
          <w:p w:rsidR="00AF251E" w:rsidRPr="003A3E55" w:rsidRDefault="00986871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-</w:t>
            </w:r>
            <w:bookmarkEnd w:id="35"/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986871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A20EE8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986871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986871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:rsidR="002117BA" w:rsidRDefault="00986871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Subsecretaría de Relaciones Económicas Internacionales</w:t>
            </w:r>
            <w:r w:rsidRPr="003A3E55">
              <w:rPr>
                <w:bCs/>
              </w:rPr>
              <w:br/>
              <w:t>Ministerio de Relaciones Exteriores de Chile</w:t>
            </w:r>
            <w:r w:rsidRPr="003A3E55">
              <w:rPr>
                <w:bCs/>
              </w:rPr>
              <w:br/>
              <w:t>Teatinos 180, piso 11</w:t>
            </w:r>
            <w:r w:rsidRPr="003A3E55">
              <w:rPr>
                <w:bCs/>
              </w:rPr>
              <w:br/>
              <w:t>Teléfono: (+56)-2- 2827 5250</w:t>
            </w:r>
            <w:r w:rsidRPr="003A3E55">
              <w:rPr>
                <w:bCs/>
              </w:rPr>
              <w:br/>
              <w:t>Fax: (+56)-2- 2380 9494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</w:p>
          <w:p w:rsidR="002117BA" w:rsidRDefault="0060156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8" w:history="1">
              <w:r w:rsidR="00986871" w:rsidRPr="003A3E55">
                <w:rPr>
                  <w:bCs/>
                  <w:color w:val="0000FF"/>
                  <w:u w:val="single"/>
                </w:rPr>
                <w:t>https://www.minsal.cl/consultas-publicas-vigentes/</w:t>
              </w:r>
            </w:hyperlink>
          </w:p>
          <w:p w:rsidR="00FA5262" w:rsidRPr="003A3E55" w:rsidRDefault="00601567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9" w:history="1">
              <w:r w:rsidR="00986871" w:rsidRPr="003A3E55">
                <w:rPr>
                  <w:bCs/>
                  <w:color w:val="0000FF"/>
                  <w:u w:val="single"/>
                </w:rPr>
                <w:t>https://members.wto.org/crnattachments/2020/TBT/CHL/20_5887_00_s.pdf</w:t>
              </w:r>
            </w:hyperlink>
            <w:bookmarkEnd w:id="40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F2" w:rsidRDefault="00986871">
      <w:r>
        <w:separator/>
      </w:r>
    </w:p>
  </w:endnote>
  <w:endnote w:type="continuationSeparator" w:id="0">
    <w:p w:rsidR="003A7FF2" w:rsidRDefault="0098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986871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986871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986871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F2" w:rsidRDefault="00986871">
      <w:r>
        <w:separator/>
      </w:r>
    </w:p>
  </w:footnote>
  <w:footnote w:type="continuationSeparator" w:id="0">
    <w:p w:rsidR="003A7FF2" w:rsidRDefault="0098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986871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986871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986871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G/TBT/N/CHL/535</w:t>
    </w:r>
    <w:bookmarkEnd w:id="41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986871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20EE8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A20EE8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986871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2619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A20EE8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986871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G/TBT/N/CHL/535</w:t>
          </w:r>
          <w:bookmarkEnd w:id="43"/>
        </w:p>
      </w:tc>
    </w:tr>
    <w:tr w:rsidR="00A20EE8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986871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 xml:space="preserve">2 </w:t>
          </w:r>
          <w:proofErr w:type="spellStart"/>
          <w:r>
            <w:rPr>
              <w:szCs w:val="18"/>
            </w:rPr>
            <w:t>October</w:t>
          </w:r>
          <w:proofErr w:type="spellEnd"/>
          <w:r>
            <w:rPr>
              <w:szCs w:val="18"/>
            </w:rPr>
            <w:t xml:space="preserve"> 2020</w:t>
          </w:r>
        </w:p>
      </w:tc>
    </w:tr>
    <w:tr w:rsidR="00A20EE8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986871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bookmarkEnd w:id="46"/>
          <w:r w:rsidR="00601567">
            <w:rPr>
              <w:color w:val="FF0000"/>
              <w:szCs w:val="18"/>
            </w:rPr>
            <w:t>6715)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986871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A20EE8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986871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986871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18D8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04E428" w:tentative="1">
      <w:start w:val="1"/>
      <w:numFmt w:val="lowerLetter"/>
      <w:lvlText w:val="%2."/>
      <w:lvlJc w:val="left"/>
      <w:pPr>
        <w:ind w:left="1080" w:hanging="360"/>
      </w:pPr>
    </w:lvl>
    <w:lvl w:ilvl="2" w:tplc="82E05DEE" w:tentative="1">
      <w:start w:val="1"/>
      <w:numFmt w:val="lowerRoman"/>
      <w:lvlText w:val="%3."/>
      <w:lvlJc w:val="right"/>
      <w:pPr>
        <w:ind w:left="1800" w:hanging="180"/>
      </w:pPr>
    </w:lvl>
    <w:lvl w:ilvl="3" w:tplc="C7105B90" w:tentative="1">
      <w:start w:val="1"/>
      <w:numFmt w:val="decimal"/>
      <w:lvlText w:val="%4."/>
      <w:lvlJc w:val="left"/>
      <w:pPr>
        <w:ind w:left="2520" w:hanging="360"/>
      </w:pPr>
    </w:lvl>
    <w:lvl w:ilvl="4" w:tplc="39BAE64C" w:tentative="1">
      <w:start w:val="1"/>
      <w:numFmt w:val="lowerLetter"/>
      <w:lvlText w:val="%5."/>
      <w:lvlJc w:val="left"/>
      <w:pPr>
        <w:ind w:left="3240" w:hanging="360"/>
      </w:pPr>
    </w:lvl>
    <w:lvl w:ilvl="5" w:tplc="8B24543A" w:tentative="1">
      <w:start w:val="1"/>
      <w:numFmt w:val="lowerRoman"/>
      <w:lvlText w:val="%6."/>
      <w:lvlJc w:val="right"/>
      <w:pPr>
        <w:ind w:left="3960" w:hanging="180"/>
      </w:pPr>
    </w:lvl>
    <w:lvl w:ilvl="6" w:tplc="A01E36EE" w:tentative="1">
      <w:start w:val="1"/>
      <w:numFmt w:val="decimal"/>
      <w:lvlText w:val="%7."/>
      <w:lvlJc w:val="left"/>
      <w:pPr>
        <w:ind w:left="4680" w:hanging="360"/>
      </w:pPr>
    </w:lvl>
    <w:lvl w:ilvl="7" w:tplc="C88E8D06" w:tentative="1">
      <w:start w:val="1"/>
      <w:numFmt w:val="lowerLetter"/>
      <w:lvlText w:val="%8."/>
      <w:lvlJc w:val="left"/>
      <w:pPr>
        <w:ind w:left="5400" w:hanging="360"/>
      </w:pPr>
    </w:lvl>
    <w:lvl w:ilvl="8" w:tplc="8FB473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E2407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F2F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4000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4A74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AEFF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CE0A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922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80E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867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17BA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27BF4"/>
    <w:rsid w:val="00334600"/>
    <w:rsid w:val="00337700"/>
    <w:rsid w:val="003422F5"/>
    <w:rsid w:val="00342A86"/>
    <w:rsid w:val="003975E1"/>
    <w:rsid w:val="003A0E78"/>
    <w:rsid w:val="003A19CB"/>
    <w:rsid w:val="003A3E55"/>
    <w:rsid w:val="003A7FF2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1567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86871"/>
    <w:rsid w:val="009A0D78"/>
    <w:rsid w:val="009C190B"/>
    <w:rsid w:val="009D63FB"/>
    <w:rsid w:val="009E6970"/>
    <w:rsid w:val="009F491D"/>
    <w:rsid w:val="009F7158"/>
    <w:rsid w:val="00A03017"/>
    <w:rsid w:val="00A04DBF"/>
    <w:rsid w:val="00A20EE8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A5262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AB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al.cl/consultas-publicas-vigent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CHL/20_588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2629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2020-10-02T10:52:00Z</dcterms:created>
  <dcterms:modified xsi:type="dcterms:W3CDTF">2020-10-02T12:19:00Z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acbfe099-9f92-4a2f-8416-50159d139a10</vt:lpwstr>
  </property>
  <property fmtid="{D5CDD505-2E9C-101B-9397-08002B2CF9AE}" pid="4" name="WTOCLASSIFICATION">
    <vt:lpwstr>WTO OFFICIAL</vt:lpwstr>
  </property>
</Properties>
</file>