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097E4F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097E4F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C70336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097E4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097E4F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Chile</w:t>
            </w:r>
            <w:bookmarkEnd w:id="1"/>
          </w:p>
          <w:p w:rsidR="00A52F73" w:rsidRPr="003A3E55" w:rsidRDefault="00097E4F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C7033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097E4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097E4F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>Dirección General de Obras Públicas</w:t>
            </w:r>
            <w:bookmarkEnd w:id="5"/>
          </w:p>
          <w:p w:rsidR="00A52F73" w:rsidRPr="003A3E55" w:rsidRDefault="00097E4F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1F318A" w:rsidRPr="003A3E55" w:rsidRDefault="00097E4F" w:rsidP="008849EF">
            <w:pPr>
              <w:spacing w:after="120"/>
            </w:pPr>
            <w:r w:rsidRPr="003A3E55">
              <w:t>Subsecretaría de Relaciones Económicas Internacionales - Ministerio de Relaciones Exteriores de Chile</w:t>
            </w:r>
            <w:bookmarkEnd w:id="7"/>
          </w:p>
        </w:tc>
      </w:tr>
      <w:tr w:rsidR="00C7033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097E4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097E4F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C7033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097E4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097E4F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Uniones domiciliarias de alcantarillado en tuberías de poli (cloruro de vinilo) (PVC)</w:t>
            </w:r>
            <w:bookmarkStart w:id="20" w:name="sps3a"/>
            <w:bookmarkEnd w:id="20"/>
          </w:p>
        </w:tc>
      </w:tr>
      <w:tr w:rsidR="00C7033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097E4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097E4F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NCh 2592:2019 "Uniones domiciliarias de alcantarillado en tuberías de poli (cloruro de vinilo) (PVC) rígido - Requisitos" (25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7033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097E4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097E4F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Esta norma establece los requisitos mínimos que debe cumplir la instalación correspondiente a las uniones domiciliarias de alcantarillado (UD) con tuberías de poli (Cloruro de vinilo) (PVC) rígido.</w:t>
            </w:r>
          </w:p>
          <w:p w:rsidR="00AF251E" w:rsidRPr="003A3E55" w:rsidRDefault="00097E4F" w:rsidP="003A3E55">
            <w:pPr>
              <w:spacing w:after="120"/>
            </w:pPr>
            <w:r w:rsidRPr="003A3E55">
              <w:t>Esta norma se aplica a las UD de PVC, de uso residencial, que se empalman tanto a colectores nuevos como existentes, destinadas a evacuar por gravedad a presión atmosférica y a temperaturas inferiores a 60°C, las aguas servidas de la propiedad.</w:t>
            </w:r>
          </w:p>
        </w:tc>
      </w:tr>
      <w:tr w:rsidR="00C7033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097E4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097E4F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Prescripciones en materia de calidad</w:t>
            </w:r>
            <w:bookmarkStart w:id="27" w:name="sps7f"/>
            <w:bookmarkEnd w:id="27"/>
          </w:p>
        </w:tc>
      </w:tr>
      <w:tr w:rsidR="00C70336" w:rsidTr="00097E4F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097E4F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097E4F" w:rsidP="00CD4DEE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1F318A" w:rsidRPr="003A3E55" w:rsidRDefault="00097E4F" w:rsidP="00CD4DEE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NCh399, Sistemas de tuberías plásticas para suministro de agua bajo presión, enterrado o superficial - Tuberías de poli(cloruro de vinilo) no plastificado (PVC-U) - Requisitos</w:t>
            </w:r>
          </w:p>
          <w:p w:rsidR="001F318A" w:rsidRPr="003A3E55" w:rsidRDefault="00097E4F" w:rsidP="00CD4DEE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NCh1623, Cámaras de inspección prefabricadas de hormigón para redes públicas de alcantarillado - Requisitos</w:t>
            </w:r>
          </w:p>
          <w:p w:rsidR="001F318A" w:rsidRPr="003A3E55" w:rsidRDefault="00097E4F" w:rsidP="00CD4DEE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NCh1657/2, Anillos de caucho vulcanizado para tuberías - Parte 2: Tuberías plásticas</w:t>
            </w:r>
          </w:p>
          <w:p w:rsidR="001F318A" w:rsidRPr="003A3E55" w:rsidRDefault="00097E4F" w:rsidP="00CD4DEE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NCh2080, Tapas y anillos para cámaras de válvulas de agua potable y para cámaras de inspección de alcantarillado público</w:t>
            </w:r>
          </w:p>
          <w:p w:rsidR="001F318A" w:rsidRPr="003A3E55" w:rsidRDefault="00097E4F" w:rsidP="00CD4DEE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NCh2252, Sistema de tuberías plásticas en poli(cloruro de vinilo) no plastificado (PVC-U) para alcantarillado público enterrado - Especificaciones para tuberías y accesorios.</w:t>
            </w:r>
          </w:p>
          <w:p w:rsidR="001F318A" w:rsidRPr="003A3E55" w:rsidRDefault="00097E4F" w:rsidP="00CD4DEE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NCh2593, Uniones domiciliarias de alcantarillado en tubos de hormigón simple - Requisitos</w:t>
            </w:r>
          </w:p>
          <w:p w:rsidR="001F318A" w:rsidRPr="003A3E55" w:rsidRDefault="00097E4F" w:rsidP="00CD4DEE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NCh3371, Instalaciones domiciliarias de alcantarillado - Diseño, cálculo y requisitos.</w:t>
            </w:r>
          </w:p>
          <w:p w:rsidR="001F318A" w:rsidRPr="003A3E55" w:rsidRDefault="00097E4F" w:rsidP="00CD4DEE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NCh3542, Sistema de tuberías para alcantarillado sanitario y otras aplicaciones sin presión - Instalación subterránea de tuberías termoplásticas</w:t>
            </w:r>
          </w:p>
          <w:p w:rsidR="001F318A" w:rsidRPr="00CD4DEE" w:rsidRDefault="00097E4F" w:rsidP="00CD4DEE">
            <w:pPr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r w:rsidRPr="00CD4DEE">
              <w:rPr>
                <w:lang w:val="en-GB"/>
              </w:rPr>
              <w:t>ASTM C443, Specification for Joints for Concrete Pipe and Manholes, Using Rubber Gaskets</w:t>
            </w:r>
          </w:p>
        </w:tc>
      </w:tr>
      <w:tr w:rsidR="00C70336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097E4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097E4F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-</w:t>
            </w:r>
            <w:bookmarkEnd w:id="31"/>
          </w:p>
          <w:p w:rsidR="00AF251E" w:rsidRPr="003A3E55" w:rsidRDefault="00097E4F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>-</w:t>
            </w:r>
            <w:bookmarkEnd w:id="34"/>
          </w:p>
        </w:tc>
      </w:tr>
      <w:tr w:rsidR="00C7033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097E4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097E4F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C70336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097E4F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097E4F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:rsidR="00CD4DEE" w:rsidRDefault="00097E4F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Subsecretaría de Relaciones Económicas Internacionales</w:t>
            </w:r>
            <w:r w:rsidRPr="003A3E55">
              <w:rPr>
                <w:bCs/>
              </w:rPr>
              <w:br/>
              <w:t>Ministerio de Relaciones Exteriores de Chile</w:t>
            </w:r>
            <w:r w:rsidRPr="003A3E55">
              <w:rPr>
                <w:bCs/>
              </w:rPr>
              <w:br/>
              <w:t>Teatinos 180, piso 11</w:t>
            </w:r>
            <w:r w:rsidRPr="003A3E55">
              <w:rPr>
                <w:bCs/>
              </w:rPr>
              <w:br/>
              <w:t>Teléfono: (+56)-2-22827 5250</w:t>
            </w:r>
            <w:r w:rsidRPr="003A3E55">
              <w:rPr>
                <w:bCs/>
              </w:rPr>
              <w:br/>
              <w:t xml:space="preserve">Correo electrónico: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tbt_chile@subrei.gob.cl</w:t>
              </w:r>
            </w:hyperlink>
          </w:p>
          <w:p w:rsidR="00CD4DEE" w:rsidRDefault="00097E4F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 xml:space="preserve">Para acceder a la visualización de dichas normas, debe ingresar en </w:t>
            </w:r>
            <w:hyperlink r:id="rId8" w:history="1">
              <w:r w:rsidRPr="003A3E55">
                <w:rPr>
                  <w:bCs/>
                  <w:color w:val="0000FF"/>
                  <w:u w:val="single"/>
                </w:rPr>
                <w:t>https://www.inncoleccion.cl/</w:t>
              </w:r>
            </w:hyperlink>
            <w:r w:rsidRPr="003A3E55">
              <w:rPr>
                <w:bCs/>
              </w:rPr>
              <w:t xml:space="preserve"> </w:t>
            </w:r>
          </w:p>
          <w:p w:rsidR="00CD4DEE" w:rsidRDefault="00097E4F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y digitar los siguientes datos:</w:t>
            </w:r>
          </w:p>
          <w:p w:rsidR="001F318A" w:rsidRPr="003A3E55" w:rsidRDefault="00097E4F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Empresa:</w:t>
            </w:r>
            <w:r>
              <w:rPr>
                <w:bCs/>
              </w:rPr>
              <w:t xml:space="preserve"> </w:t>
            </w:r>
            <w:r w:rsidRPr="003A3E55">
              <w:rPr>
                <w:bCs/>
              </w:rPr>
              <w:t>SUBREI-003</w:t>
            </w:r>
            <w:r w:rsidRPr="003A3E55">
              <w:rPr>
                <w:bCs/>
              </w:rPr>
              <w:br/>
              <w:t>Usuario:</w:t>
            </w:r>
            <w:r>
              <w:rPr>
                <w:bCs/>
              </w:rPr>
              <w:t xml:space="preserve"> </w:t>
            </w:r>
            <w:r w:rsidRPr="003A3E55">
              <w:rPr>
                <w:bCs/>
              </w:rPr>
              <w:t>subrei</w:t>
            </w:r>
            <w:r w:rsidRPr="003A3E55">
              <w:rPr>
                <w:bCs/>
              </w:rPr>
              <w:br/>
              <w:t>Contraseña:</w:t>
            </w:r>
            <w:r w:rsidRPr="003A3E55">
              <w:rPr>
                <w:bCs/>
              </w:rPr>
              <w:tab/>
              <w:t>subrei</w:t>
            </w:r>
            <w:bookmarkEnd w:id="39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981" w:rsidRDefault="00097E4F">
      <w:r>
        <w:separator/>
      </w:r>
    </w:p>
  </w:endnote>
  <w:endnote w:type="continuationSeparator" w:id="0">
    <w:p w:rsidR="00A00981" w:rsidRDefault="0009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097E4F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097E4F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097E4F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981" w:rsidRDefault="00097E4F">
      <w:r>
        <w:separator/>
      </w:r>
    </w:p>
  </w:footnote>
  <w:footnote w:type="continuationSeparator" w:id="0">
    <w:p w:rsidR="00A00981" w:rsidRDefault="0009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097E4F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097E4F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097E4F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G/TBT/N/CHL/540</w:t>
    </w:r>
    <w:bookmarkEnd w:id="40"/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097E4F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C70336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C70336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097E4F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434954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C70336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097E4F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G/TBT/N/CHL/540</w:t>
          </w:r>
          <w:bookmarkEnd w:id="42"/>
        </w:p>
      </w:tc>
    </w:tr>
    <w:tr w:rsidR="00C70336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3B08C8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24 de noviembre de 2020</w:t>
          </w:r>
        </w:p>
      </w:tc>
    </w:tr>
    <w:tr w:rsidR="00C70336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097E4F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 w:rsidR="003B08C8">
            <w:rPr>
              <w:color w:val="FF0000"/>
              <w:szCs w:val="18"/>
            </w:rPr>
            <w:t>20-</w:t>
          </w:r>
          <w:r w:rsidR="006A25E0">
            <w:rPr>
              <w:color w:val="FF0000"/>
              <w:szCs w:val="18"/>
            </w:rPr>
            <w:t>8479</w:t>
          </w:r>
          <w:bookmarkStart w:id="47" w:name="_GoBack"/>
          <w:bookmarkEnd w:id="47"/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097E4F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C70336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097E4F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097E4F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7EA3A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472CC6C" w:tentative="1">
      <w:start w:val="1"/>
      <w:numFmt w:val="lowerLetter"/>
      <w:lvlText w:val="%2."/>
      <w:lvlJc w:val="left"/>
      <w:pPr>
        <w:ind w:left="1080" w:hanging="360"/>
      </w:pPr>
    </w:lvl>
    <w:lvl w:ilvl="2" w:tplc="DE702014" w:tentative="1">
      <w:start w:val="1"/>
      <w:numFmt w:val="lowerRoman"/>
      <w:lvlText w:val="%3."/>
      <w:lvlJc w:val="right"/>
      <w:pPr>
        <w:ind w:left="1800" w:hanging="180"/>
      </w:pPr>
    </w:lvl>
    <w:lvl w:ilvl="3" w:tplc="1AA8FB42" w:tentative="1">
      <w:start w:val="1"/>
      <w:numFmt w:val="decimal"/>
      <w:lvlText w:val="%4."/>
      <w:lvlJc w:val="left"/>
      <w:pPr>
        <w:ind w:left="2520" w:hanging="360"/>
      </w:pPr>
    </w:lvl>
    <w:lvl w:ilvl="4" w:tplc="B4AE1D54" w:tentative="1">
      <w:start w:val="1"/>
      <w:numFmt w:val="lowerLetter"/>
      <w:lvlText w:val="%5."/>
      <w:lvlJc w:val="left"/>
      <w:pPr>
        <w:ind w:left="3240" w:hanging="360"/>
      </w:pPr>
    </w:lvl>
    <w:lvl w:ilvl="5" w:tplc="65B66160" w:tentative="1">
      <w:start w:val="1"/>
      <w:numFmt w:val="lowerRoman"/>
      <w:lvlText w:val="%6."/>
      <w:lvlJc w:val="right"/>
      <w:pPr>
        <w:ind w:left="3960" w:hanging="180"/>
      </w:pPr>
    </w:lvl>
    <w:lvl w:ilvl="6" w:tplc="36F4BFC4" w:tentative="1">
      <w:start w:val="1"/>
      <w:numFmt w:val="decimal"/>
      <w:lvlText w:val="%7."/>
      <w:lvlJc w:val="left"/>
      <w:pPr>
        <w:ind w:left="4680" w:hanging="360"/>
      </w:pPr>
    </w:lvl>
    <w:lvl w:ilvl="7" w:tplc="3E245872" w:tentative="1">
      <w:start w:val="1"/>
      <w:numFmt w:val="lowerLetter"/>
      <w:lvlText w:val="%8."/>
      <w:lvlJc w:val="left"/>
      <w:pPr>
        <w:ind w:left="5400" w:hanging="360"/>
      </w:pPr>
    </w:lvl>
    <w:lvl w:ilvl="8" w:tplc="6F6E4C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70474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F0C9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905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4AA1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EAB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60CB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CAD0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1D48A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F0FD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97E4F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1F318A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08C8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47758"/>
    <w:rsid w:val="006652F7"/>
    <w:rsid w:val="00674766"/>
    <w:rsid w:val="00674833"/>
    <w:rsid w:val="00677F2C"/>
    <w:rsid w:val="00696361"/>
    <w:rsid w:val="006A25E0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0981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0336"/>
    <w:rsid w:val="00C71274"/>
    <w:rsid w:val="00C97117"/>
    <w:rsid w:val="00CB2591"/>
    <w:rsid w:val="00CD0195"/>
    <w:rsid w:val="00CD0728"/>
    <w:rsid w:val="00CD4DEE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07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coleccion.c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_chile@subrei.gob.c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2020-11-24T08:43:00Z</dcterms:created>
  <dcterms:modified xsi:type="dcterms:W3CDTF">2020-11-24T10:32:00Z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98aa0d92-a3f5-44a2-baeb-147e2154d7ee</vt:lpwstr>
  </property>
  <property fmtid="{D5CDD505-2E9C-101B-9397-08002B2CF9AE}" pid="4" name="WTOCLASSIFICATION">
    <vt:lpwstr>WTO OFFICIAL</vt:lpwstr>
  </property>
</Properties>
</file>