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CF67" w14:textId="77777777" w:rsidR="009239F7" w:rsidRPr="002F6A28" w:rsidRDefault="00BF49C5" w:rsidP="002F6A28">
      <w:pPr>
        <w:pStyle w:val="Title"/>
        <w:rPr>
          <w:caps w:val="0"/>
          <w:kern w:val="0"/>
        </w:rPr>
      </w:pPr>
      <w:r>
        <w:rPr>
          <w:caps w:val="0"/>
        </w:rPr>
        <w:t>NOTIFICACIÓN</w:t>
      </w:r>
      <w:bookmarkStart w:id="0" w:name="_GoBack"/>
      <w:bookmarkEnd w:id="0"/>
    </w:p>
    <w:p w14:paraId="74F6657A" w14:textId="77777777" w:rsidR="009239F7" w:rsidRPr="002F6A28" w:rsidRDefault="00BF49C5" w:rsidP="002F6A28">
      <w:pPr>
        <w:jc w:val="center"/>
      </w:pPr>
      <w:r>
        <w:t>Se da traslado de la notificación siguiente de conformidad con el artículo 10.6.</w:t>
      </w:r>
    </w:p>
    <w:p w14:paraId="2B9FE8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A3EEE" w14:paraId="6CD2A2F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0B91815" w14:textId="77777777" w:rsidR="00F85C99" w:rsidRPr="002F6A28" w:rsidRDefault="00BF49C5" w:rsidP="002F6A28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7DDBAFD" w14:textId="77777777" w:rsidR="00F85C99" w:rsidRPr="002F6A28" w:rsidRDefault="00BF49C5" w:rsidP="00C805B6">
            <w:pPr>
              <w:spacing w:before="120" w:after="120"/>
            </w:pPr>
            <w:r>
              <w:rPr>
                <w:b/>
                <w:bCs/>
              </w:rPr>
              <w:t>Miembro que notifica:</w:t>
            </w:r>
            <w:r>
              <w:t xml:space="preserve"> </w:t>
            </w:r>
            <w:bookmarkStart w:id="1" w:name="sps1a"/>
            <w:r>
              <w:rPr>
                <w:caps/>
                <w:u w:val="single"/>
              </w:rPr>
              <w:t>KENYA</w:t>
            </w:r>
            <w:bookmarkEnd w:id="1"/>
            <w:r>
              <w:t xml:space="preserve"> </w:t>
            </w:r>
          </w:p>
          <w:p w14:paraId="205B6231" w14:textId="77777777" w:rsidR="00F85C99" w:rsidRPr="002F6A28" w:rsidRDefault="00BF49C5" w:rsidP="002F6A28">
            <w:pPr>
              <w:spacing w:after="120"/>
            </w:pPr>
            <w:r>
              <w:rPr>
                <w:b/>
                <w:bCs/>
              </w:rPr>
              <w:t>Si procede, nombre del gobierno local de que se trate (artículos 3.2 y 7.2):</w:t>
            </w:r>
            <w:r>
              <w:t xml:space="preserve"> </w:t>
            </w:r>
            <w:bookmarkStart w:id="2" w:name="sps1b"/>
            <w:bookmarkEnd w:id="2"/>
          </w:p>
        </w:tc>
      </w:tr>
      <w:tr w:rsidR="00DA3EEE" w14:paraId="69EB51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24A79" w14:textId="77777777" w:rsidR="00F85C99" w:rsidRPr="002F6A28" w:rsidRDefault="00BF49C5" w:rsidP="002F6A28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FEA16" w14:textId="77777777" w:rsidR="00F85C99" w:rsidRPr="002F6A28" w:rsidRDefault="00BF49C5" w:rsidP="00155128">
            <w:pPr>
              <w:spacing w:before="120" w:after="120"/>
            </w:pPr>
            <w:r>
              <w:rPr>
                <w:b/>
                <w:bCs/>
              </w:rPr>
              <w:t>Organismo responsable:</w:t>
            </w:r>
            <w:r>
              <w:t xml:space="preserve"> </w:t>
            </w:r>
            <w:bookmarkStart w:id="3" w:name="sps2a"/>
            <w:r>
              <w:rPr>
                <w:i/>
                <w:iCs/>
              </w:rPr>
              <w:t>Kenya Bureau of Standards</w:t>
            </w:r>
            <w:r>
              <w:t xml:space="preserve"> (Oficina de Normas de Kenya)</w:t>
            </w:r>
            <w:bookmarkEnd w:id="3"/>
          </w:p>
          <w:p w14:paraId="2EB41793" w14:textId="77777777" w:rsidR="00F85C99" w:rsidRPr="002F6A28" w:rsidRDefault="00BF49C5" w:rsidP="00AA646C">
            <w:pPr>
              <w:spacing w:after="120"/>
            </w:pPr>
            <w:r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</w:t>
            </w:r>
            <w:bookmarkStart w:id="4" w:name="sps4a"/>
          </w:p>
          <w:p w14:paraId="4DF9241D" w14:textId="700D7251" w:rsidR="00267D1C" w:rsidRPr="002F6A28" w:rsidRDefault="00BF49C5" w:rsidP="00AA646C">
            <w:pPr>
              <w:spacing w:after="120"/>
              <w:jc w:val="left"/>
            </w:pPr>
            <w:r>
              <w:t>P.O. Box: 54974-00200, Nairobi, Kenya</w:t>
            </w:r>
            <w:r>
              <w:br/>
              <w:t>Teléfono: + (254) 020 605490, 605506/ 6948258</w:t>
            </w:r>
            <w:r>
              <w:br/>
              <w:t>Fax: + (254) 020 609660/ 609665</w:t>
            </w:r>
            <w:r>
              <w:br/>
              <w:t xml:space="preserve">Correo electrónico: </w:t>
            </w:r>
            <w:hyperlink r:id="rId7" w:history="1">
              <w:r>
                <w:rPr>
                  <w:color w:val="0000FF"/>
                  <w:u w:val="single"/>
                </w:rPr>
                <w:t>info@kebs.org</w:t>
              </w:r>
            </w:hyperlink>
            <w:r>
              <w:br/>
              <w:t xml:space="preserve">Sitio web: </w:t>
            </w:r>
            <w:hyperlink r:id="rId8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End w:id="4"/>
          </w:p>
        </w:tc>
      </w:tr>
      <w:tr w:rsidR="00DA3EEE" w14:paraId="307C8A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F6EC4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8F784" w14:textId="77777777" w:rsidR="00F85C99" w:rsidRPr="0058336F" w:rsidRDefault="00BF49C5" w:rsidP="002F6A28">
            <w:pPr>
              <w:spacing w:before="120" w:after="120"/>
            </w:pPr>
            <w:r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>
              <w:rPr>
                <w:b/>
                <w:bCs/>
              </w:rPr>
              <w:t>[ ]</w:t>
            </w:r>
            <w:proofErr w:type="gramEnd"/>
            <w:r>
              <w:rPr>
                <w:b/>
                <w:bCs/>
              </w:rPr>
              <w:t>, 5.6.2 [ ], 5.7.1 [ ], o en virtud de:</w:t>
            </w:r>
            <w:r>
              <w:t xml:space="preserve"> </w:t>
            </w:r>
            <w:bookmarkStart w:id="5" w:name="tbt3e"/>
            <w:bookmarkEnd w:id="5"/>
          </w:p>
        </w:tc>
      </w:tr>
      <w:tr w:rsidR="00DA3EEE" w14:paraId="3A8829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1A9B" w14:textId="77777777" w:rsidR="00F85C99" w:rsidRPr="002F6A28" w:rsidRDefault="00BF49C5" w:rsidP="002F6A28">
            <w:pPr>
              <w:spacing w:before="120" w:after="12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B7870" w14:textId="44D408C4" w:rsidR="00F85C99" w:rsidRPr="002F6A28" w:rsidRDefault="00BF49C5" w:rsidP="002F6A28">
            <w:pPr>
              <w:spacing w:before="120" w:after="120"/>
            </w:pPr>
            <w:r>
              <w:rPr>
                <w:b/>
              </w:rPr>
              <w:t>Productos abarcados (partida del SA o de la NCCA cuando corresponda; en otro caso partida del arancel nacional.</w:t>
            </w:r>
            <w:bookmarkStart w:id="6" w:name="X_TBT_Reg_4A"/>
            <w:r>
              <w:rPr>
                <w:b/>
              </w:rPr>
              <w:t xml:space="preserve"> </w:t>
            </w:r>
            <w:bookmarkEnd w:id="6"/>
            <w:r>
              <w:rPr>
                <w:b/>
                <w:bCs/>
              </w:rPr>
              <w:t xml:space="preserve">Podrá </w:t>
            </w:r>
            <w:proofErr w:type="gramStart"/>
            <w:r>
              <w:rPr>
                <w:b/>
                <w:bCs/>
              </w:rPr>
              <w:t>indicarse</w:t>
            </w:r>
            <w:proofErr w:type="gramEnd"/>
            <w:r>
              <w:rPr>
                <w:b/>
                <w:bCs/>
              </w:rPr>
              <w:t xml:space="preserve"> además, cuando proceda, el número de partida de la ICS):</w:t>
            </w:r>
            <w:r>
              <w:t xml:space="preserve"> Azúcar y productos azucarados (ICS: 67.180.10).</w:t>
            </w:r>
            <w:bookmarkStart w:id="7" w:name="sps3a"/>
            <w:bookmarkEnd w:id="7"/>
          </w:p>
        </w:tc>
      </w:tr>
      <w:tr w:rsidR="00DA3EEE" w14:paraId="7CAC29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F3CB9" w14:textId="77777777" w:rsidR="00F85C99" w:rsidRPr="002F6A28" w:rsidRDefault="00BF49C5" w:rsidP="002F6A28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9353D" w14:textId="77777777" w:rsidR="00F85C99" w:rsidRPr="002F6A28" w:rsidRDefault="00BF49C5" w:rsidP="002F6A28">
            <w:pPr>
              <w:spacing w:before="120" w:after="120"/>
            </w:pPr>
            <w:r>
              <w:rPr>
                <w:b/>
                <w:bCs/>
              </w:rPr>
              <w:t>Título, número de páginas e idioma(s) del documento notificado:</w:t>
            </w:r>
            <w:r>
              <w:t xml:space="preserve"> Proyecto de Norma de África Oriental DEAS 348:2019, </w:t>
            </w:r>
            <w:r w:rsidRPr="008F03DC">
              <w:rPr>
                <w:i/>
                <w:iCs/>
              </w:rPr>
              <w:t>Glossary of terms used in confectionery trade</w:t>
            </w:r>
            <w:r>
              <w:t xml:space="preserve"> (Glosario de términos empleados en el comercio de productos de confitería). Documento en inglés (19 páginas).</w:t>
            </w:r>
            <w:bookmarkStart w:id="8" w:name="sps5a"/>
            <w:bookmarkStart w:id="9" w:name="sps5c"/>
            <w:bookmarkStart w:id="10" w:name="sps5b"/>
            <w:bookmarkEnd w:id="8"/>
            <w:bookmarkEnd w:id="9"/>
            <w:bookmarkEnd w:id="10"/>
          </w:p>
        </w:tc>
      </w:tr>
      <w:tr w:rsidR="00DA3EEE" w14:paraId="7BC137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53A4E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2B8B" w14:textId="27B94163" w:rsidR="00FE448B" w:rsidRPr="00C379C8" w:rsidRDefault="00BF49C5" w:rsidP="00254892">
            <w:pPr>
              <w:spacing w:before="120" w:after="120"/>
            </w:pPr>
            <w:r>
              <w:rPr>
                <w:b/>
                <w:bCs/>
              </w:rPr>
              <w:t>Descripción del contenido:</w:t>
            </w:r>
            <w:r>
              <w:t xml:space="preserve"> En el Proyecto de Norma de África Oriental notificado se definen </w:t>
            </w:r>
            <w:r w:rsidR="004C5E2E">
              <w:t xml:space="preserve">los </w:t>
            </w:r>
            <w:r>
              <w:t xml:space="preserve">diversos términos empleados habitualmente en los sectores relacionados con el comercio de productos de confitería.  </w:t>
            </w:r>
          </w:p>
        </w:tc>
      </w:tr>
      <w:tr w:rsidR="00DA3EEE" w14:paraId="37BAC1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AF453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E9F2" w14:textId="77777777" w:rsidR="00F85C99" w:rsidRPr="002F6A28" w:rsidRDefault="00BF49C5" w:rsidP="002F6A28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Objetivo y razón de ser, incluida, cuando proceda, la naturaleza de los problemas urgentes:</w:t>
            </w:r>
            <w:r>
              <w:t xml:space="preserve"> protección de la salud o seguridad humanas; requisitos de calidad.</w:t>
            </w:r>
            <w:bookmarkStart w:id="11" w:name="sps7f"/>
            <w:bookmarkEnd w:id="11"/>
          </w:p>
        </w:tc>
      </w:tr>
      <w:tr w:rsidR="00DA3EEE" w14:paraId="4BDFB4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E9936" w14:textId="77777777" w:rsidR="00F85C99" w:rsidRPr="002F6A28" w:rsidRDefault="00BF49C5" w:rsidP="009E75ED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55F24" w14:textId="484C2B0B" w:rsidR="00F85C99" w:rsidRPr="002F6A28" w:rsidRDefault="00BF49C5" w:rsidP="00254892">
            <w:pPr>
              <w:spacing w:before="120" w:after="120"/>
            </w:pPr>
            <w:r>
              <w:rPr>
                <w:b/>
                <w:bCs/>
              </w:rPr>
              <w:t>Documentos pertinentes:</w:t>
            </w:r>
            <w:r>
              <w:t xml:space="preserve"> No se indica ninguno.</w:t>
            </w:r>
          </w:p>
        </w:tc>
      </w:tr>
      <w:tr w:rsidR="00DA3EEE" w14:paraId="16ED380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11DB5" w14:textId="77777777" w:rsidR="00EE3A11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D9B66" w14:textId="77777777" w:rsidR="00EE3A11" w:rsidRPr="002F6A28" w:rsidRDefault="00BF49C5" w:rsidP="008953C4">
            <w:pPr>
              <w:spacing w:before="120" w:after="120"/>
            </w:pPr>
            <w:r>
              <w:rPr>
                <w:b/>
                <w:bCs/>
              </w:rPr>
              <w:t>Fecha propuesta de adopción:</w:t>
            </w:r>
            <w:r>
              <w:t xml:space="preserve"> </w:t>
            </w:r>
            <w:bookmarkStart w:id="12" w:name="sps10a"/>
            <w:bookmarkStart w:id="13" w:name="sps10b"/>
            <w:bookmarkEnd w:id="12"/>
            <w:r>
              <w:t>junio de 2020</w:t>
            </w:r>
            <w:bookmarkEnd w:id="13"/>
          </w:p>
          <w:p w14:paraId="1E2F4816" w14:textId="77777777" w:rsidR="00EE3A11" w:rsidRPr="002F6A28" w:rsidRDefault="00BF49C5" w:rsidP="008953C4">
            <w:pPr>
              <w:spacing w:after="120"/>
            </w:pPr>
            <w:r>
              <w:rPr>
                <w:b/>
                <w:bCs/>
              </w:rPr>
              <w:t>Fecha propuesta de entrada en vigor:</w:t>
            </w:r>
            <w:r>
              <w:t xml:space="preserve"> </w:t>
            </w:r>
            <w:bookmarkStart w:id="14" w:name="sps11a"/>
            <w:bookmarkStart w:id="15" w:name="sps11b"/>
            <w:bookmarkEnd w:id="14"/>
            <w:r>
              <w:t>fecha de adopción como norma obligatoria por el Secretario de Estado del Ministerio pertinente</w:t>
            </w:r>
            <w:bookmarkEnd w:id="15"/>
          </w:p>
        </w:tc>
      </w:tr>
      <w:tr w:rsidR="00DA3EEE" w14:paraId="106DFD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B3BB0" w14:textId="77777777" w:rsidR="00F85C99" w:rsidRPr="002F6A28" w:rsidRDefault="00BF49C5" w:rsidP="002F6A2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8BED" w14:textId="77777777" w:rsidR="00F85C99" w:rsidRPr="002F6A28" w:rsidRDefault="00BF49C5" w:rsidP="002F6A28">
            <w:pPr>
              <w:spacing w:before="120" w:after="120"/>
            </w:pPr>
            <w:r>
              <w:rPr>
                <w:b/>
                <w:bCs/>
              </w:rPr>
              <w:t>Fecha límite para la presentación de observaciones:</w:t>
            </w:r>
            <w:r>
              <w:t xml:space="preserve"> 15 de marzo de 2020</w:t>
            </w:r>
            <w:bookmarkStart w:id="16" w:name="sps12a"/>
            <w:bookmarkEnd w:id="16"/>
          </w:p>
        </w:tc>
      </w:tr>
      <w:tr w:rsidR="00DA3EEE" w14:paraId="3B68384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ACBC36" w14:textId="77777777" w:rsidR="00F85C99" w:rsidRPr="002F6A28" w:rsidRDefault="00BF49C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BD616D" w14:textId="77777777" w:rsidR="00F85C99" w:rsidRPr="002F6A28" w:rsidRDefault="00BF49C5" w:rsidP="00B16145">
            <w:pPr>
              <w:keepNext/>
              <w:keepLines/>
              <w:spacing w:before="120" w:after="120"/>
            </w:pPr>
            <w:r>
              <w:rPr>
                <w:b/>
              </w:rPr>
              <w:t>Textos disponibles en:</w:t>
            </w:r>
            <w:bookmarkStart w:id="17" w:name="X_TBT_Reg_11A"/>
            <w:r>
              <w:rPr>
                <w:b/>
              </w:rPr>
              <w:t xml:space="preserve"> </w:t>
            </w:r>
            <w:bookmarkEnd w:id="17"/>
            <w:r>
              <w:rPr>
                <w:b/>
                <w:bCs/>
              </w:rPr>
              <w:t>Servicio nacional de información [X], o dirección, números de teléfono y de fax y direcciones de correo electrónico y sitios web, en su caso, de otra institución:</w:t>
            </w:r>
            <w:r>
              <w:rPr>
                <w:b/>
              </w:rPr>
              <w:t xml:space="preserve"> </w:t>
            </w:r>
            <w:bookmarkStart w:id="18" w:name="sps13c"/>
          </w:p>
          <w:p w14:paraId="7B4F4519" w14:textId="2D1C0E6D" w:rsidR="00267D1C" w:rsidRPr="002F6A28" w:rsidRDefault="00BF49C5" w:rsidP="00B16145">
            <w:pPr>
              <w:keepNext/>
              <w:keepLines/>
              <w:spacing w:before="120" w:after="120"/>
              <w:jc w:val="left"/>
            </w:pPr>
            <w:r>
              <w:rPr>
                <w:i/>
                <w:iCs/>
              </w:rPr>
              <w:t>Kenya Bureau of Standards</w:t>
            </w:r>
            <w:r>
              <w:t xml:space="preserve"> (Oficina de Normas de Kenya)</w:t>
            </w:r>
            <w:r>
              <w:br/>
            </w:r>
            <w:r>
              <w:rPr>
                <w:i/>
                <w:iCs/>
              </w:rPr>
              <w:t>WTO/TBT National Enquiry Point</w:t>
            </w:r>
            <w:r>
              <w:t xml:space="preserve"> (Servicio nacional de información OMC/OTC)</w:t>
            </w:r>
            <w:r>
              <w:br/>
              <w:t>P.O. Box: 54974-00200, Nairobi, Kenya</w:t>
            </w:r>
            <w:r>
              <w:br/>
              <w:t>Teléfono: + (254) 020 605490, 605506/ 6948258</w:t>
            </w:r>
            <w:r>
              <w:br/>
              <w:t>Fax: + (254) 020 609660/ 609665</w:t>
            </w:r>
            <w:r>
              <w:br/>
              <w:t xml:space="preserve">Correo electrónico: </w:t>
            </w:r>
            <w:hyperlink r:id="rId9" w:history="1">
              <w:r>
                <w:rPr>
                  <w:color w:val="0000FF"/>
                  <w:u w:val="single"/>
                </w:rPr>
                <w:t>info@kebs.org</w:t>
              </w:r>
            </w:hyperlink>
            <w:r>
              <w:br/>
              <w:t xml:space="preserve">Sitio web: </w:t>
            </w:r>
            <w:hyperlink r:id="rId10" w:history="1">
              <w:r>
                <w:rPr>
                  <w:color w:val="0000FF"/>
                  <w:u w:val="single"/>
                </w:rPr>
                <w:t>http://www.kebs.org</w:t>
              </w:r>
            </w:hyperlink>
          </w:p>
          <w:p w14:paraId="2B1ABA42" w14:textId="77777777" w:rsidR="00267D1C" w:rsidRPr="002F6A28" w:rsidRDefault="008F03DC" w:rsidP="00B16145">
            <w:pPr>
              <w:keepNext/>
              <w:keepLines/>
              <w:spacing w:before="120" w:after="120"/>
            </w:pPr>
            <w:hyperlink r:id="rId11" w:history="1">
              <w:r w:rsidR="00546109">
                <w:rPr>
                  <w:color w:val="0000FF"/>
                  <w:u w:val="single"/>
                </w:rPr>
                <w:t>https://members.wto.org/crnattachments/2020/TBT/KEN/20_0683_00_e.pdf</w:t>
              </w:r>
            </w:hyperlink>
            <w:bookmarkEnd w:id="18"/>
          </w:p>
        </w:tc>
      </w:tr>
    </w:tbl>
    <w:p w14:paraId="28443F3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8E06" w14:textId="77777777" w:rsidR="0045474F" w:rsidRDefault="00BF49C5">
      <w:r>
        <w:separator/>
      </w:r>
    </w:p>
  </w:endnote>
  <w:endnote w:type="continuationSeparator" w:id="0">
    <w:p w14:paraId="5E849546" w14:textId="77777777" w:rsidR="0045474F" w:rsidRDefault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A168" w14:textId="77777777" w:rsidR="009239F7" w:rsidRPr="002F6A28" w:rsidRDefault="00BF49C5" w:rsidP="009239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3AFB" w14:textId="77777777" w:rsidR="009239F7" w:rsidRPr="002F6A28" w:rsidRDefault="00BF49C5" w:rsidP="009239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8B0E" w14:textId="77777777" w:rsidR="00EE3A11" w:rsidRPr="002F6A28" w:rsidRDefault="00BF49C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E861" w14:textId="77777777" w:rsidR="0045474F" w:rsidRDefault="00BF49C5">
      <w:r>
        <w:separator/>
      </w:r>
    </w:p>
  </w:footnote>
  <w:footnote w:type="continuationSeparator" w:id="0">
    <w:p w14:paraId="0E4C3BAA" w14:textId="77777777" w:rsidR="0045474F" w:rsidRDefault="00BF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8EE8" w14:textId="77777777" w:rsidR="009239F7" w:rsidRPr="002F6A28" w:rsidRDefault="00BF49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tbtSymbol</w:t>
    </w:r>
  </w:p>
  <w:p w14:paraId="32AF49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971699" w14:textId="77777777" w:rsidR="009239F7" w:rsidRPr="002F6A28" w:rsidRDefault="00BF49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044A97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BBB2" w14:textId="77777777" w:rsidR="009239F7" w:rsidRPr="002F6A28" w:rsidRDefault="00BF49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9" w:name="spsSymbolHeader"/>
    <w:r>
      <w:t>G/TBT/N/KEN/967</w:t>
    </w:r>
    <w:bookmarkEnd w:id="19"/>
  </w:p>
  <w:p w14:paraId="38276A6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2A3AAD" w14:textId="77777777" w:rsidR="009239F7" w:rsidRPr="002F6A28" w:rsidRDefault="00BF49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>
      <w:t xml:space="preserve"> -</w:t>
    </w:r>
  </w:p>
  <w:p w14:paraId="7E19D4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3EEE" w14:paraId="2B447A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24A879" w14:textId="77777777" w:rsidR="00ED54E0" w:rsidRPr="009239F7" w:rsidRDefault="00ED54E0" w:rsidP="00B801E9">
          <w:pPr>
            <w:rPr>
              <w:noProof/>
            </w:rPr>
          </w:pPr>
          <w:bookmarkStart w:id="20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60164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20"/>
    <w:tr w:rsidR="00DA3EEE" w14:paraId="4D86E8D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2F0EC7" w14:textId="1CA8C07E" w:rsidR="00ED54E0" w:rsidRPr="009239F7" w:rsidRDefault="00583F69" w:rsidP="00B801E9">
          <w:pPr>
            <w:jc w:val="left"/>
          </w:pPr>
          <w:r w:rsidRPr="00583F69">
            <w:rPr>
              <w:noProof/>
              <w:szCs w:val="18"/>
              <w:lang w:eastAsia="en-GB"/>
            </w:rPr>
            <w:drawing>
              <wp:inline distT="0" distB="0" distL="0" distR="0" wp14:anchorId="10ED63CA" wp14:editId="7E19F0D4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3363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56E4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A3EEE" w14:paraId="149219A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A065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5D7D05" w14:textId="77777777" w:rsidR="009239F7" w:rsidRPr="002F6A28" w:rsidRDefault="00BF49C5" w:rsidP="00B801E9">
          <w:pPr>
            <w:jc w:val="right"/>
            <w:rPr>
              <w:b/>
              <w:szCs w:val="16"/>
            </w:rPr>
          </w:pPr>
          <w:bookmarkStart w:id="21" w:name="bmkSymbols"/>
          <w:r>
            <w:rPr>
              <w:b/>
              <w:szCs w:val="16"/>
            </w:rPr>
            <w:t>G/TBT/N/KEN/967</w:t>
          </w:r>
          <w:bookmarkEnd w:id="21"/>
        </w:p>
      </w:tc>
    </w:tr>
    <w:tr w:rsidR="00DA3EEE" w14:paraId="5416B7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EF310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7A737" w14:textId="12AC1E27" w:rsidR="00ED54E0" w:rsidRPr="009239F7" w:rsidRDefault="00BF49C5" w:rsidP="00B801E9">
          <w:pPr>
            <w:jc w:val="right"/>
            <w:rPr>
              <w:szCs w:val="16"/>
            </w:rPr>
          </w:pPr>
          <w:bookmarkStart w:id="22" w:name="spsDateDistribution"/>
          <w:bookmarkStart w:id="23" w:name="bmkDate"/>
          <w:bookmarkEnd w:id="22"/>
          <w:bookmarkEnd w:id="23"/>
          <w:r>
            <w:t>30 de enero de 2020</w:t>
          </w:r>
        </w:p>
      </w:tc>
    </w:tr>
    <w:tr w:rsidR="00DA3EEE" w14:paraId="2B683A1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7C5824" w14:textId="2C4BE6B3" w:rsidR="00ED54E0" w:rsidRPr="009239F7" w:rsidRDefault="00BF49C5" w:rsidP="0097650D">
          <w:pPr>
            <w:jc w:val="left"/>
            <w:rPr>
              <w:b/>
            </w:rPr>
          </w:pPr>
          <w:bookmarkStart w:id="24" w:name="bmkSerial"/>
          <w:r>
            <w:rPr>
              <w:color w:val="FF0000"/>
              <w:szCs w:val="16"/>
            </w:rPr>
            <w:t>(</w:t>
          </w:r>
          <w:bookmarkStart w:id="25" w:name="spsSerialNumber"/>
          <w:bookmarkEnd w:id="25"/>
          <w:r>
            <w:rPr>
              <w:color w:val="FF0000"/>
              <w:szCs w:val="16"/>
            </w:rPr>
            <w:t>20-</w:t>
          </w:r>
          <w:r w:rsidR="008F03DC">
            <w:rPr>
              <w:color w:val="FF0000"/>
              <w:szCs w:val="16"/>
            </w:rPr>
            <w:t>0734</w:t>
          </w:r>
          <w:r>
            <w:rPr>
              <w:color w:val="FF0000"/>
              <w:szCs w:val="16"/>
            </w:rPr>
            <w:t>)</w:t>
          </w:r>
          <w:bookmarkEnd w:id="2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4E06D0" w14:textId="77777777" w:rsidR="00ED54E0" w:rsidRPr="009239F7" w:rsidRDefault="00BF49C5" w:rsidP="00B801E9">
          <w:pPr>
            <w:jc w:val="right"/>
            <w:rPr>
              <w:szCs w:val="16"/>
            </w:rPr>
          </w:pPr>
          <w:bookmarkStart w:id="26" w:name="bmkTotPages"/>
          <w:r>
            <w:t xml:space="preserve">Página: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26"/>
        </w:p>
      </w:tc>
    </w:tr>
    <w:tr w:rsidR="00DA3EEE" w14:paraId="6ECB96A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89C94" w14:textId="77777777" w:rsidR="00ED54E0" w:rsidRPr="009239F7" w:rsidRDefault="00BF49C5" w:rsidP="00B801E9">
          <w:pPr>
            <w:jc w:val="left"/>
            <w:rPr>
              <w:sz w:val="14"/>
              <w:szCs w:val="16"/>
            </w:rPr>
          </w:pPr>
          <w:bookmarkStart w:id="27" w:name="bmkCommittee"/>
          <w:r>
            <w:rPr>
              <w:b/>
            </w:rPr>
            <w:t>Comité de Obstáculos Técnicos al Comercio</w:t>
          </w:r>
          <w:bookmarkEnd w:id="2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EBC404" w14:textId="77777777" w:rsidR="00ED54E0" w:rsidRPr="002F6A28" w:rsidRDefault="00BF49C5" w:rsidP="00B801E9">
          <w:pPr>
            <w:jc w:val="right"/>
            <w:rPr>
              <w:bCs/>
              <w:szCs w:val="18"/>
            </w:rPr>
          </w:pPr>
          <w:bookmarkStart w:id="28" w:name="bmkLanguage"/>
          <w:r>
            <w:t xml:space="preserve">Original: </w:t>
          </w:r>
          <w:bookmarkStart w:id="29" w:name="spsOriginalLanguage"/>
          <w:r>
            <w:t>inglés</w:t>
          </w:r>
          <w:bookmarkEnd w:id="29"/>
          <w:bookmarkEnd w:id="28"/>
        </w:p>
      </w:tc>
    </w:tr>
  </w:tbl>
  <w:p w14:paraId="135F96A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3263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269504" w:tentative="1">
      <w:start w:val="1"/>
      <w:numFmt w:val="lowerLetter"/>
      <w:lvlText w:val="%2."/>
      <w:lvlJc w:val="left"/>
      <w:pPr>
        <w:ind w:left="1080" w:hanging="360"/>
      </w:pPr>
    </w:lvl>
    <w:lvl w:ilvl="2" w:tplc="1F98635E" w:tentative="1">
      <w:start w:val="1"/>
      <w:numFmt w:val="lowerRoman"/>
      <w:lvlText w:val="%3."/>
      <w:lvlJc w:val="right"/>
      <w:pPr>
        <w:ind w:left="1800" w:hanging="180"/>
      </w:pPr>
    </w:lvl>
    <w:lvl w:ilvl="3" w:tplc="8E8E4202" w:tentative="1">
      <w:start w:val="1"/>
      <w:numFmt w:val="decimal"/>
      <w:lvlText w:val="%4."/>
      <w:lvlJc w:val="left"/>
      <w:pPr>
        <w:ind w:left="2520" w:hanging="360"/>
      </w:pPr>
    </w:lvl>
    <w:lvl w:ilvl="4" w:tplc="BC440040" w:tentative="1">
      <w:start w:val="1"/>
      <w:numFmt w:val="lowerLetter"/>
      <w:lvlText w:val="%5."/>
      <w:lvlJc w:val="left"/>
      <w:pPr>
        <w:ind w:left="3240" w:hanging="360"/>
      </w:pPr>
    </w:lvl>
    <w:lvl w:ilvl="5" w:tplc="00449AA8" w:tentative="1">
      <w:start w:val="1"/>
      <w:numFmt w:val="lowerRoman"/>
      <w:lvlText w:val="%6."/>
      <w:lvlJc w:val="right"/>
      <w:pPr>
        <w:ind w:left="3960" w:hanging="180"/>
      </w:pPr>
    </w:lvl>
    <w:lvl w:ilvl="6" w:tplc="8F6ED8F8" w:tentative="1">
      <w:start w:val="1"/>
      <w:numFmt w:val="decimal"/>
      <w:lvlText w:val="%7."/>
      <w:lvlJc w:val="left"/>
      <w:pPr>
        <w:ind w:left="4680" w:hanging="360"/>
      </w:pPr>
    </w:lvl>
    <w:lvl w:ilvl="7" w:tplc="22BA868E" w:tentative="1">
      <w:start w:val="1"/>
      <w:numFmt w:val="lowerLetter"/>
      <w:lvlText w:val="%8."/>
      <w:lvlJc w:val="left"/>
      <w:pPr>
        <w:ind w:left="5400" w:hanging="360"/>
      </w:pPr>
    </w:lvl>
    <w:lvl w:ilvl="8" w:tplc="804EA1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75A6"/>
    <w:rsid w:val="001E291F"/>
    <w:rsid w:val="00204CC3"/>
    <w:rsid w:val="00233408"/>
    <w:rsid w:val="00254892"/>
    <w:rsid w:val="00267723"/>
    <w:rsid w:val="00267D1C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474F"/>
    <w:rsid w:val="00467032"/>
    <w:rsid w:val="0046754A"/>
    <w:rsid w:val="0048173D"/>
    <w:rsid w:val="004A23F8"/>
    <w:rsid w:val="004C27A4"/>
    <w:rsid w:val="004C5E2E"/>
    <w:rsid w:val="004E51B2"/>
    <w:rsid w:val="004F203A"/>
    <w:rsid w:val="005104AF"/>
    <w:rsid w:val="005336B8"/>
    <w:rsid w:val="00533DC1"/>
    <w:rsid w:val="0054317D"/>
    <w:rsid w:val="00545ACF"/>
    <w:rsid w:val="00546109"/>
    <w:rsid w:val="00547B5F"/>
    <w:rsid w:val="00564605"/>
    <w:rsid w:val="00580F04"/>
    <w:rsid w:val="00581CC5"/>
    <w:rsid w:val="0058336F"/>
    <w:rsid w:val="00583F69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03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9C5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A3EE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E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2F6A2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2F6A2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2F6A28"/>
    <w:rPr>
      <w:lang w:val="es-ES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2F6A28"/>
    <w:rPr>
      <w:lang w:val="es-ES"/>
    </w:rPr>
  </w:style>
  <w:style w:type="character" w:styleId="PlaceholderText">
    <w:name w:val="Placeholder Text"/>
    <w:uiPriority w:val="99"/>
    <w:semiHidden/>
    <w:rsid w:val="002F6A2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2F6A28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68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2227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2020-02-06T12:29:00Z</cp:lastPrinted>
  <dcterms:created xsi:type="dcterms:W3CDTF">2020-02-06T12:36:00Z</dcterms:created>
  <dcterms:modified xsi:type="dcterms:W3CDTF">2020-02-06T13:59:00Z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ca30ae71-dbc0-4de7-985e-6bda853209be</vt:lpwstr>
  </property>
  <property fmtid="{D5CDD505-2E9C-101B-9397-08002B2CF9AE}" pid="4" name="WTOCLASSIFICATION">
    <vt:lpwstr>WTO OFFICIAL</vt:lpwstr>
  </property>
</Properties>
</file>