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F1984" w14:textId="77777777" w:rsidR="00B531D9" w:rsidRPr="003A3E55" w:rsidRDefault="000E2E07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  <w:bookmarkStart w:id="0" w:name="_GoBack"/>
      <w:bookmarkEnd w:id="0"/>
    </w:p>
    <w:p w14:paraId="1B42875D" w14:textId="77777777" w:rsidR="00B531D9" w:rsidRPr="003A3E55" w:rsidRDefault="000E2E07" w:rsidP="003A3E55">
      <w:pPr>
        <w:jc w:val="center"/>
      </w:pPr>
      <w:r w:rsidRPr="003A3E55">
        <w:t>Se da traslado de la notificación siguiente de conformidad con el artículo 10.6.</w:t>
      </w:r>
    </w:p>
    <w:p w14:paraId="624FCD48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8A17F7" w14:paraId="50FF0169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2A83337A" w14:textId="77777777" w:rsidR="00A52F73" w:rsidRPr="003A3E55" w:rsidRDefault="000E2E0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065A8D84" w14:textId="77777777" w:rsidR="00A52F73" w:rsidRPr="003A3E55" w:rsidRDefault="000E2E07" w:rsidP="00946686">
            <w:pPr>
              <w:spacing w:before="120" w:after="120"/>
            </w:pPr>
            <w:bookmarkStart w:id="1" w:name="X_TBT_Reg_1A"/>
            <w:r w:rsidRPr="003A3E55">
              <w:rPr>
                <w:b/>
              </w:rPr>
              <w:t>Miembro que notifica</w:t>
            </w:r>
            <w:bookmarkEnd w:id="1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2" w:name="sps1a"/>
            <w:r w:rsidR="003A3E55" w:rsidRPr="00E764A5">
              <w:rPr>
                <w:bCs/>
                <w:caps/>
                <w:u w:val="single"/>
              </w:rPr>
              <w:t>Nicaragua</w:t>
            </w:r>
            <w:bookmarkEnd w:id="2"/>
          </w:p>
          <w:p w14:paraId="5AF3AB49" w14:textId="77777777" w:rsidR="00A52F73" w:rsidRPr="003A3E55" w:rsidRDefault="000E2E07" w:rsidP="003A3E55">
            <w:pPr>
              <w:spacing w:after="120"/>
            </w:pPr>
            <w:bookmarkStart w:id="3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3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4" w:name="sps1b"/>
            <w:bookmarkEnd w:id="4"/>
          </w:p>
        </w:tc>
      </w:tr>
      <w:tr w:rsidR="008A17F7" w14:paraId="142383D0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E5F694" w14:textId="77777777" w:rsidR="00A52F73" w:rsidRPr="003A3E55" w:rsidRDefault="000E2E0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17903" w14:textId="77777777" w:rsidR="00A52F73" w:rsidRPr="003A3E55" w:rsidRDefault="000E2E07" w:rsidP="00873EB4">
            <w:pPr>
              <w:spacing w:before="120" w:after="120"/>
              <w:jc w:val="left"/>
              <w:rPr>
                <w:bCs/>
              </w:rPr>
            </w:pPr>
            <w:bookmarkStart w:id="5" w:name="X_TBT_Reg_2A"/>
            <w:r w:rsidRPr="003A3E55">
              <w:rPr>
                <w:b/>
              </w:rPr>
              <w:t>Organismo responsable</w:t>
            </w:r>
            <w:bookmarkEnd w:id="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6" w:name="sps2a"/>
          </w:p>
          <w:p w14:paraId="5AFC3B7C" w14:textId="77777777" w:rsidR="009C762F" w:rsidRPr="003A3E55" w:rsidRDefault="000E2E07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Ministerio de Salud</w:t>
            </w:r>
            <w:r w:rsidRPr="003A3E55">
              <w:rPr>
                <w:bCs/>
              </w:rPr>
              <w:br/>
              <w:t>Dirección General de Regulación Sanitaria (DGRS)</w:t>
            </w:r>
            <w:r w:rsidRPr="003A3E55">
              <w:rPr>
                <w:bCs/>
              </w:rPr>
              <w:br/>
            </w:r>
            <w:proofErr w:type="spellStart"/>
            <w:r w:rsidRPr="003A3E55">
              <w:rPr>
                <w:bCs/>
              </w:rPr>
              <w:t>Direccion</w:t>
            </w:r>
            <w:proofErr w:type="spellEnd"/>
            <w:r w:rsidRPr="003A3E55">
              <w:rPr>
                <w:bCs/>
              </w:rPr>
              <w:t xml:space="preserve"> de Farmacia </w:t>
            </w:r>
            <w:r w:rsidRPr="003A3E55">
              <w:rPr>
                <w:bCs/>
              </w:rPr>
              <w:br/>
              <w:t xml:space="preserve">Conchita Palacios, Costado Oeste Colonia Primero de Mayo. </w:t>
            </w:r>
            <w:r w:rsidRPr="003A3E55">
              <w:rPr>
                <w:bCs/>
              </w:rPr>
              <w:br/>
              <w:t xml:space="preserve">Teléfono: 2289-4700 Ext.1005, 2289-4401 </w:t>
            </w:r>
            <w:r w:rsidRPr="003A3E55">
              <w:rPr>
                <w:bCs/>
              </w:rPr>
              <w:br/>
              <w:t>Correo</w:t>
            </w:r>
            <w:r w:rsidR="009115DA" w:rsidRPr="003A3E55">
              <w:t>s electrónicos</w:t>
            </w:r>
            <w:r w:rsidRPr="003A3E55">
              <w:rPr>
                <w:bCs/>
              </w:rPr>
              <w:t xml:space="preserve">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dgrs@minsa.gob.ni</w:t>
              </w:r>
            </w:hyperlink>
            <w:r w:rsidRPr="003A3E55">
              <w:rPr>
                <w:bCs/>
              </w:rPr>
              <w:t xml:space="preserve">; </w:t>
            </w:r>
            <w:hyperlink r:id="rId8" w:history="1">
              <w:r w:rsidRPr="003A3E55">
                <w:rPr>
                  <w:bCs/>
                  <w:color w:val="0000FF"/>
                  <w:u w:val="single"/>
                </w:rPr>
                <w:t>farmaciadir@minsa.gob.ni</w:t>
              </w:r>
            </w:hyperlink>
            <w:bookmarkEnd w:id="6"/>
          </w:p>
          <w:p w14:paraId="1982E442" w14:textId="77777777" w:rsidR="00A52F73" w:rsidRPr="003A3E55" w:rsidRDefault="000E2E07" w:rsidP="008849EF">
            <w:pPr>
              <w:spacing w:after="120"/>
            </w:pPr>
            <w:bookmarkStart w:id="7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7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8" w:name="sps4a"/>
          </w:p>
          <w:p w14:paraId="4D7B7425" w14:textId="77777777" w:rsidR="009C762F" w:rsidRPr="003A3E55" w:rsidRDefault="000E2E07" w:rsidP="008849EF">
            <w:pPr>
              <w:spacing w:after="120"/>
              <w:jc w:val="left"/>
            </w:pPr>
            <w:r w:rsidRPr="003A3E55">
              <w:t xml:space="preserve">Ministerio de Fomento, Industria y Comercio </w:t>
            </w:r>
            <w:r w:rsidRPr="003A3E55">
              <w:br/>
              <w:t xml:space="preserve">Km 6 Carretera a Masaya </w:t>
            </w:r>
            <w:r w:rsidRPr="003A3E55">
              <w:br/>
              <w:t xml:space="preserve">Managua, Nicaragua </w:t>
            </w:r>
            <w:r w:rsidRPr="003A3E55">
              <w:br/>
              <w:t xml:space="preserve">Tel: +(505) 2248 9300 ext. 1314 </w:t>
            </w:r>
            <w:proofErr w:type="spellStart"/>
            <w:r w:rsidRPr="003A3E55">
              <w:t>ó</w:t>
            </w:r>
            <w:proofErr w:type="spellEnd"/>
            <w:r w:rsidRPr="003A3E55">
              <w:t xml:space="preserve"> 1310 </w:t>
            </w:r>
            <w:r w:rsidRPr="003A3E55">
              <w:br/>
              <w:t xml:space="preserve">Correos electrónicos: </w:t>
            </w:r>
            <w:hyperlink r:id="rId9" w:history="1">
              <w:r w:rsidRPr="003A3E55">
                <w:rPr>
                  <w:color w:val="0000FF"/>
                  <w:u w:val="single"/>
                </w:rPr>
                <w:t>notificacion@mific.gob.ni</w:t>
              </w:r>
            </w:hyperlink>
            <w:r w:rsidRPr="003A3E55">
              <w:t xml:space="preserve">; </w:t>
            </w:r>
            <w:hyperlink r:id="rId10" w:history="1">
              <w:r w:rsidRPr="003A3E55">
                <w:rPr>
                  <w:color w:val="0000FF"/>
                  <w:u w:val="single"/>
                </w:rPr>
                <w:t>normalizacion@mific.gob.ni</w:t>
              </w:r>
            </w:hyperlink>
            <w:r w:rsidRPr="003A3E55">
              <w:t xml:space="preserve">; </w:t>
            </w:r>
            <w:hyperlink r:id="rId11" w:history="1">
              <w:r w:rsidRPr="003A3E55">
                <w:rPr>
                  <w:color w:val="0000FF"/>
                  <w:u w:val="single"/>
                </w:rPr>
                <w:t>imartinez@mific.gob.ni</w:t>
              </w:r>
            </w:hyperlink>
            <w:bookmarkEnd w:id="8"/>
          </w:p>
        </w:tc>
      </w:tr>
      <w:tr w:rsidR="008A17F7" w14:paraId="13B44B35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48A45" w14:textId="77777777" w:rsidR="00A52F73" w:rsidRPr="003A3E55" w:rsidRDefault="000E2E0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94C63" w14:textId="77777777" w:rsidR="00A52F73" w:rsidRPr="003A3E55" w:rsidRDefault="000E2E07" w:rsidP="003A3E55">
            <w:pPr>
              <w:spacing w:before="120" w:after="120"/>
            </w:pPr>
            <w:bookmarkStart w:id="9" w:name="X_TBT_Reg_3A"/>
            <w:r w:rsidRPr="003A3E55">
              <w:rPr>
                <w:b/>
              </w:rPr>
              <w:t>Notificación hecha en virtud del artículo 2.9.2</w:t>
            </w:r>
            <w:bookmarkEnd w:id="9"/>
            <w:r w:rsidRPr="003A3E55">
              <w:rPr>
                <w:b/>
              </w:rPr>
              <w:t xml:space="preserve"> [</w:t>
            </w:r>
            <w:bookmarkStart w:id="10" w:name="tbt3a"/>
            <w:r w:rsidRPr="003A3E55">
              <w:rPr>
                <w:b/>
              </w:rPr>
              <w:t>X</w:t>
            </w:r>
            <w:bookmarkEnd w:id="10"/>
            <w:r w:rsidRPr="003A3E55">
              <w:rPr>
                <w:b/>
              </w:rPr>
              <w:t xml:space="preserve">], </w:t>
            </w:r>
            <w:bookmarkStart w:id="11" w:name="X_TBT_Reg_3B"/>
            <w:r w:rsidRPr="003A3E55">
              <w:rPr>
                <w:b/>
              </w:rPr>
              <w:t>2.10.1</w:t>
            </w:r>
            <w:bookmarkEnd w:id="11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bookmarkStart w:id="12" w:name="tbt3b"/>
            <w:r w:rsidRPr="003A3E55">
              <w:rPr>
                <w:b/>
              </w:rPr>
              <w:t>  </w:t>
            </w:r>
            <w:bookmarkEnd w:id="12"/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3" w:name="X_TBT_Reg_3C"/>
            <w:r w:rsidRPr="003A3E55">
              <w:rPr>
                <w:b/>
              </w:rPr>
              <w:t>5.6.2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c"/>
            <w:r w:rsidRPr="003A3E55">
              <w:rPr>
                <w:b/>
              </w:rPr>
              <w:t>  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D"/>
            <w:r w:rsidRPr="003A3E55">
              <w:rPr>
                <w:b/>
              </w:rPr>
              <w:t>5.7.1</w:t>
            </w:r>
            <w:bookmarkEnd w:id="15"/>
            <w:r w:rsidRPr="003A3E55">
              <w:rPr>
                <w:b/>
              </w:rPr>
              <w:t xml:space="preserve"> [</w:t>
            </w:r>
            <w:bookmarkStart w:id="16" w:name="tbt3d"/>
            <w:r w:rsidRPr="003A3E55">
              <w:rPr>
                <w:b/>
              </w:rPr>
              <w:t>  </w:t>
            </w:r>
            <w:bookmarkEnd w:id="16"/>
            <w:r w:rsidRPr="003A3E55">
              <w:rPr>
                <w:b/>
              </w:rPr>
              <w:t xml:space="preserve">], </w:t>
            </w:r>
            <w:bookmarkStart w:id="17" w:name="X_TBT_Reg_3E"/>
            <w:r w:rsidRPr="003A3E55">
              <w:rPr>
                <w:b/>
              </w:rPr>
              <w:t>o en virtud de</w:t>
            </w:r>
            <w:bookmarkStart w:id="18" w:name="tbt3f"/>
            <w:bookmarkEnd w:id="17"/>
            <w:bookmarkEnd w:id="18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9" w:name="tbt3e"/>
            <w:bookmarkEnd w:id="19"/>
          </w:p>
        </w:tc>
      </w:tr>
      <w:tr w:rsidR="008A17F7" w14:paraId="1C53250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5F08C" w14:textId="77777777" w:rsidR="00A52F73" w:rsidRPr="003A3E55" w:rsidRDefault="000E2E0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9D87F" w14:textId="77777777" w:rsidR="00A52F73" w:rsidRPr="003A3E55" w:rsidRDefault="000E2E07" w:rsidP="003A3E55">
            <w:pPr>
              <w:spacing w:before="120" w:after="120"/>
            </w:pPr>
            <w:bookmarkStart w:id="20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ICS 11.120.01</w:t>
            </w:r>
            <w:bookmarkStart w:id="21" w:name="sps3a"/>
            <w:bookmarkEnd w:id="21"/>
          </w:p>
        </w:tc>
      </w:tr>
      <w:tr w:rsidR="008A17F7" w14:paraId="4765CE2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F58ED" w14:textId="77777777" w:rsidR="00A52F73" w:rsidRPr="003A3E55" w:rsidRDefault="000E2E0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35378" w14:textId="77777777" w:rsidR="00A52F73" w:rsidRPr="003A3E55" w:rsidRDefault="000E2E07" w:rsidP="003A3E55">
            <w:pPr>
              <w:spacing w:before="120" w:after="120"/>
            </w:pPr>
            <w:bookmarkStart w:id="22" w:name="X_TBT_Reg_5A"/>
            <w:r w:rsidRPr="003A3E55">
              <w:rPr>
                <w:b/>
              </w:rPr>
              <w:t>Título, número de páginas e idioma(s) del documento notificado</w:t>
            </w:r>
            <w:bookmarkEnd w:id="22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hyperlink r:id="rId12" w:history="1">
              <w:r w:rsidR="00AF251E" w:rsidRPr="00133B35">
                <w:rPr>
                  <w:rStyle w:val="Hyperlink"/>
                </w:rPr>
                <w:t>NTON 19 013</w:t>
              </w:r>
              <w:r w:rsidR="00272E37" w:rsidRPr="00133B35">
                <w:rPr>
                  <w:rStyle w:val="Hyperlink"/>
                </w:rPr>
                <w:t> </w:t>
              </w:r>
              <w:r w:rsidR="00272E37" w:rsidRPr="00133B35">
                <w:rPr>
                  <w:rStyle w:val="Hyperlink"/>
                </w:rPr>
                <w:noBreakHyphen/>
                <w:t> </w:t>
              </w:r>
              <w:r w:rsidR="00AF251E" w:rsidRPr="00133B35">
                <w:rPr>
                  <w:rStyle w:val="Hyperlink"/>
                </w:rPr>
                <w:t>20 Medicamentos De Uso Humano. Productos de Origen Biológico y Biosimilares. Requisitos de Registro</w:t>
              </w:r>
            </w:hyperlink>
            <w:r w:rsidR="00AF251E" w:rsidRPr="003A3E55">
              <w:t xml:space="preserve"> (60 página(s), en </w:t>
            </w:r>
            <w:proofErr w:type="gramStart"/>
            <w:r w:rsidR="00AF251E" w:rsidRPr="003A3E55">
              <w:t>Español</w:t>
            </w:r>
            <w:proofErr w:type="gramEnd"/>
            <w:r w:rsidR="00AF251E" w:rsidRPr="003A3E55">
              <w:t>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8A17F7" w14:paraId="2040246F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18FEC" w14:textId="77777777" w:rsidR="00A52F73" w:rsidRPr="003A3E55" w:rsidRDefault="000E2E0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B1298" w14:textId="77777777" w:rsidR="00A52F73" w:rsidRPr="003A3E55" w:rsidRDefault="000E2E07" w:rsidP="003A3E55">
            <w:pPr>
              <w:spacing w:before="120" w:after="120"/>
            </w:pPr>
            <w:bookmarkStart w:id="26" w:name="X_TBT_Reg_6A"/>
            <w:r w:rsidRPr="003A3E55">
              <w:rPr>
                <w:b/>
              </w:rPr>
              <w:t>Descripción del contenido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El objeto de este reglamento es establecer los requisitos para el Registro, Renovación y Modificaciones al registro sanitario de Productos Biológicos y Biosimilares de uso Humano, así como la liberación de lotes de Productos Biológicos según evaluación de riesgo.</w:t>
            </w:r>
          </w:p>
          <w:p w14:paraId="35A54476" w14:textId="77777777" w:rsidR="00AF251E" w:rsidRPr="003A3E55" w:rsidRDefault="000E2E07" w:rsidP="003A3E55">
            <w:pPr>
              <w:spacing w:after="120"/>
            </w:pPr>
            <w:r w:rsidRPr="003A3E55">
              <w:t>Aplica a las personas naturales o jurídicas, dedicadas a la fabricación, importación, distribución y comercialización de Productos Biológicos y Biosimilares de uso Humano</w:t>
            </w:r>
          </w:p>
        </w:tc>
      </w:tr>
      <w:tr w:rsidR="008A17F7" w14:paraId="7F75516F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26754" w14:textId="77777777" w:rsidR="00A52F73" w:rsidRPr="003A3E55" w:rsidRDefault="000E2E0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2D369" w14:textId="77777777" w:rsidR="00A52F73" w:rsidRPr="003A3E55" w:rsidRDefault="000E2E07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Protección de la salud y la vida humana</w:t>
            </w:r>
            <w:bookmarkStart w:id="28" w:name="sps7f"/>
            <w:bookmarkEnd w:id="28"/>
          </w:p>
        </w:tc>
      </w:tr>
      <w:tr w:rsidR="008A17F7" w14:paraId="257E76B4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21DE9" w14:textId="77777777" w:rsidR="00A52F73" w:rsidRPr="003A3E55" w:rsidRDefault="000E2E07" w:rsidP="002F7927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266F5" w14:textId="77777777" w:rsidR="00924FA9" w:rsidRPr="003A3E55" w:rsidRDefault="000E2E07" w:rsidP="002F7927">
            <w:pPr>
              <w:keepNext/>
              <w:keepLines/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0334B3C1" w14:textId="77777777" w:rsidR="009C762F" w:rsidRPr="003A3E55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</w:pPr>
            <w:r w:rsidRPr="003A3E55">
              <w:t>Resolución Ministerial 212-2016, MINSA Procedimiento para la verificación de la calidad de medicamentos de uso humano en la etapa de post comercialización</w:t>
            </w:r>
          </w:p>
          <w:p w14:paraId="17E09236" w14:textId="77777777" w:rsidR="009C762F" w:rsidRPr="003A3E55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</w:pPr>
            <w:r w:rsidRPr="003A3E55">
              <w:t>Resolución Ministerial 213-2016 MINSA Adenda al Procedimiento para la verificación de la calidad de medicamentos de uso humano en la etapa de post comercialización</w:t>
            </w:r>
          </w:p>
          <w:p w14:paraId="1D55E3B5" w14:textId="77777777" w:rsidR="009C762F" w:rsidRPr="003A3E55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</w:pPr>
            <w:r w:rsidRPr="003A3E55">
              <w:t>Resolución No. 188-2006 (COMIECO XL) que aprueba el Reglamento Técnico Centroamericano. Productos Farmacéuticos. Validación de métodos analíticos para la evaluación de la calidad de los medicamentos (NTON 19 003 – 06/RTCA</w:t>
            </w:r>
            <w:r w:rsidR="009115DA">
              <w:t> </w:t>
            </w:r>
            <w:r w:rsidRPr="003A3E55">
              <w:t>11.03.39:06)</w:t>
            </w:r>
          </w:p>
          <w:p w14:paraId="030D692E" w14:textId="77777777" w:rsidR="009C762F" w:rsidRPr="003A3E55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</w:pPr>
            <w:r w:rsidRPr="003A3E55">
              <w:t>Resolución No. 214-2007 (COMIECO XLVII) que aprueba el Reglamento Técnico Centroamericano. Verificación de la Calidad de los Medicamentos para Uso Humano (NTON 19 006 – 06/RTCA 11.03.47:07)</w:t>
            </w:r>
          </w:p>
          <w:p w14:paraId="3488B5B2" w14:textId="77777777" w:rsidR="009C762F" w:rsidRPr="003A3E55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</w:pPr>
            <w:r w:rsidRPr="003A3E55">
              <w:t>Resolución No. 148-2005 (COMIECO XXXIII) que aprueba el Reglamento Técnico Centroamericano. Primera actualización Productos Farmacéuticos. Estudios de Estabilidad de Medicamentos para uso humano (NTON 19 002 – 10/ RTCA</w:t>
            </w:r>
            <w:r w:rsidR="009115DA">
              <w:t> </w:t>
            </w:r>
            <w:r w:rsidRPr="003A3E55">
              <w:t>11.01.04:10)</w:t>
            </w:r>
          </w:p>
          <w:p w14:paraId="7BAF390A" w14:textId="77777777" w:rsidR="009C762F" w:rsidRPr="003A3E55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</w:pPr>
            <w:r w:rsidRPr="003A3E55">
              <w:t>Resolución No. 340-2014 (COMIECO LXVII) que aprueba el Reglamento Técnico Centroamericano. Etiquetado de Productos Farmacéuticos para Uso Humano. (NTON 19 001 – 05/RTCA 11.01.02:04)</w:t>
            </w:r>
          </w:p>
          <w:p w14:paraId="0C2C4180" w14:textId="77777777" w:rsidR="009C762F" w:rsidRPr="003A3E55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</w:pPr>
            <w:r w:rsidRPr="003A3E55">
              <w:t xml:space="preserve">Guía de Estudios de Estabilidad de la Conferencia Internacional de Armonización (ICH por sus siglas en inglés) Guía Q5C. </w:t>
            </w:r>
            <w:proofErr w:type="spellStart"/>
            <w:r w:rsidRPr="003A3E55">
              <w:t>Quality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of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Biotechnological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Products</w:t>
            </w:r>
            <w:proofErr w:type="spellEnd"/>
            <w:r w:rsidRPr="003A3E55">
              <w:t xml:space="preserve">: </w:t>
            </w:r>
            <w:proofErr w:type="spellStart"/>
            <w:r w:rsidRPr="003A3E55">
              <w:t>Stability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Testing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of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Biotechnological</w:t>
            </w:r>
            <w:proofErr w:type="spellEnd"/>
            <w:r w:rsidRPr="003A3E55">
              <w:t>/</w:t>
            </w:r>
            <w:proofErr w:type="spellStart"/>
            <w:r w:rsidRPr="003A3E55">
              <w:t>Biological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Products</w:t>
            </w:r>
            <w:proofErr w:type="spellEnd"/>
          </w:p>
          <w:p w14:paraId="18D99190" w14:textId="77777777" w:rsidR="009C762F" w:rsidRPr="00272E37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proofErr w:type="spellStart"/>
            <w:r w:rsidRPr="00272E37">
              <w:rPr>
                <w:lang w:val="en-GB"/>
              </w:rPr>
              <w:t>Guía</w:t>
            </w:r>
            <w:proofErr w:type="spellEnd"/>
            <w:r w:rsidRPr="00272E37">
              <w:rPr>
                <w:lang w:val="en-GB"/>
              </w:rPr>
              <w:t xml:space="preserve"> ICH S6 Biotechnological Products. Preclinical Safety Evaluation of Biotechnological-Derived Pharmaceuticals</w:t>
            </w:r>
          </w:p>
          <w:p w14:paraId="6DB1EE6B" w14:textId="77777777" w:rsidR="009C762F" w:rsidRPr="003A3E55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</w:pPr>
            <w:r w:rsidRPr="00272E37">
              <w:rPr>
                <w:lang w:val="en-GB"/>
              </w:rPr>
              <w:t xml:space="preserve">WHO Requirements for the collection, processing and quality control of blood, blood components and plasma derivatives. </w:t>
            </w:r>
            <w:r w:rsidRPr="003A3E55">
              <w:t xml:space="preserve">WHO </w:t>
            </w:r>
            <w:proofErr w:type="spellStart"/>
            <w:r w:rsidRPr="003A3E55">
              <w:t>Technical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Report</w:t>
            </w:r>
            <w:proofErr w:type="spellEnd"/>
            <w:r w:rsidRPr="003A3E55">
              <w:t xml:space="preserve"> Series No. 840, </w:t>
            </w:r>
            <w:proofErr w:type="spellStart"/>
            <w:r w:rsidRPr="003A3E55">
              <w:t>Annex</w:t>
            </w:r>
            <w:proofErr w:type="spellEnd"/>
            <w:r w:rsidRPr="003A3E55">
              <w:t xml:space="preserve"> 2 (</w:t>
            </w:r>
            <w:proofErr w:type="spellStart"/>
            <w:r w:rsidRPr="003A3E55">
              <w:t>Adopted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by</w:t>
            </w:r>
            <w:proofErr w:type="spellEnd"/>
            <w:r w:rsidRPr="003A3E55">
              <w:t xml:space="preserve"> ECBS 1992). Series de Reportes Técnico No. 840 1994. Anexo 2</w:t>
            </w:r>
          </w:p>
          <w:p w14:paraId="5E14660C" w14:textId="77777777" w:rsidR="009C762F" w:rsidRPr="003A3E55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</w:pPr>
            <w:r w:rsidRPr="003A3E55">
              <w:t xml:space="preserve">Guía de Estudios de Estabilidad de la Conferencia Internacional de Armonización (ICH por sus siglas en inglés) Guía Q5C. </w:t>
            </w:r>
            <w:proofErr w:type="spellStart"/>
            <w:r w:rsidRPr="003A3E55">
              <w:t>Quality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of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Biotechnological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Products</w:t>
            </w:r>
            <w:proofErr w:type="spellEnd"/>
            <w:r w:rsidRPr="003A3E55">
              <w:t xml:space="preserve">: </w:t>
            </w:r>
            <w:proofErr w:type="spellStart"/>
            <w:r w:rsidRPr="003A3E55">
              <w:t>Stability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Testing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of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Biotechnological</w:t>
            </w:r>
            <w:proofErr w:type="spellEnd"/>
            <w:r w:rsidRPr="003A3E55">
              <w:t>/</w:t>
            </w:r>
            <w:proofErr w:type="spellStart"/>
            <w:r w:rsidRPr="003A3E55">
              <w:t>Biological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Products</w:t>
            </w:r>
            <w:proofErr w:type="spellEnd"/>
          </w:p>
          <w:p w14:paraId="4F9BB8D8" w14:textId="77777777" w:rsidR="009C762F" w:rsidRPr="00272E37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272E37">
              <w:rPr>
                <w:lang w:val="en-GB"/>
              </w:rPr>
              <w:t>Guidelines on evaluation of similar Biotherapeutic Products (SBPs), Annex 2, Technical Report Series No. 977, 2013</w:t>
            </w:r>
          </w:p>
          <w:p w14:paraId="240F122F" w14:textId="77777777" w:rsidR="009C762F" w:rsidRPr="00272E37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272E37">
              <w:rPr>
                <w:lang w:val="en-GB"/>
              </w:rPr>
              <w:t xml:space="preserve">Guidelines on </w:t>
            </w:r>
            <w:r w:rsidR="009115DA">
              <w:rPr>
                <w:lang w:val="en-GB"/>
              </w:rPr>
              <w:t>e</w:t>
            </w:r>
            <w:r w:rsidRPr="00272E37">
              <w:rPr>
                <w:lang w:val="en-GB"/>
              </w:rPr>
              <w:t>valuation of monoclonal antibodies as similar biotherapeutic products (SBPs), Annex 2, Technical Report Series No. 1004, 2016</w:t>
            </w:r>
          </w:p>
          <w:p w14:paraId="71395523" w14:textId="77777777" w:rsidR="009C762F" w:rsidRPr="00272E37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proofErr w:type="spellStart"/>
            <w:r w:rsidRPr="00272E37">
              <w:rPr>
                <w:lang w:val="en-GB"/>
              </w:rPr>
              <w:t>Guía</w:t>
            </w:r>
            <w:proofErr w:type="spellEnd"/>
            <w:r w:rsidRPr="00272E37">
              <w:rPr>
                <w:lang w:val="en-GB"/>
              </w:rPr>
              <w:t xml:space="preserve"> ICH S6 Biotechnological Products. Preclinical Safety Evaluation of Biotechnological-Derived Pharmaceuticals</w:t>
            </w:r>
          </w:p>
          <w:p w14:paraId="3F84052B" w14:textId="77777777" w:rsidR="009C762F" w:rsidRPr="00272E37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proofErr w:type="spellStart"/>
            <w:r w:rsidRPr="00272E37">
              <w:rPr>
                <w:lang w:val="en-GB"/>
              </w:rPr>
              <w:t>Guía</w:t>
            </w:r>
            <w:proofErr w:type="spellEnd"/>
            <w:r w:rsidRPr="00272E37">
              <w:rPr>
                <w:lang w:val="en-GB"/>
              </w:rPr>
              <w:t xml:space="preserve"> ICH M3 (R2) Guidance on </w:t>
            </w:r>
            <w:proofErr w:type="spellStart"/>
            <w:proofErr w:type="gramStart"/>
            <w:r w:rsidRPr="00272E37">
              <w:rPr>
                <w:lang w:val="en-GB"/>
              </w:rPr>
              <w:t>non clinical</w:t>
            </w:r>
            <w:proofErr w:type="spellEnd"/>
            <w:proofErr w:type="gramEnd"/>
            <w:r w:rsidRPr="00272E37">
              <w:rPr>
                <w:lang w:val="en-GB"/>
              </w:rPr>
              <w:t xml:space="preserve"> safety studies for the conduct of human clinical trials and marketing authorization for pharmaceuticals</w:t>
            </w:r>
          </w:p>
          <w:p w14:paraId="46C71A5D" w14:textId="77777777" w:rsidR="009C762F" w:rsidRPr="003A3E55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</w:pPr>
            <w:r w:rsidRPr="003A3E55">
              <w:t>Buenas Prácticas Clínicas OMS Documento de las Américas</w:t>
            </w:r>
          </w:p>
          <w:p w14:paraId="5F4B3029" w14:textId="77777777" w:rsidR="009C762F" w:rsidRPr="003A3E55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</w:pPr>
            <w:r w:rsidRPr="003A3E55">
              <w:t xml:space="preserve">Guías de Calidad de la ICH (Q1, Q2, Q3, Q4, Q5 Y Q6) y la Guía M10 ICH: </w:t>
            </w:r>
            <w:proofErr w:type="spellStart"/>
            <w:r w:rsidRPr="003A3E55">
              <w:t>Bioanlytical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Method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Validation</w:t>
            </w:r>
            <w:proofErr w:type="spellEnd"/>
          </w:p>
          <w:p w14:paraId="62836E95" w14:textId="77777777" w:rsidR="009C762F" w:rsidRPr="003A3E55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</w:pPr>
            <w:r w:rsidRPr="003A3E55">
              <w:t>"Manual para el Procedimiento de Registro de Productos Biológicos y Biosimilares de Uso Humano"</w:t>
            </w:r>
          </w:p>
          <w:p w14:paraId="6736343A" w14:textId="77777777" w:rsidR="009C762F" w:rsidRPr="003A3E55" w:rsidRDefault="000E2E07" w:rsidP="002F7927">
            <w:pPr>
              <w:keepNext/>
              <w:keepLines/>
              <w:numPr>
                <w:ilvl w:val="0"/>
                <w:numId w:val="16"/>
              </w:numPr>
              <w:spacing w:before="120" w:after="120"/>
            </w:pPr>
            <w:r w:rsidRPr="003A3E55">
              <w:t>Directrices de la OMS para una Buena Práctica Clínica (BPC)</w:t>
            </w:r>
          </w:p>
        </w:tc>
      </w:tr>
      <w:tr w:rsidR="008A17F7" w14:paraId="7626F82A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CA4DD" w14:textId="77777777" w:rsidR="00AF251E" w:rsidRPr="003A3E55" w:rsidRDefault="000E2E0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DAB72" w14:textId="77777777" w:rsidR="00AF251E" w:rsidRPr="003A3E55" w:rsidRDefault="000E2E07" w:rsidP="009F7158">
            <w:pPr>
              <w:spacing w:before="120" w:after="120"/>
              <w:rPr>
                <w:bCs/>
              </w:rPr>
            </w:pPr>
            <w:bookmarkStart w:id="30" w:name="X_TBT_Reg_9A"/>
            <w:r w:rsidRPr="003A3E55">
              <w:rPr>
                <w:b/>
              </w:rPr>
              <w:t>Fecha propuesta de adopción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0a"/>
            <w:bookmarkStart w:id="32" w:name="sps10b"/>
            <w:bookmarkEnd w:id="31"/>
            <w:r w:rsidRPr="003A3E55">
              <w:rPr>
                <w:bCs/>
              </w:rPr>
              <w:t>Por determinar</w:t>
            </w:r>
            <w:bookmarkEnd w:id="32"/>
          </w:p>
          <w:p w14:paraId="05570351" w14:textId="77777777" w:rsidR="00AF251E" w:rsidRPr="003A3E55" w:rsidRDefault="000E2E07" w:rsidP="009F7158">
            <w:pPr>
              <w:spacing w:after="120"/>
              <w:rPr>
                <w:b/>
              </w:rPr>
            </w:pPr>
            <w:bookmarkStart w:id="33" w:name="X_TBT_Reg_9B"/>
            <w:r w:rsidRPr="003A3E55">
              <w:rPr>
                <w:b/>
              </w:rPr>
              <w:t>Fecha propuesta de entrada en vigor</w:t>
            </w:r>
            <w:bookmarkEnd w:id="33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4" w:name="sps11a"/>
            <w:bookmarkStart w:id="35" w:name="sps11b"/>
            <w:bookmarkEnd w:id="34"/>
            <w:r w:rsidRPr="003A3E55">
              <w:rPr>
                <w:bCs/>
              </w:rPr>
              <w:t>Por determinar</w:t>
            </w:r>
            <w:bookmarkEnd w:id="35"/>
          </w:p>
        </w:tc>
      </w:tr>
      <w:tr w:rsidR="008A17F7" w14:paraId="3C0B24C3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B56DF" w14:textId="77777777" w:rsidR="00A52F73" w:rsidRPr="003A3E55" w:rsidRDefault="000E2E07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08D57" w14:textId="77777777" w:rsidR="00A52F73" w:rsidRPr="003A3E55" w:rsidRDefault="000E2E07" w:rsidP="003A3E55">
            <w:pPr>
              <w:spacing w:before="120" w:after="120"/>
            </w:pPr>
            <w:bookmarkStart w:id="36" w:name="X_TBT_Reg_10A"/>
            <w:r w:rsidRPr="003A3E55">
              <w:rPr>
                <w:b/>
              </w:rPr>
              <w:t>Fecha límite para la presentación de observaciones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7" w:name="sps12a"/>
            <w:bookmarkEnd w:id="37"/>
          </w:p>
        </w:tc>
      </w:tr>
      <w:tr w:rsidR="008A17F7" w:rsidRPr="00875802" w14:paraId="7B852A8F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128E24BC" w14:textId="77777777" w:rsidR="00A52F73" w:rsidRPr="003A3E55" w:rsidRDefault="000E2E07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7223F63E" w14:textId="77777777" w:rsidR="00A52F73" w:rsidRPr="003A3E55" w:rsidRDefault="000E2E07" w:rsidP="00AD2FD7">
            <w:pPr>
              <w:keepNext/>
              <w:keepLines/>
              <w:spacing w:before="120" w:after="120"/>
            </w:pPr>
            <w:bookmarkStart w:id="38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9" w:name="sps13b"/>
            <w:r w:rsidRPr="003A3E55">
              <w:rPr>
                <w:b/>
              </w:rPr>
              <w:t>X</w:t>
            </w:r>
            <w:bookmarkEnd w:id="39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0" w:name="sps13c"/>
          </w:p>
          <w:p w14:paraId="68AAA055" w14:textId="77777777" w:rsidR="009C762F" w:rsidRPr="003A3E55" w:rsidRDefault="000E2E07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Ministerio de Fomento, Industria y Comercio </w:t>
            </w:r>
            <w:r w:rsidRPr="003A3E55">
              <w:rPr>
                <w:bCs/>
              </w:rPr>
              <w:br/>
              <w:t xml:space="preserve">Km 6 Carretera a Masaya </w:t>
            </w:r>
            <w:r w:rsidRPr="003A3E55">
              <w:rPr>
                <w:bCs/>
              </w:rPr>
              <w:br/>
              <w:t xml:space="preserve">Managua, Nicaragua </w:t>
            </w:r>
            <w:r w:rsidRPr="003A3E55">
              <w:rPr>
                <w:bCs/>
              </w:rPr>
              <w:br/>
              <w:t xml:space="preserve">Tel: +(505) 2248 9300 ext. 1314 </w:t>
            </w:r>
            <w:proofErr w:type="spellStart"/>
            <w:r w:rsidRPr="003A3E55">
              <w:rPr>
                <w:bCs/>
              </w:rPr>
              <w:t>ó</w:t>
            </w:r>
            <w:proofErr w:type="spellEnd"/>
            <w:r w:rsidRPr="003A3E55">
              <w:rPr>
                <w:bCs/>
              </w:rPr>
              <w:t xml:space="preserve"> 1310 </w:t>
            </w:r>
            <w:r w:rsidRPr="003A3E55">
              <w:rPr>
                <w:bCs/>
              </w:rPr>
              <w:br/>
              <w:t xml:space="preserve">Correos electrónicos: </w:t>
            </w:r>
            <w:hyperlink r:id="rId13" w:history="1">
              <w:r w:rsidRPr="003A3E55">
                <w:rPr>
                  <w:bCs/>
                  <w:color w:val="0000FF"/>
                  <w:u w:val="single"/>
                </w:rPr>
                <w:t>notificacion@mific.gob.ni</w:t>
              </w:r>
            </w:hyperlink>
            <w:r w:rsidRPr="003A3E55">
              <w:rPr>
                <w:bCs/>
              </w:rPr>
              <w:t xml:space="preserve">; </w:t>
            </w:r>
            <w:hyperlink r:id="rId14" w:history="1">
              <w:r w:rsidRPr="003A3E55">
                <w:rPr>
                  <w:bCs/>
                  <w:color w:val="0000FF"/>
                  <w:u w:val="single"/>
                </w:rPr>
                <w:t>normalizacion@mific.gob.ni</w:t>
              </w:r>
            </w:hyperlink>
            <w:r w:rsidRPr="003A3E55">
              <w:rPr>
                <w:bCs/>
              </w:rPr>
              <w:t xml:space="preserve">; </w:t>
            </w:r>
            <w:hyperlink r:id="rId15" w:history="1">
              <w:r w:rsidRPr="003A3E55">
                <w:rPr>
                  <w:bCs/>
                  <w:color w:val="0000FF"/>
                  <w:u w:val="single"/>
                </w:rPr>
                <w:t>imartinez@mific.gob.ni</w:t>
              </w:r>
            </w:hyperlink>
            <w:r w:rsidRPr="003A3E55">
              <w:rPr>
                <w:bCs/>
              </w:rPr>
              <w:t xml:space="preserve"> </w:t>
            </w:r>
          </w:p>
          <w:p w14:paraId="74D5C7CC" w14:textId="77777777" w:rsidR="00272E37" w:rsidRPr="00272E37" w:rsidRDefault="000E2E07" w:rsidP="00AD2FD7">
            <w:pPr>
              <w:keepNext/>
              <w:keepLines/>
              <w:spacing w:before="120" w:after="120"/>
              <w:jc w:val="left"/>
              <w:rPr>
                <w:bCs/>
                <w:lang w:val="en-GB"/>
              </w:rPr>
            </w:pPr>
            <w:r w:rsidRPr="00272E37">
              <w:rPr>
                <w:bCs/>
                <w:lang w:val="en-GB"/>
              </w:rPr>
              <w:t xml:space="preserve">Sitio Web: </w:t>
            </w:r>
            <w:hyperlink r:id="rId16" w:history="1">
              <w:r w:rsidR="004268F6" w:rsidRPr="00976858">
                <w:rPr>
                  <w:rStyle w:val="Hyperlink"/>
                  <w:bCs/>
                  <w:lang w:val="en-GB"/>
                </w:rPr>
                <w:t>https://www.mific.gob.ni/Comercio-Interior/Normalizaci%C3%B3n-y-Metrolog%C3%ADa/Normas-en-Consulta-P%C3%BAblica/NTON-en-Consulta-P%C3%BAblica</w:t>
              </w:r>
            </w:hyperlink>
            <w:r w:rsidR="002F7927" w:rsidRPr="00272E37">
              <w:rPr>
                <w:bCs/>
                <w:lang w:val="en-GB"/>
              </w:rPr>
              <w:t xml:space="preserve"> </w:t>
            </w:r>
          </w:p>
          <w:p w14:paraId="485EE507" w14:textId="77777777" w:rsidR="009C762F" w:rsidRPr="00133B35" w:rsidRDefault="00875802" w:rsidP="00AD2FD7">
            <w:pPr>
              <w:keepNext/>
              <w:keepLines/>
              <w:spacing w:before="120" w:after="120"/>
              <w:jc w:val="left"/>
              <w:rPr>
                <w:bCs/>
                <w:lang w:val="en-GB"/>
              </w:rPr>
            </w:pPr>
            <w:hyperlink r:id="rId17" w:history="1">
              <w:r w:rsidR="002F7927" w:rsidRPr="00133B35">
                <w:rPr>
                  <w:bCs/>
                  <w:color w:val="0000FF"/>
                  <w:u w:val="single"/>
                  <w:lang w:val="en-GB"/>
                </w:rPr>
                <w:t>https://www.mific.gob.ni/Portals/0/Documentos/Comercio%20Interior/Documentos%20DNM/NORMALIZACION/NORMAS%20EN%20CONSULTA%20PUBLICA/NACIONAL/2020/2020-06-10/GIC%20NT%20035%20ENN%20-%2020001%20CP.pdf?ver=2020-06-16-075806-440</w:t>
              </w:r>
            </w:hyperlink>
            <w:bookmarkEnd w:id="40"/>
          </w:p>
        </w:tc>
      </w:tr>
    </w:tbl>
    <w:p w14:paraId="3EBEBB2B" w14:textId="77777777" w:rsidR="00AF251E" w:rsidRPr="00133B35" w:rsidRDefault="00AF251E" w:rsidP="003A3E55">
      <w:pPr>
        <w:rPr>
          <w:lang w:val="en-GB"/>
        </w:rPr>
      </w:pPr>
    </w:p>
    <w:sectPr w:rsidR="00AF251E" w:rsidRPr="00133B35" w:rsidSect="00AE3C0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C718" w14:textId="77777777" w:rsidR="008D2EA2" w:rsidRDefault="000E2E07">
      <w:r>
        <w:separator/>
      </w:r>
    </w:p>
  </w:endnote>
  <w:endnote w:type="continuationSeparator" w:id="0">
    <w:p w14:paraId="3A9A759C" w14:textId="77777777" w:rsidR="008D2EA2" w:rsidRDefault="000E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AB34" w14:textId="77777777" w:rsidR="00B531D9" w:rsidRPr="003A3E55" w:rsidRDefault="000E2E07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B3AB" w14:textId="77777777" w:rsidR="00DD65B2" w:rsidRPr="003A3E55" w:rsidRDefault="000E2E07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D821" w14:textId="77777777" w:rsidR="00DD65B2" w:rsidRPr="003A3E55" w:rsidRDefault="000E2E07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F26FB" w14:textId="77777777" w:rsidR="008D2EA2" w:rsidRDefault="000E2E07">
      <w:r>
        <w:separator/>
      </w:r>
    </w:p>
  </w:footnote>
  <w:footnote w:type="continuationSeparator" w:id="0">
    <w:p w14:paraId="4F0905F3" w14:textId="77777777" w:rsidR="008D2EA2" w:rsidRDefault="000E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B533" w14:textId="77777777" w:rsidR="00B531D9" w:rsidRPr="003A3E55" w:rsidRDefault="000E2E07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A3E55">
      <w:t>tbtSymbol</w:t>
    </w:r>
    <w:proofErr w:type="spellEnd"/>
  </w:p>
  <w:p w14:paraId="5C6A44AF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D9E1A3" w14:textId="77777777" w:rsidR="00B531D9" w:rsidRPr="003A3E55" w:rsidRDefault="000E2E07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08B211EB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97A4" w14:textId="77777777" w:rsidR="00B531D9" w:rsidRPr="003A3E55" w:rsidRDefault="000E2E07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3A3E55">
      <w:t>G/TBT/N/NIC/162</w:t>
    </w:r>
    <w:bookmarkEnd w:id="41"/>
  </w:p>
  <w:p w14:paraId="76823562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46E363" w14:textId="77777777" w:rsidR="00B531D9" w:rsidRPr="003A3E55" w:rsidRDefault="000E2E07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468E57A8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8A17F7" w14:paraId="79FA1B55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F45246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0514C1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2"/>
    <w:tr w:rsidR="008A17F7" w14:paraId="31207C26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0AF78950" w14:textId="77777777" w:rsidR="005D4F0E" w:rsidRPr="00674766" w:rsidRDefault="00875802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5A6991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8.85pt;height:56.4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555B783C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8A17F7" w14:paraId="712813A5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6479C4A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4439E98" w14:textId="77777777" w:rsidR="00B531D9" w:rsidRPr="003A3E55" w:rsidRDefault="000E2E07" w:rsidP="005D4F0E">
          <w:pPr>
            <w:jc w:val="right"/>
            <w:rPr>
              <w:b/>
              <w:szCs w:val="18"/>
            </w:rPr>
          </w:pPr>
          <w:bookmarkStart w:id="43" w:name="bmkSymbols"/>
          <w:r w:rsidRPr="003A3E55">
            <w:rPr>
              <w:b/>
              <w:szCs w:val="18"/>
            </w:rPr>
            <w:t>G/TBT/N/NIC/162</w:t>
          </w:r>
          <w:bookmarkEnd w:id="43"/>
        </w:p>
      </w:tc>
    </w:tr>
    <w:tr w:rsidR="008A17F7" w14:paraId="00F078B4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29868665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8DEA86F" w14:textId="001F06D7" w:rsidR="005D4F0E" w:rsidRPr="00674766" w:rsidRDefault="000E2E07" w:rsidP="005D4F0E">
          <w:pPr>
            <w:jc w:val="right"/>
            <w:rPr>
              <w:szCs w:val="18"/>
            </w:rPr>
          </w:pPr>
          <w:r w:rsidRPr="000E2E07">
            <w:rPr>
              <w:szCs w:val="18"/>
            </w:rPr>
            <w:t>1</w:t>
          </w:r>
          <w:r>
            <w:rPr>
              <w:szCs w:val="18"/>
            </w:rPr>
            <w:t>8</w:t>
          </w:r>
          <w:r w:rsidRPr="000E2E07">
            <w:rPr>
              <w:szCs w:val="18"/>
            </w:rPr>
            <w:t xml:space="preserve"> de junio de 2020</w:t>
          </w:r>
        </w:p>
      </w:tc>
    </w:tr>
    <w:tr w:rsidR="008A17F7" w14:paraId="3022BCE6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45344B8" w14:textId="36FD4229" w:rsidR="005D4F0E" w:rsidRPr="00674766" w:rsidRDefault="000E2E07">
          <w:pPr>
            <w:jc w:val="left"/>
            <w:rPr>
              <w:b/>
              <w:szCs w:val="18"/>
            </w:rPr>
          </w:pPr>
          <w:bookmarkStart w:id="44" w:name="bmkSerial"/>
          <w:r w:rsidRPr="003A3E55">
            <w:rPr>
              <w:color w:val="FF0000"/>
              <w:szCs w:val="18"/>
            </w:rPr>
            <w:t>(</w:t>
          </w:r>
          <w:bookmarkStart w:id="45" w:name="spsSerialNumber"/>
          <w:bookmarkEnd w:id="45"/>
          <w:r>
            <w:rPr>
              <w:color w:val="FF0000"/>
              <w:szCs w:val="18"/>
            </w:rPr>
            <w:t>20-</w:t>
          </w:r>
          <w:r w:rsidR="00875802">
            <w:rPr>
              <w:color w:val="FF0000"/>
              <w:szCs w:val="18"/>
            </w:rPr>
            <w:t>4286</w:t>
          </w:r>
          <w:r w:rsidRPr="003A3E55">
            <w:rPr>
              <w:color w:val="FF0000"/>
              <w:szCs w:val="18"/>
            </w:rPr>
            <w:t>)</w:t>
          </w:r>
          <w:bookmarkEnd w:id="44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9800A95" w14:textId="77777777" w:rsidR="005D4F0E" w:rsidRPr="00674766" w:rsidRDefault="000E2E07" w:rsidP="005D4F0E">
          <w:pPr>
            <w:jc w:val="right"/>
            <w:rPr>
              <w:szCs w:val="18"/>
            </w:rPr>
          </w:pPr>
          <w:bookmarkStart w:id="46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6"/>
        </w:p>
      </w:tc>
    </w:tr>
    <w:tr w:rsidR="008A17F7" w14:paraId="7B5F4FE0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FB59FAE" w14:textId="77777777" w:rsidR="005D4F0E" w:rsidRPr="00674766" w:rsidRDefault="000E2E07">
          <w:pPr>
            <w:jc w:val="left"/>
            <w:rPr>
              <w:szCs w:val="18"/>
            </w:rPr>
          </w:pPr>
          <w:bookmarkStart w:id="47" w:name="bmkCommittee"/>
          <w:r w:rsidRPr="003A3E55">
            <w:rPr>
              <w:b/>
              <w:szCs w:val="18"/>
            </w:rPr>
            <w:t>Comité de Obstáculos Técnicos al Comercio</w:t>
          </w:r>
          <w:bookmarkEnd w:id="47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5BBA96B" w14:textId="77777777" w:rsidR="005D4F0E" w:rsidRPr="003A3E55" w:rsidRDefault="000E2E07">
          <w:pPr>
            <w:jc w:val="right"/>
            <w:rPr>
              <w:bCs/>
              <w:szCs w:val="18"/>
            </w:rPr>
          </w:pPr>
          <w:bookmarkStart w:id="48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49" w:name="spsOriginalLanguage"/>
          <w:r w:rsidRPr="003A3E55">
            <w:rPr>
              <w:bCs/>
              <w:szCs w:val="18"/>
            </w:rPr>
            <w:t>español</w:t>
          </w:r>
          <w:bookmarkEnd w:id="48"/>
          <w:bookmarkEnd w:id="49"/>
        </w:p>
      </w:tc>
    </w:tr>
  </w:tbl>
  <w:p w14:paraId="128834B2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2A47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6C7B62" w:tentative="1">
      <w:start w:val="1"/>
      <w:numFmt w:val="lowerLetter"/>
      <w:lvlText w:val="%2."/>
      <w:lvlJc w:val="left"/>
      <w:pPr>
        <w:ind w:left="1080" w:hanging="360"/>
      </w:pPr>
    </w:lvl>
    <w:lvl w:ilvl="2" w:tplc="D084DA4C" w:tentative="1">
      <w:start w:val="1"/>
      <w:numFmt w:val="lowerRoman"/>
      <w:lvlText w:val="%3."/>
      <w:lvlJc w:val="right"/>
      <w:pPr>
        <w:ind w:left="1800" w:hanging="180"/>
      </w:pPr>
    </w:lvl>
    <w:lvl w:ilvl="3" w:tplc="1C76289A" w:tentative="1">
      <w:start w:val="1"/>
      <w:numFmt w:val="decimal"/>
      <w:lvlText w:val="%4."/>
      <w:lvlJc w:val="left"/>
      <w:pPr>
        <w:ind w:left="2520" w:hanging="360"/>
      </w:pPr>
    </w:lvl>
    <w:lvl w:ilvl="4" w:tplc="EA88E08E" w:tentative="1">
      <w:start w:val="1"/>
      <w:numFmt w:val="lowerLetter"/>
      <w:lvlText w:val="%5."/>
      <w:lvlJc w:val="left"/>
      <w:pPr>
        <w:ind w:left="3240" w:hanging="360"/>
      </w:pPr>
    </w:lvl>
    <w:lvl w:ilvl="5" w:tplc="46CEC014" w:tentative="1">
      <w:start w:val="1"/>
      <w:numFmt w:val="lowerRoman"/>
      <w:lvlText w:val="%6."/>
      <w:lvlJc w:val="right"/>
      <w:pPr>
        <w:ind w:left="3960" w:hanging="180"/>
      </w:pPr>
    </w:lvl>
    <w:lvl w:ilvl="6" w:tplc="530425E0" w:tentative="1">
      <w:start w:val="1"/>
      <w:numFmt w:val="decimal"/>
      <w:lvlText w:val="%7."/>
      <w:lvlJc w:val="left"/>
      <w:pPr>
        <w:ind w:left="4680" w:hanging="360"/>
      </w:pPr>
    </w:lvl>
    <w:lvl w:ilvl="7" w:tplc="5880AC4A" w:tentative="1">
      <w:start w:val="1"/>
      <w:numFmt w:val="lowerLetter"/>
      <w:lvlText w:val="%8."/>
      <w:lvlJc w:val="left"/>
      <w:pPr>
        <w:ind w:left="5400" w:hanging="360"/>
      </w:pPr>
    </w:lvl>
    <w:lvl w:ilvl="8" w:tplc="1CA2E8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0E2E07"/>
    <w:rsid w:val="00104D9E"/>
    <w:rsid w:val="00114B29"/>
    <w:rsid w:val="001171A2"/>
    <w:rsid w:val="00120B96"/>
    <w:rsid w:val="001273FC"/>
    <w:rsid w:val="001338F0"/>
    <w:rsid w:val="00133B35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2E37"/>
    <w:rsid w:val="00276383"/>
    <w:rsid w:val="00287066"/>
    <w:rsid w:val="002B0C97"/>
    <w:rsid w:val="002E4A00"/>
    <w:rsid w:val="002F7927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8F6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75802"/>
    <w:rsid w:val="008849EF"/>
    <w:rsid w:val="00885409"/>
    <w:rsid w:val="008960CC"/>
    <w:rsid w:val="008A1305"/>
    <w:rsid w:val="008A17F7"/>
    <w:rsid w:val="008A2F61"/>
    <w:rsid w:val="008D2EA2"/>
    <w:rsid w:val="008D4C3D"/>
    <w:rsid w:val="008E4B39"/>
    <w:rsid w:val="0090284E"/>
    <w:rsid w:val="009115DA"/>
    <w:rsid w:val="00912133"/>
    <w:rsid w:val="0091417D"/>
    <w:rsid w:val="00917BFE"/>
    <w:rsid w:val="00924FA9"/>
    <w:rsid w:val="009304CB"/>
    <w:rsid w:val="0093775F"/>
    <w:rsid w:val="00946686"/>
    <w:rsid w:val="009613B7"/>
    <w:rsid w:val="00976858"/>
    <w:rsid w:val="009A0D78"/>
    <w:rsid w:val="009C190B"/>
    <w:rsid w:val="009C762F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1251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10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27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ciadir@minsa.gob.ni" TargetMode="External"/><Relationship Id="rId13" Type="http://schemas.openxmlformats.org/officeDocument/2006/relationships/hyperlink" Target="mailto:notificacion@mific.gob.n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dgrs@minsa.gob.ni" TargetMode="External"/><Relationship Id="rId12" Type="http://schemas.openxmlformats.org/officeDocument/2006/relationships/hyperlink" Target="https://www.mific.gob.ni/Portals/0/Documentos/Comercio%20Interior/Documentos%20DNM/NORMALIZACION/NORMAS%20EN%20CONSULTA%20PUBLICA/NACIONAL/2020/2020-06-10/GIC%20NT%20035%20ENN%20-%2020001%20CP.pdf?ver=2020-06-16-075806-440" TargetMode="External"/><Relationship Id="rId17" Type="http://schemas.openxmlformats.org/officeDocument/2006/relationships/hyperlink" Target="https://www.mific.gob.ni/Portals/0/Documentos/Comercio%20Interior/Documentos%20DNM/NORMALIZACION/NORMAS%20EN%20CONSULTA%20PUBLICA/NACIONAL/2020/2020-06-10/GIC%20NT%20035%20ENN%20-%2020001%20CP.pdf?ver=2020-06-16-075806-44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ific.gob.ni/Comercio-Interior/Normalizaci%C3%B3n-y-Metrolog%C3%ADa/Normas-en-Consulta-P%C3%BAblica/NTON-en-Consulta-P%C3%BAblic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artinez@mific.gob.n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martinez@mific.gob.ni" TargetMode="External"/><Relationship Id="rId23" Type="http://schemas.openxmlformats.org/officeDocument/2006/relationships/footer" Target="footer3.xml"/><Relationship Id="rId10" Type="http://schemas.openxmlformats.org/officeDocument/2006/relationships/hyperlink" Target="mailto:normalizacion@mific.gob.n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notificacion@mific.gob.ni" TargetMode="External"/><Relationship Id="rId14" Type="http://schemas.openxmlformats.org/officeDocument/2006/relationships/hyperlink" Target="mailto:normalizacion@mific.gob.ni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207DB007.dotm</Template>
  <TotalTime>19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42</cp:revision>
  <dcterms:created xsi:type="dcterms:W3CDTF">2017-07-03T10:42:00Z</dcterms:created>
  <dcterms:modified xsi:type="dcterms:W3CDTF">2020-06-18T06:59:00Z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210210d8-2a87-4bff-9f1f-fba275de8750</vt:lpwstr>
  </property>
  <property fmtid="{D5CDD505-2E9C-101B-9397-08002B2CF9AE}" pid="4" name="WTOCLASSIFICATION">
    <vt:lpwstr>WTO OFFICIAL</vt:lpwstr>
  </property>
</Properties>
</file>