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3A3E55" w:rsidRDefault="0006181A" w:rsidP="003A3E55">
      <w:pPr>
        <w:pStyle w:val="Title"/>
        <w:rPr>
          <w:caps w:val="0"/>
          <w:kern w:val="0"/>
        </w:rPr>
      </w:pPr>
      <w:r w:rsidRPr="003A3E55">
        <w:rPr>
          <w:caps w:val="0"/>
          <w:kern w:val="0"/>
        </w:rPr>
        <w:t>NOTIFICACIÓN</w:t>
      </w:r>
    </w:p>
    <w:p w:rsidR="00B531D9" w:rsidRPr="003A3E55" w:rsidRDefault="0006181A" w:rsidP="003A3E55">
      <w:pPr>
        <w:jc w:val="center"/>
      </w:pPr>
      <w:r w:rsidRPr="003A3E55">
        <w:t>Se da traslado de la notificación siguiente de conformidad con el artículo 10.6.</w:t>
      </w:r>
    </w:p>
    <w:p w:rsidR="00B531D9" w:rsidRPr="003A3E55"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5"/>
        <w:gridCol w:w="8285"/>
      </w:tblGrid>
      <w:tr w:rsidR="0059086C" w:rsidTr="0090284E">
        <w:tc>
          <w:tcPr>
            <w:tcW w:w="709" w:type="dxa"/>
            <w:tcBorders>
              <w:bottom w:val="single" w:sz="6" w:space="0" w:color="auto"/>
            </w:tcBorders>
            <w:shd w:val="clear" w:color="auto" w:fill="auto"/>
          </w:tcPr>
          <w:p w:rsidR="00A52F73" w:rsidRPr="003A3E55" w:rsidRDefault="0006181A" w:rsidP="003A3E55">
            <w:pPr>
              <w:spacing w:before="120" w:after="120"/>
              <w:rPr>
                <w:b/>
              </w:rPr>
            </w:pPr>
            <w:r w:rsidRPr="003A3E55">
              <w:rPr>
                <w:b/>
              </w:rPr>
              <w:t>1.</w:t>
            </w:r>
          </w:p>
        </w:tc>
        <w:tc>
          <w:tcPr>
            <w:tcW w:w="8524" w:type="dxa"/>
            <w:tcBorders>
              <w:bottom w:val="single" w:sz="6" w:space="0" w:color="auto"/>
            </w:tcBorders>
            <w:shd w:val="clear" w:color="auto" w:fill="auto"/>
          </w:tcPr>
          <w:p w:rsidR="00A52F73" w:rsidRPr="003A3E55" w:rsidRDefault="0006181A" w:rsidP="00946686">
            <w:pPr>
              <w:spacing w:before="120" w:after="120"/>
            </w:pPr>
            <w:bookmarkStart w:id="0" w:name="X_TBT_Reg_1A"/>
            <w:r w:rsidRPr="003A3E55">
              <w:rPr>
                <w:b/>
              </w:rPr>
              <w:t>Miembro que notifica</w:t>
            </w:r>
            <w:bookmarkEnd w:id="0"/>
            <w:r w:rsidRPr="003A3E55">
              <w:rPr>
                <w:b/>
              </w:rPr>
              <w:t>:</w:t>
            </w:r>
            <w:r w:rsidR="00AF251E" w:rsidRPr="006A63E9">
              <w:t xml:space="preserve"> </w:t>
            </w:r>
            <w:bookmarkStart w:id="1" w:name="sps1a"/>
            <w:r w:rsidR="003A3E55" w:rsidRPr="00E764A5">
              <w:rPr>
                <w:bCs/>
                <w:caps/>
                <w:u w:val="single"/>
              </w:rPr>
              <w:t>El Salvador</w:t>
            </w:r>
            <w:bookmarkEnd w:id="1"/>
          </w:p>
          <w:p w:rsidR="00A52F73" w:rsidRPr="003A3E55" w:rsidRDefault="0006181A" w:rsidP="003A3E55">
            <w:pPr>
              <w:spacing w:after="120"/>
            </w:pPr>
            <w:bookmarkStart w:id="2" w:name="X_TBT_Reg_1B"/>
            <w:r w:rsidRPr="003A3E55">
              <w:rPr>
                <w:b/>
              </w:rPr>
              <w:t>Si procede, nombre del gobierno local de que se trate (artículos 3.2 y 7.2)</w:t>
            </w:r>
            <w:bookmarkEnd w:id="2"/>
            <w:r w:rsidRPr="003A3E55">
              <w:rPr>
                <w:b/>
              </w:rPr>
              <w:t>:</w:t>
            </w:r>
            <w:r w:rsidR="00AF251E" w:rsidRPr="006A63E9">
              <w:t xml:space="preserve"> </w:t>
            </w:r>
            <w:bookmarkStart w:id="3" w:name="sps1b"/>
            <w:bookmarkEnd w:id="3"/>
          </w:p>
        </w:tc>
      </w:tr>
      <w:tr w:rsidR="0059086C" w:rsidTr="0090284E">
        <w:tc>
          <w:tcPr>
            <w:tcW w:w="709" w:type="dxa"/>
            <w:tcBorders>
              <w:top w:val="single" w:sz="6" w:space="0" w:color="auto"/>
              <w:bottom w:val="single" w:sz="6" w:space="0" w:color="auto"/>
            </w:tcBorders>
            <w:shd w:val="clear" w:color="auto" w:fill="auto"/>
          </w:tcPr>
          <w:p w:rsidR="00A52F73" w:rsidRPr="003A3E55" w:rsidRDefault="0006181A"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rsidR="00A52F73" w:rsidRPr="003A3E55" w:rsidRDefault="0006181A" w:rsidP="00873EB4">
            <w:pPr>
              <w:spacing w:before="120" w:after="120"/>
              <w:jc w:val="left"/>
              <w:rPr>
                <w:bCs/>
              </w:rPr>
            </w:pPr>
            <w:bookmarkStart w:id="4" w:name="X_TBT_Reg_2A"/>
            <w:r w:rsidRPr="003A3E55">
              <w:rPr>
                <w:b/>
              </w:rPr>
              <w:t>Organismo responsable</w:t>
            </w:r>
            <w:bookmarkEnd w:id="4"/>
            <w:r w:rsidRPr="003A3E55">
              <w:rPr>
                <w:b/>
              </w:rPr>
              <w:t>:</w:t>
            </w:r>
            <w:r w:rsidR="00AF251E" w:rsidRPr="003A3E55">
              <w:t xml:space="preserve"> </w:t>
            </w:r>
            <w:bookmarkStart w:id="5" w:name="sps2a"/>
            <w:r w:rsidRPr="003A3E55">
              <w:rPr>
                <w:bCs/>
              </w:rPr>
              <w:t>Organismo Salvadoreño de Reglamentación Técnica (OSARTEC).</w:t>
            </w:r>
            <w:bookmarkEnd w:id="5"/>
          </w:p>
          <w:p w:rsidR="00A52F73" w:rsidRPr="003A3E55" w:rsidRDefault="0006181A" w:rsidP="008849EF">
            <w:pPr>
              <w:spacing w:after="120"/>
            </w:pPr>
            <w:bookmarkStart w:id="6" w:name="X_TBT_Reg_2B"/>
            <w:r w:rsidRPr="003A3E55">
              <w:rPr>
                <w:b/>
              </w:rPr>
              <w:t xml:space="preserve">Nombre y dirección (incluidos los números de teléfono y de fax, así como las direcciones de correo electrónico y sitios </w:t>
            </w:r>
            <w:r w:rsidR="002B0C97">
              <w:rPr>
                <w:b/>
              </w:rPr>
              <w:t>w</w:t>
            </w:r>
            <w:r w:rsidRPr="003A3E55">
              <w:rPr>
                <w:b/>
              </w:rPr>
              <w:t>eb, en su caso) del organismo o autoridad encargado de la tramitación de observaciones sobre la notificación, en caso de que se trate de un organismo o autoridad diferente</w:t>
            </w:r>
            <w:bookmarkEnd w:id="6"/>
            <w:r w:rsidRPr="003A3E55">
              <w:rPr>
                <w:b/>
              </w:rPr>
              <w:t>:</w:t>
            </w:r>
            <w:r w:rsidR="00A22D74" w:rsidRPr="006A63E9">
              <w:t xml:space="preserve"> </w:t>
            </w:r>
            <w:bookmarkStart w:id="7" w:name="sps4a"/>
          </w:p>
          <w:p w:rsidR="00A84CDD" w:rsidRPr="003A3E55" w:rsidRDefault="0006181A" w:rsidP="008849EF">
            <w:pPr>
              <w:spacing w:after="120"/>
              <w:jc w:val="left"/>
            </w:pPr>
            <w:r w:rsidRPr="003A3E55">
              <w:t>Ministerio de Economía</w:t>
            </w:r>
            <w:r w:rsidRPr="003A3E55">
              <w:br/>
              <w:t>Dirección de Administración de Tratados Comerciales</w:t>
            </w:r>
            <w:r w:rsidRPr="003A3E55">
              <w:br/>
              <w:t>Alameda Juan Pablo II y Calle Guadalupe Plan Maestro San Salvador, El Salvador.</w:t>
            </w:r>
            <w:r w:rsidRPr="003A3E55">
              <w:br/>
              <w:t xml:space="preserve">Sitio Web: </w:t>
            </w:r>
            <w:hyperlink r:id="rId7" w:history="1">
              <w:r w:rsidRPr="003A3E55">
                <w:rPr>
                  <w:color w:val="0000FF"/>
                  <w:u w:val="single"/>
                </w:rPr>
                <w:t>http://www.minec.gob.sv</w:t>
              </w:r>
            </w:hyperlink>
            <w:r w:rsidRPr="003A3E55">
              <w:br/>
              <w:t xml:space="preserve">Teléfono: (503) 2590 5788 </w:t>
            </w:r>
            <w:r w:rsidRPr="003A3E55">
              <w:br/>
              <w:t xml:space="preserve">Correo electrónico: </w:t>
            </w:r>
            <w:hyperlink r:id="rId8" w:history="1">
              <w:r w:rsidRPr="003A3E55">
                <w:rPr>
                  <w:color w:val="0000FF"/>
                  <w:u w:val="single"/>
                </w:rPr>
                <w:t>datco@minec.gob.sv</w:t>
              </w:r>
            </w:hyperlink>
            <w:r w:rsidRPr="003A3E55">
              <w:t xml:space="preserve"> </w:t>
            </w:r>
            <w:bookmarkEnd w:id="7"/>
          </w:p>
        </w:tc>
      </w:tr>
      <w:tr w:rsidR="0059086C" w:rsidTr="0090284E">
        <w:tc>
          <w:tcPr>
            <w:tcW w:w="709" w:type="dxa"/>
            <w:tcBorders>
              <w:top w:val="single" w:sz="6" w:space="0" w:color="auto"/>
              <w:bottom w:val="single" w:sz="6" w:space="0" w:color="auto"/>
            </w:tcBorders>
            <w:shd w:val="clear" w:color="auto" w:fill="auto"/>
          </w:tcPr>
          <w:p w:rsidR="00A52F73" w:rsidRPr="003A3E55" w:rsidRDefault="0006181A"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rsidR="00A52F73" w:rsidRPr="003A3E55" w:rsidRDefault="0006181A" w:rsidP="003A3E55">
            <w:pPr>
              <w:spacing w:before="120" w:after="120"/>
            </w:pPr>
            <w:bookmarkStart w:id="8" w:name="X_TBT_Reg_3A"/>
            <w:r w:rsidRPr="003A3E55">
              <w:rPr>
                <w:b/>
              </w:rPr>
              <w:t>Notificación hecha en virtud del artículo 2.9.2</w:t>
            </w:r>
            <w:bookmarkEnd w:id="8"/>
            <w:r w:rsidRPr="003A3E55">
              <w:rPr>
                <w:b/>
              </w:rPr>
              <w:t xml:space="preserve"> [</w:t>
            </w:r>
            <w:bookmarkStart w:id="9" w:name="tbt3a"/>
            <w:r w:rsidRPr="003A3E55">
              <w:rPr>
                <w:b/>
              </w:rPr>
              <w:t>X</w:t>
            </w:r>
            <w:bookmarkEnd w:id="9"/>
            <w:r w:rsidRPr="003A3E55">
              <w:rPr>
                <w:b/>
              </w:rPr>
              <w:t xml:space="preserve">], </w:t>
            </w:r>
            <w:bookmarkStart w:id="10" w:name="X_TBT_Reg_3B"/>
            <w:r w:rsidRPr="003A3E55">
              <w:rPr>
                <w:b/>
              </w:rPr>
              <w:t>2.10.1</w:t>
            </w:r>
            <w:bookmarkEnd w:id="10"/>
            <w:r w:rsidRPr="003A3E55">
              <w:rPr>
                <w:b/>
              </w:rPr>
              <w:t xml:space="preserve"> [</w:t>
            </w:r>
            <w:bookmarkStart w:id="11" w:name="tbt3b"/>
            <w:r w:rsidRPr="003A3E55">
              <w:rPr>
                <w:b/>
              </w:rPr>
              <w:t>  </w:t>
            </w:r>
            <w:bookmarkEnd w:id="11"/>
            <w:r w:rsidRPr="003A3E55">
              <w:rPr>
                <w:b/>
              </w:rPr>
              <w:t xml:space="preserve">], </w:t>
            </w:r>
            <w:bookmarkStart w:id="12" w:name="X_TBT_Reg_3C"/>
            <w:r w:rsidRPr="003A3E55">
              <w:rPr>
                <w:b/>
              </w:rPr>
              <w:t>5.6.2</w:t>
            </w:r>
            <w:bookmarkEnd w:id="12"/>
            <w:r w:rsidRPr="003A3E55">
              <w:rPr>
                <w:b/>
              </w:rPr>
              <w:t xml:space="preserve"> [</w:t>
            </w:r>
            <w:bookmarkStart w:id="13" w:name="tbt3c"/>
            <w:r w:rsidRPr="003A3E55">
              <w:rPr>
                <w:b/>
              </w:rPr>
              <w:t>  </w:t>
            </w:r>
            <w:bookmarkEnd w:id="13"/>
            <w:r w:rsidRPr="003A3E55">
              <w:rPr>
                <w:b/>
              </w:rPr>
              <w:t xml:space="preserve">], </w:t>
            </w:r>
            <w:bookmarkStart w:id="14" w:name="X_TBT_Reg_3D"/>
            <w:r w:rsidRPr="003A3E55">
              <w:rPr>
                <w:b/>
              </w:rPr>
              <w:t>5.7.1</w:t>
            </w:r>
            <w:bookmarkEnd w:id="14"/>
            <w:r w:rsidRPr="003A3E55">
              <w:rPr>
                <w:b/>
              </w:rPr>
              <w:t xml:space="preserve"> [</w:t>
            </w:r>
            <w:bookmarkStart w:id="15" w:name="tbt3d"/>
            <w:r w:rsidRPr="003A3E55">
              <w:rPr>
                <w:b/>
              </w:rPr>
              <w:t>  </w:t>
            </w:r>
            <w:bookmarkEnd w:id="15"/>
            <w:r w:rsidRPr="003A3E55">
              <w:rPr>
                <w:b/>
              </w:rPr>
              <w:t xml:space="preserve">], </w:t>
            </w:r>
            <w:bookmarkStart w:id="16" w:name="X_TBT_Reg_3E"/>
            <w:r w:rsidRPr="003A3E55">
              <w:rPr>
                <w:b/>
              </w:rPr>
              <w:t>o en virtud de</w:t>
            </w:r>
            <w:bookmarkStart w:id="17" w:name="tbt3f"/>
            <w:bookmarkEnd w:id="16"/>
            <w:bookmarkEnd w:id="17"/>
            <w:r w:rsidR="008E4B39">
              <w:rPr>
                <w:b/>
              </w:rPr>
              <w:t>:</w:t>
            </w:r>
            <w:r w:rsidR="006C0F04">
              <w:t xml:space="preserve"> </w:t>
            </w:r>
            <w:r w:rsidR="008E4B39" w:rsidRPr="006C0F04">
              <w:t xml:space="preserve"> </w:t>
            </w:r>
            <w:bookmarkStart w:id="18" w:name="tbt3e"/>
            <w:bookmarkEnd w:id="18"/>
          </w:p>
        </w:tc>
      </w:tr>
      <w:tr w:rsidR="0059086C" w:rsidTr="0090284E">
        <w:tc>
          <w:tcPr>
            <w:tcW w:w="709" w:type="dxa"/>
            <w:tcBorders>
              <w:top w:val="single" w:sz="6" w:space="0" w:color="auto"/>
              <w:bottom w:val="single" w:sz="6" w:space="0" w:color="auto"/>
            </w:tcBorders>
            <w:shd w:val="clear" w:color="auto" w:fill="auto"/>
          </w:tcPr>
          <w:p w:rsidR="00A52F73" w:rsidRPr="003A3E55" w:rsidRDefault="0006181A"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rsidR="00A52F73" w:rsidRPr="003A3E55" w:rsidRDefault="0006181A" w:rsidP="003A3E55">
            <w:pPr>
              <w:spacing w:before="120" w:after="120"/>
            </w:pPr>
            <w:bookmarkStart w:id="19" w:name="X_TBT_Reg_4A"/>
            <w:r w:rsidRPr="003A3E55">
              <w:rPr>
                <w:b/>
              </w:rPr>
              <w:t>Productos abarcados (partida del SA o de la NCCA cuando corresponda;</w:t>
            </w:r>
            <w:r w:rsidR="00AF251E" w:rsidRPr="003A3E55">
              <w:rPr>
                <w:b/>
              </w:rPr>
              <w:t xml:space="preserve"> </w:t>
            </w:r>
            <w:r w:rsidRPr="003A3E55">
              <w:rPr>
                <w:b/>
              </w:rPr>
              <w:t>en otro caso partida del arancel nacional.</w:t>
            </w:r>
            <w:r w:rsidR="00AF251E" w:rsidRPr="003A3E55">
              <w:rPr>
                <w:b/>
              </w:rPr>
              <w:t xml:space="preserve"> </w:t>
            </w:r>
            <w:r w:rsidRPr="003A3E55">
              <w:rPr>
                <w:b/>
              </w:rPr>
              <w:t>Podrá indicarse además, cuando proceda, el número de partida de la ICS)</w:t>
            </w:r>
            <w:bookmarkEnd w:id="19"/>
            <w:r w:rsidRPr="003A3E55">
              <w:rPr>
                <w:b/>
              </w:rPr>
              <w:t>:</w:t>
            </w:r>
            <w:r w:rsidR="00AF251E" w:rsidRPr="003A3E55">
              <w:t xml:space="preserve"> Ventiladores. Acondicionadores de aire (ICS 23.120)</w:t>
            </w:r>
            <w:bookmarkStart w:id="20" w:name="sps3a"/>
            <w:bookmarkEnd w:id="20"/>
          </w:p>
        </w:tc>
      </w:tr>
      <w:tr w:rsidR="0059086C" w:rsidTr="0090284E">
        <w:tc>
          <w:tcPr>
            <w:tcW w:w="709" w:type="dxa"/>
            <w:tcBorders>
              <w:top w:val="single" w:sz="6" w:space="0" w:color="auto"/>
              <w:bottom w:val="single" w:sz="6" w:space="0" w:color="auto"/>
            </w:tcBorders>
            <w:shd w:val="clear" w:color="auto" w:fill="auto"/>
          </w:tcPr>
          <w:p w:rsidR="00A52F73" w:rsidRPr="003A3E55" w:rsidRDefault="0006181A"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rsidR="00A52F73" w:rsidRPr="003A3E55" w:rsidRDefault="0006181A" w:rsidP="003A3E55">
            <w:pPr>
              <w:spacing w:before="120" w:after="120"/>
            </w:pPr>
            <w:bookmarkStart w:id="21" w:name="X_TBT_Reg_5A"/>
            <w:r w:rsidRPr="003A3E55">
              <w:rPr>
                <w:b/>
              </w:rPr>
              <w:t>Título, número de páginas e idioma(s) del documento notificado</w:t>
            </w:r>
            <w:bookmarkEnd w:id="21"/>
            <w:r w:rsidRPr="003A3E55">
              <w:rPr>
                <w:b/>
              </w:rPr>
              <w:t>:</w:t>
            </w:r>
            <w:r w:rsidR="00AF251E" w:rsidRPr="003A3E55">
              <w:t xml:space="preserve"> RTCA</w:t>
            </w:r>
            <w:r>
              <w:t> </w:t>
            </w:r>
            <w:r w:rsidR="00AF251E" w:rsidRPr="003A3E55">
              <w:t xml:space="preserve">23.01.78:20 </w:t>
            </w:r>
            <w:r w:rsidR="0091755B" w:rsidRPr="003A3E55">
              <w:t xml:space="preserve">Productos eléctricos. Acondicionadores de aire tipo dividido inverter, con flujo de refrigerante variable descarga libre y sin ductos de aire. Especificaciones de eficiencia energética. </w:t>
            </w:r>
            <w:r w:rsidR="00AF251E" w:rsidRPr="003A3E55">
              <w:t>(1</w:t>
            </w:r>
            <w:r w:rsidR="00174752">
              <w:t>3</w:t>
            </w:r>
            <w:r w:rsidR="00AF251E" w:rsidRPr="003A3E55">
              <w:t xml:space="preserve"> página(s), en Español)</w:t>
            </w:r>
            <w:bookmarkStart w:id="22" w:name="sps5a"/>
            <w:bookmarkStart w:id="23" w:name="sps5c"/>
            <w:bookmarkStart w:id="24" w:name="sps5b"/>
            <w:bookmarkEnd w:id="22"/>
            <w:bookmarkEnd w:id="23"/>
            <w:bookmarkEnd w:id="24"/>
          </w:p>
        </w:tc>
      </w:tr>
      <w:tr w:rsidR="0059086C" w:rsidTr="0090284E">
        <w:tc>
          <w:tcPr>
            <w:tcW w:w="709" w:type="dxa"/>
            <w:tcBorders>
              <w:top w:val="single" w:sz="6" w:space="0" w:color="auto"/>
              <w:bottom w:val="single" w:sz="6" w:space="0" w:color="auto"/>
            </w:tcBorders>
            <w:shd w:val="clear" w:color="auto" w:fill="auto"/>
          </w:tcPr>
          <w:p w:rsidR="00A52F73" w:rsidRPr="003A3E55" w:rsidRDefault="0006181A" w:rsidP="003A3E55">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rsidR="00A52F73" w:rsidRPr="003A3E55" w:rsidRDefault="0006181A" w:rsidP="003A3E55">
            <w:pPr>
              <w:spacing w:before="120" w:after="120"/>
            </w:pPr>
            <w:bookmarkStart w:id="25" w:name="X_TBT_Reg_6A"/>
            <w:r w:rsidRPr="003A3E55">
              <w:rPr>
                <w:b/>
              </w:rPr>
              <w:t>Descripción del contenido</w:t>
            </w:r>
            <w:bookmarkEnd w:id="25"/>
            <w:r w:rsidRPr="003A3E55">
              <w:rPr>
                <w:b/>
              </w:rPr>
              <w:t>:</w:t>
            </w:r>
            <w:r w:rsidR="00AF251E" w:rsidRPr="003A3E55">
              <w:t xml:space="preserve"> Establece la Relación de Eficiencia Energética Estacional (REEE) mínima, el método de ensayo, el procedimiento de evaluación de la conformidad y el etiquetado, que deben cumplir los acondicionadores de aire tipo dividido inverter con flujo de refrigerante variable download libre y sin ductos de aire , que se fabriquen, importen o comercialicen en los Estados Parte.</w:t>
            </w:r>
          </w:p>
          <w:p w:rsidR="00AF251E" w:rsidRPr="003A3E55" w:rsidRDefault="0006181A" w:rsidP="003A3E55">
            <w:pPr>
              <w:spacing w:after="120"/>
            </w:pPr>
            <w:r w:rsidRPr="003A3E55">
              <w:t>Aplica para los acondicionadores de aire tipo dividido inverter, con flujo de refrigerante variable descarga libre y sin ductos de aire, operados con energía eléctrica en capacidades nominales de enfriamiento hasta 19050 Wt (65000 BTU) que funcionan por compresión mecánica y que incluyen un serpentín evaporador enfriador de aire, un compresor de frecuencia con flujo de refrigerante variable y un serpentín condensador enfriado por aire, que se fabriquen, importen o comercialicen en los Estados Parte.</w:t>
            </w:r>
          </w:p>
          <w:p w:rsidR="00AF251E" w:rsidRPr="003A3E55" w:rsidRDefault="0006181A" w:rsidP="003A3E55">
            <w:pPr>
              <w:spacing w:after="120"/>
            </w:pPr>
            <w:r w:rsidRPr="003A3E55">
              <w:t>Excepciones.</w:t>
            </w:r>
            <w:r>
              <w:t xml:space="preserve"> </w:t>
            </w:r>
            <w:r w:rsidRPr="003A3E55">
              <w:t>Se excluyen del campo de aplicación los siguientes aparatos:</w:t>
            </w:r>
          </w:p>
          <w:p w:rsidR="00AF251E" w:rsidRPr="003A3E55" w:rsidRDefault="0006181A" w:rsidP="003A3E55">
            <w:pPr>
              <w:numPr>
                <w:ilvl w:val="0"/>
                <w:numId w:val="16"/>
              </w:numPr>
              <w:spacing w:before="120" w:after="120"/>
              <w:jc w:val="left"/>
            </w:pPr>
            <w:r w:rsidRPr="003A3E55">
              <w:t>Las bombas de calor y solo enfriamiento a base de agua.</w:t>
            </w:r>
          </w:p>
          <w:p w:rsidR="00AF251E" w:rsidRPr="003A3E55" w:rsidRDefault="0006181A" w:rsidP="003A3E55">
            <w:pPr>
              <w:numPr>
                <w:ilvl w:val="0"/>
                <w:numId w:val="16"/>
              </w:numPr>
              <w:spacing w:before="120" w:after="120"/>
              <w:jc w:val="left"/>
            </w:pPr>
            <w:r w:rsidRPr="003A3E55">
              <w:t>Las unidades que se diseñan para empleadas con conductos adicionales.</w:t>
            </w:r>
          </w:p>
          <w:p w:rsidR="00AF251E" w:rsidRPr="003A3E55" w:rsidRDefault="0006181A" w:rsidP="003A3E55">
            <w:pPr>
              <w:numPr>
                <w:ilvl w:val="0"/>
                <w:numId w:val="16"/>
              </w:numPr>
              <w:spacing w:before="120" w:after="120"/>
              <w:jc w:val="left"/>
            </w:pPr>
            <w:r w:rsidRPr="003A3E55">
              <w:lastRenderedPageBreak/>
              <w:t>Las unidades móviles (que no son de tipo ventana) que tienen un conducto condensador de escape.</w:t>
            </w:r>
          </w:p>
          <w:p w:rsidR="00AF251E" w:rsidRPr="003A3E55" w:rsidRDefault="0006181A" w:rsidP="003A3E55">
            <w:pPr>
              <w:numPr>
                <w:ilvl w:val="0"/>
                <w:numId w:val="16"/>
              </w:numPr>
              <w:spacing w:before="120" w:after="120"/>
              <w:jc w:val="left"/>
            </w:pPr>
            <w:r w:rsidRPr="003A3E55">
              <w:t>Las unidades tipo "Multi-split" con compresor de frecuencia y flujo de refrigerante variable.</w:t>
            </w:r>
          </w:p>
          <w:p w:rsidR="00AF251E" w:rsidRPr="003A3E55" w:rsidRDefault="0006181A" w:rsidP="003A3E55">
            <w:pPr>
              <w:numPr>
                <w:ilvl w:val="0"/>
                <w:numId w:val="16"/>
              </w:numPr>
              <w:spacing w:before="120" w:after="120"/>
              <w:jc w:val="left"/>
            </w:pPr>
            <w:r w:rsidRPr="003A3E55">
              <w:t>Unidades Piso Techo que exceden el límite de 19050 Wt (65 000 BTU)</w:t>
            </w:r>
          </w:p>
          <w:p w:rsidR="00AF251E" w:rsidRPr="003A3E55" w:rsidRDefault="0006181A" w:rsidP="003A3E55">
            <w:pPr>
              <w:numPr>
                <w:ilvl w:val="0"/>
                <w:numId w:val="16"/>
              </w:numPr>
              <w:spacing w:before="120" w:after="120"/>
              <w:jc w:val="left"/>
            </w:pPr>
            <w:r w:rsidRPr="003A3E55">
              <w:t>Menaje de casa.</w:t>
            </w:r>
          </w:p>
          <w:p w:rsidR="00AF251E" w:rsidRPr="003A3E55" w:rsidRDefault="0006181A" w:rsidP="003A3E55">
            <w:pPr>
              <w:numPr>
                <w:ilvl w:val="0"/>
                <w:numId w:val="16"/>
              </w:numPr>
              <w:spacing w:before="120" w:after="120"/>
              <w:jc w:val="left"/>
            </w:pPr>
            <w:r w:rsidRPr="003A3E55">
              <w:t>Las muestras sin valor comercial, según procedimiento de cada Estados Parte. </w:t>
            </w:r>
          </w:p>
        </w:tc>
      </w:tr>
      <w:tr w:rsidR="0059086C" w:rsidTr="0090284E">
        <w:tc>
          <w:tcPr>
            <w:tcW w:w="709" w:type="dxa"/>
            <w:tcBorders>
              <w:top w:val="single" w:sz="6" w:space="0" w:color="auto"/>
              <w:bottom w:val="single" w:sz="6" w:space="0" w:color="auto"/>
            </w:tcBorders>
            <w:shd w:val="clear" w:color="auto" w:fill="auto"/>
          </w:tcPr>
          <w:p w:rsidR="00A52F73" w:rsidRPr="003A3E55" w:rsidRDefault="0006181A" w:rsidP="003A3E55">
            <w:pPr>
              <w:spacing w:before="120" w:after="120"/>
              <w:rPr>
                <w:b/>
              </w:rPr>
            </w:pPr>
            <w:r w:rsidRPr="003A3E55">
              <w:rPr>
                <w:b/>
              </w:rPr>
              <w:lastRenderedPageBreak/>
              <w:t>7.</w:t>
            </w:r>
          </w:p>
        </w:tc>
        <w:tc>
          <w:tcPr>
            <w:tcW w:w="8524" w:type="dxa"/>
            <w:tcBorders>
              <w:top w:val="single" w:sz="6" w:space="0" w:color="auto"/>
              <w:bottom w:val="single" w:sz="6" w:space="0" w:color="auto"/>
            </w:tcBorders>
            <w:shd w:val="clear" w:color="auto" w:fill="auto"/>
          </w:tcPr>
          <w:p w:rsidR="00A52F73" w:rsidRPr="003A3E55" w:rsidRDefault="0006181A" w:rsidP="00A5462B">
            <w:pPr>
              <w:spacing w:before="120" w:after="120"/>
            </w:pPr>
            <w:bookmarkStart w:id="26" w:name="X_TBT_Reg_7A"/>
            <w:r w:rsidRPr="003A3E55">
              <w:rPr>
                <w:b/>
              </w:rPr>
              <w:t xml:space="preserve">Objetivo y razón de ser, incluida, cuando proceda, la </w:t>
            </w:r>
            <w:r w:rsidR="00677F2C" w:rsidRPr="003A3E55">
              <w:rPr>
                <w:b/>
              </w:rPr>
              <w:t xml:space="preserve">naturaleza </w:t>
            </w:r>
            <w:r w:rsidRPr="003A3E55">
              <w:rPr>
                <w:b/>
              </w:rPr>
              <w:t>de los problemas urgentes</w:t>
            </w:r>
            <w:bookmarkEnd w:id="26"/>
            <w:r w:rsidRPr="003A3E55">
              <w:rPr>
                <w:b/>
              </w:rPr>
              <w:t>:</w:t>
            </w:r>
            <w:r w:rsidR="00412DAF" w:rsidRPr="003A3E55">
              <w:t xml:space="preserve"> El Reglamento Técnico tiene como finalidad que los equipos acondicionadores de aire objeto de este reglamento, cuenten con criterios de eficiencia energética, con lo cual se podría tener el beneficio de reducir la facturación energética y la emisiones de gases de efecto invernadero a la atmósfera por consiguiente se protege al medio ambiente, la salud humana y al consumidor.; Prevención de prácticas que puedan inducir a error y protección del consumidor; Protección de la salud o seguridad humanas; Protección del medio ambiente; Reducción de costos y mejoramiento de la productividad</w:t>
            </w:r>
            <w:bookmarkStart w:id="27" w:name="sps7f"/>
            <w:bookmarkEnd w:id="27"/>
          </w:p>
        </w:tc>
      </w:tr>
      <w:tr w:rsidR="0059086C" w:rsidTr="0090284E">
        <w:tc>
          <w:tcPr>
            <w:tcW w:w="709" w:type="dxa"/>
            <w:tcBorders>
              <w:top w:val="single" w:sz="6" w:space="0" w:color="auto"/>
              <w:bottom w:val="single" w:sz="6" w:space="0" w:color="auto"/>
            </w:tcBorders>
            <w:shd w:val="clear" w:color="auto" w:fill="auto"/>
          </w:tcPr>
          <w:p w:rsidR="00A52F73" w:rsidRPr="003A3E55" w:rsidRDefault="0006181A" w:rsidP="00617B12">
            <w:pPr>
              <w:spacing w:before="120" w:after="120"/>
              <w:rPr>
                <w:b/>
              </w:rPr>
            </w:pPr>
            <w:r w:rsidRPr="003A3E55">
              <w:rPr>
                <w:b/>
              </w:rPr>
              <w:t>8.</w:t>
            </w:r>
          </w:p>
        </w:tc>
        <w:tc>
          <w:tcPr>
            <w:tcW w:w="8524" w:type="dxa"/>
            <w:tcBorders>
              <w:top w:val="single" w:sz="6" w:space="0" w:color="auto"/>
              <w:bottom w:val="single" w:sz="6" w:space="0" w:color="auto"/>
            </w:tcBorders>
            <w:shd w:val="clear" w:color="auto" w:fill="auto"/>
          </w:tcPr>
          <w:p w:rsidR="00924FA9" w:rsidRPr="003A3E55" w:rsidRDefault="0006181A" w:rsidP="00B82323">
            <w:pPr>
              <w:spacing w:before="120" w:after="120"/>
            </w:pPr>
            <w:bookmarkStart w:id="28" w:name="X_TBT_Reg_8A"/>
            <w:r w:rsidRPr="003A3E55">
              <w:rPr>
                <w:b/>
              </w:rPr>
              <w:t>Documentos pertinentes</w:t>
            </w:r>
            <w:bookmarkEnd w:id="28"/>
            <w:r w:rsidRPr="003A3E55">
              <w:rPr>
                <w:b/>
              </w:rPr>
              <w:t>:</w:t>
            </w:r>
            <w:r w:rsidR="00AF251E" w:rsidRPr="003A3E55">
              <w:t xml:space="preserve"> </w:t>
            </w:r>
          </w:p>
          <w:p w:rsidR="00A84CDD" w:rsidRPr="003A3E55" w:rsidRDefault="0006181A" w:rsidP="00B82323">
            <w:pPr>
              <w:numPr>
                <w:ilvl w:val="0"/>
                <w:numId w:val="17"/>
              </w:numPr>
              <w:spacing w:before="120" w:after="120"/>
            </w:pPr>
            <w:r w:rsidRPr="003A3E55">
              <w:t>AHRI 210 / 240-2017. Calificación de desempeño de equipos de aire acondicionado unitario y bomba de calor con fuente de aire.</w:t>
            </w:r>
          </w:p>
          <w:p w:rsidR="00A84CDD" w:rsidRPr="003A3E55" w:rsidRDefault="0006181A" w:rsidP="00B82323">
            <w:pPr>
              <w:numPr>
                <w:ilvl w:val="0"/>
                <w:numId w:val="17"/>
              </w:numPr>
              <w:spacing w:before="120" w:after="120"/>
            </w:pPr>
            <w:r w:rsidRPr="003A3E55">
              <w:t>ANSI / ASHRAE 37-2009. Métodos de prueba para clasificar equipos de bomba de calor y aire acondicionado unitarios impulsados eléctricamente.</w:t>
            </w:r>
          </w:p>
          <w:p w:rsidR="00A84CDD" w:rsidRPr="003A3E55" w:rsidRDefault="0006181A" w:rsidP="00B82323">
            <w:pPr>
              <w:numPr>
                <w:ilvl w:val="0"/>
                <w:numId w:val="17"/>
              </w:numPr>
              <w:spacing w:before="120" w:after="120"/>
            </w:pPr>
            <w:r w:rsidRPr="003A3E55">
              <w:t>ANSI / ASHRAE 116-2010. Métodos de prueba para calificar la eficiencia estacional de acondicionadores de aire unitarios y bombas de calor.</w:t>
            </w:r>
          </w:p>
          <w:p w:rsidR="00A84CDD" w:rsidRPr="003A3E55" w:rsidRDefault="0006181A" w:rsidP="00B82323">
            <w:pPr>
              <w:numPr>
                <w:ilvl w:val="0"/>
                <w:numId w:val="17"/>
              </w:numPr>
              <w:spacing w:before="120" w:after="120"/>
            </w:pPr>
            <w:r w:rsidRPr="003A3E55">
              <w:t>CSA C656-2014. Estándar de rendimiento para acondicionadores de aire y bombas de calor de sistema dividido y de paquete único.</w:t>
            </w:r>
          </w:p>
          <w:p w:rsidR="00A84CDD" w:rsidRPr="003A3E55" w:rsidRDefault="0006181A" w:rsidP="00B82323">
            <w:pPr>
              <w:numPr>
                <w:ilvl w:val="0"/>
                <w:numId w:val="17"/>
              </w:numPr>
              <w:spacing w:before="120" w:after="120"/>
            </w:pPr>
            <w:r w:rsidRPr="003A3E55">
              <w:t>NORMA Oficial Mexicana NOM 026 ENER 2015, Eficiencia energética en acondicionadores de aire tipo dividido (Inverter) con flujo de refrigerante variable, descarga libre y sin ductos de aire.</w:t>
            </w:r>
          </w:p>
          <w:p w:rsidR="00A84CDD" w:rsidRPr="003A3E55" w:rsidRDefault="0006181A" w:rsidP="00B82323">
            <w:pPr>
              <w:numPr>
                <w:ilvl w:val="0"/>
                <w:numId w:val="17"/>
              </w:numPr>
              <w:spacing w:before="120" w:after="120"/>
            </w:pPr>
            <w:r w:rsidRPr="003A3E55">
              <w:t>ISO 16358-1: 2013 Acondicionadores de aire refrigerados por aire y bombas de calor aire-aire. Métodos de prueba y cálculo para factores de rendimiento estacionales. Parte 1: Factor de rendimiento estacional de refrigeración.</w:t>
            </w:r>
          </w:p>
        </w:tc>
      </w:tr>
      <w:tr w:rsidR="0059086C" w:rsidTr="007E3474">
        <w:trPr>
          <w:cantSplit/>
        </w:trPr>
        <w:tc>
          <w:tcPr>
            <w:tcW w:w="709" w:type="dxa"/>
            <w:tcBorders>
              <w:top w:val="single" w:sz="6" w:space="0" w:color="auto"/>
              <w:bottom w:val="single" w:sz="6" w:space="0" w:color="auto"/>
            </w:tcBorders>
            <w:shd w:val="clear" w:color="auto" w:fill="auto"/>
          </w:tcPr>
          <w:p w:rsidR="00AF251E" w:rsidRPr="003A3E55" w:rsidRDefault="0006181A" w:rsidP="003A3E55">
            <w:pPr>
              <w:spacing w:before="120" w:after="120"/>
              <w:rPr>
                <w:b/>
              </w:rPr>
            </w:pPr>
            <w:r w:rsidRPr="003A3E55">
              <w:rPr>
                <w:b/>
              </w:rPr>
              <w:t>9.</w:t>
            </w:r>
          </w:p>
        </w:tc>
        <w:tc>
          <w:tcPr>
            <w:tcW w:w="8524" w:type="dxa"/>
            <w:tcBorders>
              <w:top w:val="single" w:sz="6" w:space="0" w:color="auto"/>
              <w:bottom w:val="single" w:sz="6" w:space="0" w:color="auto"/>
            </w:tcBorders>
            <w:shd w:val="clear" w:color="auto" w:fill="auto"/>
          </w:tcPr>
          <w:p w:rsidR="00AF251E" w:rsidRPr="003A3E55" w:rsidRDefault="0006181A" w:rsidP="009F7158">
            <w:pPr>
              <w:spacing w:before="120" w:after="120"/>
              <w:rPr>
                <w:bCs/>
              </w:rPr>
            </w:pPr>
            <w:bookmarkStart w:id="29" w:name="X_TBT_Reg_9A"/>
            <w:r w:rsidRPr="003A3E55">
              <w:rPr>
                <w:b/>
              </w:rPr>
              <w:t>Fecha propuesta de adopción</w:t>
            </w:r>
            <w:bookmarkEnd w:id="29"/>
            <w:r w:rsidRPr="003A3E55">
              <w:rPr>
                <w:b/>
              </w:rPr>
              <w:t>:</w:t>
            </w:r>
            <w:r w:rsidRPr="006A63E9">
              <w:t xml:space="preserve"> </w:t>
            </w:r>
            <w:bookmarkStart w:id="30" w:name="sps10a"/>
            <w:bookmarkStart w:id="31" w:name="sps10b"/>
            <w:bookmarkEnd w:id="30"/>
            <w:r w:rsidRPr="003A3E55">
              <w:rPr>
                <w:bCs/>
              </w:rPr>
              <w:t>Por determinar</w:t>
            </w:r>
            <w:bookmarkEnd w:id="31"/>
          </w:p>
          <w:p w:rsidR="00AF251E" w:rsidRPr="003A3E55" w:rsidRDefault="0006181A" w:rsidP="009F7158">
            <w:pPr>
              <w:spacing w:after="120"/>
              <w:rPr>
                <w:b/>
              </w:rPr>
            </w:pPr>
            <w:bookmarkStart w:id="32" w:name="X_TBT_Reg_9B"/>
            <w:r w:rsidRPr="003A3E55">
              <w:rPr>
                <w:b/>
              </w:rPr>
              <w:t>Fecha propuesta de entrada en vigor</w:t>
            </w:r>
            <w:bookmarkEnd w:id="32"/>
            <w:r w:rsidRPr="003A3E55">
              <w:rPr>
                <w:b/>
              </w:rPr>
              <w:t>:</w:t>
            </w:r>
            <w:r w:rsidRPr="006A63E9">
              <w:t xml:space="preserve"> </w:t>
            </w:r>
            <w:bookmarkStart w:id="33" w:name="sps11a"/>
            <w:bookmarkStart w:id="34" w:name="sps11b"/>
            <w:bookmarkEnd w:id="33"/>
            <w:r w:rsidRPr="003A3E55">
              <w:rPr>
                <w:bCs/>
              </w:rPr>
              <w:t>Por determinar</w:t>
            </w:r>
            <w:bookmarkEnd w:id="34"/>
          </w:p>
        </w:tc>
      </w:tr>
      <w:tr w:rsidR="0059086C" w:rsidTr="0090284E">
        <w:tc>
          <w:tcPr>
            <w:tcW w:w="709" w:type="dxa"/>
            <w:tcBorders>
              <w:top w:val="single" w:sz="6" w:space="0" w:color="auto"/>
              <w:bottom w:val="single" w:sz="6" w:space="0" w:color="auto"/>
            </w:tcBorders>
            <w:shd w:val="clear" w:color="auto" w:fill="auto"/>
          </w:tcPr>
          <w:p w:rsidR="00A52F73" w:rsidRPr="003A3E55" w:rsidRDefault="0006181A"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rsidR="00A52F73" w:rsidRPr="003A3E55" w:rsidRDefault="0006181A" w:rsidP="003A3E55">
            <w:pPr>
              <w:spacing w:before="120" w:after="120"/>
            </w:pPr>
            <w:bookmarkStart w:id="35" w:name="X_TBT_Reg_10A"/>
            <w:r w:rsidRPr="003A3E55">
              <w:rPr>
                <w:b/>
              </w:rPr>
              <w:t>Fecha límite para la presentación de observaciones</w:t>
            </w:r>
            <w:bookmarkEnd w:id="35"/>
            <w:r w:rsidRPr="003A3E55">
              <w:rPr>
                <w:b/>
              </w:rPr>
              <w:t>:</w:t>
            </w:r>
            <w:r w:rsidR="00AF251E" w:rsidRPr="003A3E55">
              <w:t xml:space="preserve"> 60 días desde la notificación</w:t>
            </w:r>
            <w:bookmarkStart w:id="36" w:name="sps12a"/>
            <w:bookmarkEnd w:id="36"/>
          </w:p>
        </w:tc>
      </w:tr>
      <w:tr w:rsidR="0059086C" w:rsidTr="0090284E">
        <w:tc>
          <w:tcPr>
            <w:tcW w:w="709" w:type="dxa"/>
            <w:tcBorders>
              <w:top w:val="single" w:sz="6" w:space="0" w:color="auto"/>
            </w:tcBorders>
            <w:shd w:val="clear" w:color="auto" w:fill="auto"/>
          </w:tcPr>
          <w:p w:rsidR="00A52F73" w:rsidRPr="003A3E55" w:rsidRDefault="0006181A" w:rsidP="0090284E">
            <w:pPr>
              <w:keepNext/>
              <w:keepLines/>
              <w:spacing w:before="120" w:after="120"/>
              <w:rPr>
                <w:b/>
              </w:rPr>
            </w:pPr>
            <w:r w:rsidRPr="003A3E55">
              <w:rPr>
                <w:b/>
              </w:rPr>
              <w:t>11.</w:t>
            </w:r>
          </w:p>
        </w:tc>
        <w:tc>
          <w:tcPr>
            <w:tcW w:w="8524" w:type="dxa"/>
            <w:tcBorders>
              <w:top w:val="single" w:sz="6" w:space="0" w:color="auto"/>
            </w:tcBorders>
            <w:shd w:val="clear" w:color="auto" w:fill="auto"/>
          </w:tcPr>
          <w:p w:rsidR="00A52F73" w:rsidRPr="003A3E55" w:rsidRDefault="0006181A" w:rsidP="00AD2FD7">
            <w:pPr>
              <w:keepNext/>
              <w:keepLines/>
              <w:spacing w:before="120" w:after="120"/>
            </w:pPr>
            <w:bookmarkStart w:id="37" w:name="X_TBT_Reg_11A"/>
            <w:r w:rsidRPr="003A3E55">
              <w:rPr>
                <w:b/>
              </w:rPr>
              <w:t>Textos disponibles en:</w:t>
            </w:r>
            <w:r w:rsidR="00AF251E" w:rsidRPr="003A3E55">
              <w:rPr>
                <w:b/>
              </w:rPr>
              <w:t xml:space="preserve"> </w:t>
            </w:r>
            <w:r w:rsidRPr="003A3E55">
              <w:rPr>
                <w:b/>
              </w:rPr>
              <w:t>Servicio nacional de información [</w:t>
            </w:r>
            <w:bookmarkStart w:id="38" w:name="sps13b"/>
            <w:r w:rsidRPr="003A3E55">
              <w:rPr>
                <w:b/>
              </w:rPr>
              <w:t>X</w:t>
            </w:r>
            <w:bookmarkEnd w:id="38"/>
            <w:r w:rsidRPr="003A3E55">
              <w:rPr>
                <w:b/>
              </w:rPr>
              <w:t>]</w:t>
            </w:r>
            <w:r w:rsidR="00677F2C" w:rsidRPr="003A3E55">
              <w:rPr>
                <w:b/>
              </w:rPr>
              <w:t>,</w:t>
            </w:r>
            <w:r w:rsidRPr="003A3E55">
              <w:rPr>
                <w:b/>
              </w:rPr>
              <w:t xml:space="preserve"> o direcció</w:t>
            </w:r>
            <w:r w:rsidR="00677F2C" w:rsidRPr="003A3E55">
              <w:rPr>
                <w:b/>
              </w:rPr>
              <w:t>n, números de teléfono y de fax y direcciones</w:t>
            </w:r>
            <w:r w:rsidRPr="003A3E55">
              <w:rPr>
                <w:b/>
              </w:rPr>
              <w:t xml:space="preserve"> </w:t>
            </w:r>
            <w:r w:rsidR="00677F2C" w:rsidRPr="003A3E55">
              <w:rPr>
                <w:b/>
              </w:rPr>
              <w:t xml:space="preserve">de </w:t>
            </w:r>
            <w:r w:rsidRPr="003A3E55">
              <w:rPr>
                <w:b/>
              </w:rPr>
              <w:t>correo electrónico y sitio</w:t>
            </w:r>
            <w:r w:rsidR="00677F2C" w:rsidRPr="003A3E55">
              <w:rPr>
                <w:b/>
              </w:rPr>
              <w:t>s</w:t>
            </w:r>
            <w:r w:rsidRPr="003A3E55">
              <w:rPr>
                <w:b/>
              </w:rPr>
              <w:t xml:space="preserve"> </w:t>
            </w:r>
            <w:r w:rsidR="002B0C97">
              <w:rPr>
                <w:b/>
              </w:rPr>
              <w:t>w</w:t>
            </w:r>
            <w:r w:rsidRPr="003A3E55">
              <w:rPr>
                <w:b/>
              </w:rPr>
              <w:t>eb, en su caso, de otra institución</w:t>
            </w:r>
            <w:bookmarkEnd w:id="37"/>
            <w:r w:rsidRPr="003A3E55">
              <w:rPr>
                <w:b/>
              </w:rPr>
              <w:t>:</w:t>
            </w:r>
            <w:r w:rsidR="00AF251E" w:rsidRPr="003A3E55">
              <w:t xml:space="preserve"> </w:t>
            </w:r>
            <w:bookmarkStart w:id="39" w:name="sps13c"/>
          </w:p>
          <w:p w:rsidR="00A84CDD" w:rsidRPr="003A3E55" w:rsidRDefault="000550A7" w:rsidP="00AD2FD7">
            <w:pPr>
              <w:keepNext/>
              <w:keepLines/>
              <w:spacing w:before="120" w:after="120"/>
              <w:rPr>
                <w:bCs/>
              </w:rPr>
            </w:pPr>
            <w:hyperlink r:id="rId9" w:history="1">
              <w:r w:rsidR="00B82323" w:rsidRPr="003A3E55">
                <w:rPr>
                  <w:bCs/>
                  <w:color w:val="0000FF"/>
                  <w:u w:val="single"/>
                </w:rPr>
                <w:t>https://members.wto.org/crnattachments/2020/TBT/SLV/20_7089_00_s.pdf</w:t>
              </w:r>
            </w:hyperlink>
            <w:bookmarkEnd w:id="39"/>
          </w:p>
        </w:tc>
      </w:tr>
    </w:tbl>
    <w:p w:rsidR="00AF251E" w:rsidRPr="003A3E55" w:rsidRDefault="00AF251E" w:rsidP="003A3E55"/>
    <w:sectPr w:rsidR="00AF251E" w:rsidRPr="003A3E55" w:rsidSect="00AE3C0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D53" w:rsidRDefault="0006181A">
      <w:r>
        <w:separator/>
      </w:r>
    </w:p>
  </w:endnote>
  <w:endnote w:type="continuationSeparator" w:id="0">
    <w:p w:rsidR="00297D53" w:rsidRDefault="0006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06181A" w:rsidP="00B531D9">
    <w:pPr>
      <w:pStyle w:val="Footer"/>
    </w:pPr>
    <w:r w:rsidRPr="003A3E5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A3E55" w:rsidRDefault="0006181A" w:rsidP="00B531D9">
    <w:pPr>
      <w:pStyle w:val="Footer"/>
    </w:pPr>
    <w:r w:rsidRPr="003A3E5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A3E55" w:rsidRDefault="0006181A">
    <w:r w:rsidRPr="003A3E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D53" w:rsidRDefault="0006181A">
      <w:r>
        <w:separator/>
      </w:r>
    </w:p>
  </w:footnote>
  <w:footnote w:type="continuationSeparator" w:id="0">
    <w:p w:rsidR="00297D53" w:rsidRDefault="00061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06181A" w:rsidP="00B531D9">
    <w:pPr>
      <w:pStyle w:val="Header"/>
      <w:pBdr>
        <w:bottom w:val="single" w:sz="4" w:space="1" w:color="auto"/>
      </w:pBdr>
      <w:tabs>
        <w:tab w:val="clear" w:pos="4513"/>
        <w:tab w:val="clear" w:pos="9027"/>
      </w:tabs>
      <w:jc w:val="center"/>
    </w:pPr>
    <w:r w:rsidRPr="003A3E55">
      <w:t>tbtSymbol</w:t>
    </w:r>
  </w:p>
  <w:p w:rsidR="00B531D9" w:rsidRPr="003A3E55" w:rsidRDefault="00B531D9" w:rsidP="00B531D9">
    <w:pPr>
      <w:pStyle w:val="Header"/>
      <w:pBdr>
        <w:bottom w:val="single" w:sz="4" w:space="1" w:color="auto"/>
      </w:pBdr>
      <w:tabs>
        <w:tab w:val="clear" w:pos="4513"/>
        <w:tab w:val="clear" w:pos="9027"/>
      </w:tabs>
      <w:jc w:val="center"/>
    </w:pPr>
  </w:p>
  <w:p w:rsidR="00B531D9" w:rsidRPr="003A3E55" w:rsidRDefault="0006181A"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1</w:t>
    </w:r>
    <w:r w:rsidRPr="003A3E55">
      <w:fldChar w:fldCharType="end"/>
    </w:r>
    <w:r w:rsidRPr="003A3E55">
      <w:t xml:space="preserve"> -</w:t>
    </w:r>
  </w:p>
  <w:p w:rsidR="00B531D9" w:rsidRPr="003A3E55" w:rsidRDefault="00B531D9" w:rsidP="00B531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06181A" w:rsidP="00B531D9">
    <w:pPr>
      <w:pStyle w:val="Header"/>
      <w:pBdr>
        <w:bottom w:val="single" w:sz="4" w:space="1" w:color="auto"/>
      </w:pBdr>
      <w:tabs>
        <w:tab w:val="clear" w:pos="4513"/>
        <w:tab w:val="clear" w:pos="9027"/>
      </w:tabs>
      <w:jc w:val="center"/>
    </w:pPr>
    <w:bookmarkStart w:id="40" w:name="spsSymbolHeader"/>
    <w:r w:rsidRPr="003A3E55">
      <w:t>G/TBT/N/SLV/211</w:t>
    </w:r>
    <w:bookmarkEnd w:id="40"/>
  </w:p>
  <w:p w:rsidR="00B531D9" w:rsidRPr="003A3E55" w:rsidRDefault="00B531D9" w:rsidP="00B531D9">
    <w:pPr>
      <w:pStyle w:val="Header"/>
      <w:pBdr>
        <w:bottom w:val="single" w:sz="4" w:space="1" w:color="auto"/>
      </w:pBdr>
      <w:tabs>
        <w:tab w:val="clear" w:pos="4513"/>
        <w:tab w:val="clear" w:pos="9027"/>
      </w:tabs>
      <w:jc w:val="center"/>
    </w:pPr>
  </w:p>
  <w:p w:rsidR="00B531D9" w:rsidRPr="003A3E55" w:rsidRDefault="0006181A"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2</w:t>
    </w:r>
    <w:r w:rsidRPr="003A3E55">
      <w:fldChar w:fldCharType="end"/>
    </w:r>
    <w:r w:rsidRPr="003A3E55">
      <w:t xml:space="preserve"> -</w:t>
    </w:r>
  </w:p>
  <w:p w:rsidR="00DD65B2" w:rsidRPr="003A3E55" w:rsidRDefault="00DD65B2" w:rsidP="00B531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59086C" w:rsidTr="004D5D05">
      <w:trPr>
        <w:trHeight w:val="240"/>
        <w:jc w:val="center"/>
      </w:trPr>
      <w:tc>
        <w:tcPr>
          <w:tcW w:w="3818" w:type="dxa"/>
          <w:shd w:val="clear" w:color="auto" w:fill="FFFFFF"/>
          <w:tcMar>
            <w:top w:w="0" w:type="dxa"/>
            <w:left w:w="108" w:type="dxa"/>
            <w:bottom w:w="0" w:type="dxa"/>
            <w:right w:w="108" w:type="dxa"/>
          </w:tcMar>
          <w:vAlign w:val="center"/>
        </w:tcPr>
        <w:p w:rsidR="005D4F0E" w:rsidRPr="00674766" w:rsidRDefault="005D4F0E">
          <w:pPr>
            <w:rPr>
              <w:noProof/>
              <w:szCs w:val="18"/>
              <w:lang w:eastAsia="en-GB"/>
            </w:rPr>
          </w:pPr>
          <w:bookmarkStart w:id="41"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674766" w:rsidRDefault="005D4F0E">
          <w:pPr>
            <w:jc w:val="right"/>
            <w:rPr>
              <w:b/>
              <w:color w:val="FF0000"/>
              <w:szCs w:val="18"/>
            </w:rPr>
          </w:pPr>
        </w:p>
      </w:tc>
    </w:tr>
    <w:bookmarkEnd w:id="41"/>
    <w:tr w:rsidR="0059086C" w:rsidTr="004D5D05">
      <w:trPr>
        <w:trHeight w:val="213"/>
        <w:jc w:val="center"/>
      </w:trPr>
      <w:tc>
        <w:tcPr>
          <w:tcW w:w="3818" w:type="dxa"/>
          <w:vMerge w:val="restart"/>
          <w:shd w:val="clear" w:color="auto" w:fill="FFFFFF"/>
          <w:hideMark/>
        </w:tcPr>
        <w:p w:rsidR="005D4F0E" w:rsidRPr="00674766" w:rsidRDefault="0006181A">
          <w:pPr>
            <w:jc w:val="left"/>
            <w:rPr>
              <w:szCs w:val="18"/>
            </w:rPr>
          </w:pPr>
          <w:r>
            <w:rPr>
              <w:noProof/>
              <w:szCs w:val="18"/>
              <w:lang w:eastAsia="en-GB"/>
            </w:rPr>
            <w:drawing>
              <wp:inline distT="0" distB="0" distL="0" distR="0">
                <wp:extent cx="240157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4607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374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674766" w:rsidRDefault="005D4F0E">
          <w:pPr>
            <w:jc w:val="right"/>
            <w:rPr>
              <w:b/>
              <w:szCs w:val="18"/>
            </w:rPr>
          </w:pPr>
        </w:p>
      </w:tc>
    </w:tr>
    <w:tr w:rsidR="0059086C" w:rsidTr="004D5D05">
      <w:trPr>
        <w:trHeight w:val="868"/>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B531D9" w:rsidRPr="003A3E55" w:rsidRDefault="0006181A" w:rsidP="005D4F0E">
          <w:pPr>
            <w:jc w:val="right"/>
            <w:rPr>
              <w:b/>
              <w:szCs w:val="18"/>
            </w:rPr>
          </w:pPr>
          <w:bookmarkStart w:id="42" w:name="bmkSymbols"/>
          <w:r w:rsidRPr="003A3E55">
            <w:rPr>
              <w:b/>
              <w:szCs w:val="18"/>
            </w:rPr>
            <w:t>G/TBT/N/SLV/211</w:t>
          </w:r>
          <w:bookmarkEnd w:id="42"/>
        </w:p>
      </w:tc>
    </w:tr>
    <w:tr w:rsidR="0059086C" w:rsidTr="004D5D05">
      <w:trPr>
        <w:trHeight w:val="240"/>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674766" w:rsidRDefault="0006181A" w:rsidP="005D4F0E">
          <w:pPr>
            <w:jc w:val="right"/>
            <w:rPr>
              <w:szCs w:val="18"/>
            </w:rPr>
          </w:pPr>
          <w:bookmarkStart w:id="43" w:name="spsDateDistribution"/>
          <w:bookmarkStart w:id="44" w:name="bmkDate"/>
          <w:bookmarkEnd w:id="43"/>
          <w:bookmarkEnd w:id="44"/>
          <w:r>
            <w:rPr>
              <w:szCs w:val="18"/>
            </w:rPr>
            <w:t>18 de noviembre de 2020</w:t>
          </w:r>
        </w:p>
      </w:tc>
    </w:tr>
    <w:tr w:rsidR="0059086C"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06181A">
          <w:pPr>
            <w:jc w:val="left"/>
            <w:rPr>
              <w:b/>
              <w:szCs w:val="18"/>
            </w:rPr>
          </w:pPr>
          <w:bookmarkStart w:id="45" w:name="bmkSerial"/>
          <w:r w:rsidRPr="003A3E55">
            <w:rPr>
              <w:color w:val="FF0000"/>
              <w:szCs w:val="18"/>
            </w:rPr>
            <w:t>(</w:t>
          </w:r>
          <w:bookmarkStart w:id="46" w:name="spsSerialNumber"/>
          <w:bookmarkEnd w:id="46"/>
          <w:r>
            <w:rPr>
              <w:color w:val="FF0000"/>
              <w:szCs w:val="18"/>
            </w:rPr>
            <w:t>20-</w:t>
          </w:r>
          <w:r w:rsidR="000550A7">
            <w:rPr>
              <w:color w:val="FF0000"/>
              <w:szCs w:val="18"/>
            </w:rPr>
            <w:t>8275</w:t>
          </w:r>
          <w:bookmarkStart w:id="47" w:name="_GoBack"/>
          <w:bookmarkEnd w:id="47"/>
          <w:r w:rsidRPr="003A3E55">
            <w:rPr>
              <w:color w:val="FF0000"/>
              <w:szCs w:val="18"/>
            </w:rPr>
            <w:t>)</w:t>
          </w:r>
          <w:bookmarkEnd w:id="45"/>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06181A" w:rsidP="005D4F0E">
          <w:pPr>
            <w:jc w:val="right"/>
            <w:rPr>
              <w:szCs w:val="18"/>
            </w:rPr>
          </w:pPr>
          <w:bookmarkStart w:id="48"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6A63E9">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6A63E9">
            <w:rPr>
              <w:bCs/>
              <w:noProof/>
              <w:szCs w:val="18"/>
            </w:rPr>
            <w:t>1</w:t>
          </w:r>
          <w:r w:rsidRPr="003A3E55">
            <w:rPr>
              <w:szCs w:val="18"/>
            </w:rPr>
            <w:fldChar w:fldCharType="end"/>
          </w:r>
          <w:bookmarkEnd w:id="48"/>
        </w:p>
      </w:tc>
    </w:tr>
    <w:tr w:rsidR="0059086C"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674766" w:rsidRDefault="0006181A">
          <w:pPr>
            <w:jc w:val="left"/>
            <w:rPr>
              <w:szCs w:val="18"/>
            </w:rPr>
          </w:pPr>
          <w:bookmarkStart w:id="49" w:name="bmkCommittee"/>
          <w:r w:rsidRPr="003A3E55">
            <w:rPr>
              <w:b/>
              <w:szCs w:val="18"/>
            </w:rPr>
            <w:t>Comité de Obstáculos Técnicos al Comercio</w:t>
          </w:r>
          <w:bookmarkEnd w:id="4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3A3E55" w:rsidRDefault="0006181A">
          <w:pPr>
            <w:jc w:val="right"/>
            <w:rPr>
              <w:bCs/>
              <w:szCs w:val="18"/>
            </w:rPr>
          </w:pPr>
          <w:bookmarkStart w:id="50" w:name="bmkLanguage"/>
          <w:r w:rsidRPr="003A3E55">
            <w:rPr>
              <w:bCs/>
              <w:szCs w:val="18"/>
            </w:rPr>
            <w:t>Original:</w:t>
          </w:r>
          <w:r w:rsidR="00AF251E" w:rsidRPr="003A3E55">
            <w:rPr>
              <w:bCs/>
              <w:szCs w:val="18"/>
            </w:rPr>
            <w:t xml:space="preserve"> </w:t>
          </w:r>
          <w:bookmarkStart w:id="51" w:name="spsOriginalLanguage"/>
          <w:r w:rsidRPr="003A3E55">
            <w:rPr>
              <w:bCs/>
              <w:szCs w:val="18"/>
            </w:rPr>
            <w:t>español</w:t>
          </w:r>
          <w:bookmarkEnd w:id="51"/>
          <w:bookmarkEnd w:id="50"/>
        </w:p>
      </w:tc>
    </w:tr>
  </w:tbl>
  <w:p w:rsidR="00DD65B2" w:rsidRPr="003A3E5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D700C0A">
      <w:start w:val="1"/>
      <w:numFmt w:val="decimal"/>
      <w:pStyle w:val="SummaryText"/>
      <w:lvlText w:val="%1."/>
      <w:lvlJc w:val="left"/>
      <w:pPr>
        <w:ind w:left="360" w:hanging="360"/>
      </w:pPr>
    </w:lvl>
    <w:lvl w:ilvl="1" w:tplc="1E609E4E" w:tentative="1">
      <w:start w:val="1"/>
      <w:numFmt w:val="lowerLetter"/>
      <w:lvlText w:val="%2."/>
      <w:lvlJc w:val="left"/>
      <w:pPr>
        <w:ind w:left="1080" w:hanging="360"/>
      </w:pPr>
    </w:lvl>
    <w:lvl w:ilvl="2" w:tplc="85CA290A" w:tentative="1">
      <w:start w:val="1"/>
      <w:numFmt w:val="lowerRoman"/>
      <w:lvlText w:val="%3."/>
      <w:lvlJc w:val="right"/>
      <w:pPr>
        <w:ind w:left="1800" w:hanging="180"/>
      </w:pPr>
    </w:lvl>
    <w:lvl w:ilvl="3" w:tplc="ADD8C8F6" w:tentative="1">
      <w:start w:val="1"/>
      <w:numFmt w:val="decimal"/>
      <w:lvlText w:val="%4."/>
      <w:lvlJc w:val="left"/>
      <w:pPr>
        <w:ind w:left="2520" w:hanging="360"/>
      </w:pPr>
    </w:lvl>
    <w:lvl w:ilvl="4" w:tplc="43707B10" w:tentative="1">
      <w:start w:val="1"/>
      <w:numFmt w:val="lowerLetter"/>
      <w:lvlText w:val="%5."/>
      <w:lvlJc w:val="left"/>
      <w:pPr>
        <w:ind w:left="3240" w:hanging="360"/>
      </w:pPr>
    </w:lvl>
    <w:lvl w:ilvl="5" w:tplc="AEC8B2D2" w:tentative="1">
      <w:start w:val="1"/>
      <w:numFmt w:val="lowerRoman"/>
      <w:lvlText w:val="%6."/>
      <w:lvlJc w:val="right"/>
      <w:pPr>
        <w:ind w:left="3960" w:hanging="180"/>
      </w:pPr>
    </w:lvl>
    <w:lvl w:ilvl="6" w:tplc="A1EEA58A" w:tentative="1">
      <w:start w:val="1"/>
      <w:numFmt w:val="decimal"/>
      <w:lvlText w:val="%7."/>
      <w:lvlJc w:val="left"/>
      <w:pPr>
        <w:ind w:left="4680" w:hanging="360"/>
      </w:pPr>
    </w:lvl>
    <w:lvl w:ilvl="7" w:tplc="44746A3E" w:tentative="1">
      <w:start w:val="1"/>
      <w:numFmt w:val="lowerLetter"/>
      <w:lvlText w:val="%8."/>
      <w:lvlJc w:val="left"/>
      <w:pPr>
        <w:ind w:left="5400" w:hanging="360"/>
      </w:pPr>
    </w:lvl>
    <w:lvl w:ilvl="8" w:tplc="35ECE8E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multilevel"/>
    <w:tmpl w:val="63D526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50A7"/>
    <w:rsid w:val="00057BEF"/>
    <w:rsid w:val="0006181A"/>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74752"/>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97D53"/>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086C"/>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168E"/>
    <w:rsid w:val="008849EF"/>
    <w:rsid w:val="00885409"/>
    <w:rsid w:val="008960CC"/>
    <w:rsid w:val="008A1305"/>
    <w:rsid w:val="008A2F61"/>
    <w:rsid w:val="008E4B39"/>
    <w:rsid w:val="0090284E"/>
    <w:rsid w:val="00912133"/>
    <w:rsid w:val="0091417D"/>
    <w:rsid w:val="0091755B"/>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84CDD"/>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2323"/>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753E6"/>
    <w:rsid w:val="00C97117"/>
    <w:rsid w:val="00CB2591"/>
    <w:rsid w:val="00CD0195"/>
    <w:rsid w:val="00CD0728"/>
    <w:rsid w:val="00CD5EC3"/>
    <w:rsid w:val="00CE1C9D"/>
    <w:rsid w:val="00CF42D6"/>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styleId="NoteHeading">
    <w:name w:val="Note Heading"/>
    <w:basedOn w:val="Normal"/>
    <w:next w:val="Normal"/>
    <w:link w:val="NoteHeadingChar"/>
    <w:uiPriority w:val="99"/>
    <w:semiHidden/>
    <w:unhideWhenUsed/>
    <w:rsid w:val="003A3E55"/>
  </w:style>
  <w:style w:type="character" w:customStyle="1" w:styleId="NoteHeadingChar">
    <w:name w:val="Note Heading Char"/>
    <w:link w:val="NoteHeading"/>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o@minec.gob.s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nec.gob.s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SLV/20_7089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5</cp:revision>
  <dcterms:created xsi:type="dcterms:W3CDTF">2020-11-17T14:36:00Z</dcterms:created>
  <dcterms:modified xsi:type="dcterms:W3CDTF">2020-11-18T10:12:00Z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cdbff020-92ea-40d2-9519-439ddf2a0aa1</vt:lpwstr>
  </property>
  <property fmtid="{D5CDD505-2E9C-101B-9397-08002B2CF9AE}" pid="4" name="WTOCLASSIFICATION">
    <vt:lpwstr>WTO OFFICIAL</vt:lpwstr>
  </property>
</Properties>
</file>